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E6223" w14:textId="77777777" w:rsidR="00C412F0" w:rsidRDefault="00C412F0" w:rsidP="00C412F0">
      <w:pPr>
        <w:pStyle w:val="Rubrik1"/>
      </w:pPr>
      <w:r>
        <w:t>Havsmiljödirektivets inledande bedömning</w:t>
      </w:r>
    </w:p>
    <w:p w14:paraId="28A4EE40" w14:textId="0DEBD35C" w:rsidR="00A562A0" w:rsidRDefault="00A562A0" w:rsidP="00A562A0">
      <w:pPr>
        <w:pStyle w:val="Rubrik2"/>
      </w:pPr>
      <w:r>
        <w:t>Titel på faktablad: Potentiellt rekryteringshabitat för kustfisk</w:t>
      </w:r>
      <w:r w:rsidR="00F57E0A">
        <w:t xml:space="preserve"> i Östersjön</w:t>
      </w:r>
    </w:p>
    <w:p w14:paraId="0F839BF2"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3EB7C1BE" wp14:editId="5F250A8E">
                <wp:simplePos x="0" y="0"/>
                <wp:positionH relativeFrom="column">
                  <wp:posOffset>-80811</wp:posOffset>
                </wp:positionH>
                <wp:positionV relativeFrom="paragraph">
                  <wp:posOffset>70071</wp:posOffset>
                </wp:positionV>
                <wp:extent cx="4882101" cy="3602990"/>
                <wp:effectExtent l="0" t="0" r="1397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101" cy="3602990"/>
                        </a:xfrm>
                        <a:prstGeom prst="rect">
                          <a:avLst/>
                        </a:prstGeom>
                        <a:solidFill>
                          <a:srgbClr val="FFFFFF"/>
                        </a:solidFill>
                        <a:ln w="9525">
                          <a:solidFill>
                            <a:schemeClr val="bg1"/>
                          </a:solidFill>
                          <a:miter lim="800000"/>
                          <a:headEnd/>
                          <a:tailEnd/>
                        </a:ln>
                      </wps:spPr>
                      <wps:txbx>
                        <w:txbxContent>
                          <w:p w14:paraId="5210DE10" w14:textId="70536278" w:rsidR="00F040CA" w:rsidRDefault="00F040CA">
                            <w:r>
                              <w:rPr>
                                <w:noProof/>
                              </w:rPr>
                              <w:drawing>
                                <wp:inline distT="0" distB="0" distL="0" distR="0" wp14:anchorId="193A91E0" wp14:editId="56540512">
                                  <wp:extent cx="4667250" cy="3473450"/>
                                  <wp:effectExtent l="0" t="0" r="0" b="0"/>
                                  <wp:docPr id="3" name="Bild 2" descr="fisk i vegetation Göran Sund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k i vegetation Göran Sundbl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473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7C1BE" id="_x0000_t202" coordsize="21600,21600" o:spt="202" path="m,l,21600r21600,l21600,xe">
                <v:stroke joinstyle="miter"/>
                <v:path gradientshapeok="t" o:connecttype="rect"/>
              </v:shapetype>
              <v:shape id="Textruta 2" o:spid="_x0000_s1026" type="#_x0000_t202" style="position:absolute;margin-left:-6.35pt;margin-top:5.5pt;width:384.4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" strokecolor="white [3212]">
                <v:textbox>
                  <w:txbxContent>
                    <w:p w14:paraId="5210DE10" w14:textId="70536278" w:rsidR="00F040CA" w:rsidRDefault="00F040CA">
                      <w:r>
                        <w:rPr>
                          <w:noProof/>
                        </w:rPr>
                        <w:drawing>
                          <wp:inline distT="0" distB="0" distL="0" distR="0" wp14:anchorId="193A91E0" wp14:editId="56540512">
                            <wp:extent cx="4667250" cy="3473450"/>
                            <wp:effectExtent l="0" t="0" r="0" b="0"/>
                            <wp:docPr id="3" name="Bild 2" descr="fisk i vegetation Göran Sund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k i vegetation Göran Sundbl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473450"/>
                                    </a:xfrm>
                                    <a:prstGeom prst="rect">
                                      <a:avLst/>
                                    </a:prstGeom>
                                    <a:noFill/>
                                    <a:ln>
                                      <a:noFill/>
                                    </a:ln>
                                  </pic:spPr>
                                </pic:pic>
                              </a:graphicData>
                            </a:graphic>
                          </wp:inline>
                        </w:drawing>
                      </w:r>
                    </w:p>
                  </w:txbxContent>
                </v:textbox>
              </v:shape>
            </w:pict>
          </mc:Fallback>
        </mc:AlternateContent>
      </w:r>
    </w:p>
    <w:p w14:paraId="47025321" w14:textId="77777777" w:rsidR="00C412F0" w:rsidRPr="00C412F0" w:rsidRDefault="00C412F0" w:rsidP="00C412F0">
      <w:pPr>
        <w:pStyle w:val="Brdtext"/>
      </w:pPr>
    </w:p>
    <w:p w14:paraId="3F3BE604" w14:textId="77777777" w:rsidR="00354126" w:rsidRDefault="00354126" w:rsidP="0062144B"/>
    <w:p w14:paraId="77F3F6CD" w14:textId="77777777" w:rsidR="0062144B" w:rsidRDefault="0062144B" w:rsidP="0062144B"/>
    <w:p w14:paraId="654FFE06" w14:textId="77777777" w:rsidR="0062144B" w:rsidRDefault="0062144B" w:rsidP="0062144B"/>
    <w:p w14:paraId="48D10738" w14:textId="77777777" w:rsidR="0062144B" w:rsidRDefault="0062144B" w:rsidP="0062144B"/>
    <w:p w14:paraId="160EBD6C" w14:textId="77777777" w:rsidR="0062144B" w:rsidRDefault="0062144B" w:rsidP="0062144B"/>
    <w:p w14:paraId="4E85960D" w14:textId="77777777" w:rsidR="0062144B" w:rsidRDefault="0062144B" w:rsidP="0062144B"/>
    <w:p w14:paraId="75DA44F0" w14:textId="77777777" w:rsidR="0062144B" w:rsidRDefault="0062144B" w:rsidP="0062144B"/>
    <w:p w14:paraId="5193B1AF" w14:textId="77777777" w:rsidR="0062144B" w:rsidRDefault="0062144B" w:rsidP="0062144B"/>
    <w:p w14:paraId="2A146237" w14:textId="77777777" w:rsidR="0062144B" w:rsidRDefault="0062144B" w:rsidP="0062144B"/>
    <w:p w14:paraId="6B089113" w14:textId="77777777" w:rsidR="0062144B" w:rsidRDefault="0062144B" w:rsidP="0062144B"/>
    <w:p w14:paraId="42B26F7A" w14:textId="77777777" w:rsidR="0062144B" w:rsidRDefault="0062144B" w:rsidP="0062144B"/>
    <w:p w14:paraId="526B729C" w14:textId="77777777" w:rsidR="0062144B" w:rsidRDefault="0062144B" w:rsidP="0062144B"/>
    <w:p w14:paraId="7F18BBF6" w14:textId="77777777" w:rsidR="0062144B" w:rsidRDefault="0062144B" w:rsidP="0062144B"/>
    <w:p w14:paraId="72EFBEC8" w14:textId="7EE1C1A1" w:rsidR="00B63A59" w:rsidRPr="0062144B" w:rsidRDefault="002137D4" w:rsidP="0062144B">
      <w:pPr>
        <w:rPr>
          <w:i/>
        </w:rPr>
      </w:pPr>
      <w:r>
        <w:rPr>
          <w:i/>
        </w:rPr>
        <w:t xml:space="preserve">Mörtyngel </w:t>
      </w:r>
      <w:r w:rsidR="00BE5E56">
        <w:rPr>
          <w:i/>
        </w:rPr>
        <w:t>i en natedjungel, Holmöarna 2005</w:t>
      </w:r>
      <w:r w:rsidR="00B60FB4">
        <w:rPr>
          <w:i/>
        </w:rPr>
        <w:t>. Fotograf: Göran Sundblad</w:t>
      </w:r>
      <w:r w:rsidR="00BE5E56">
        <w:rPr>
          <w:i/>
        </w:rPr>
        <w:t>.</w:t>
      </w:r>
    </w:p>
    <w:p w14:paraId="2010F7C5" w14:textId="28202FCA" w:rsidR="00A562A0" w:rsidRDefault="00A562A0" w:rsidP="00A562A0">
      <w:pPr>
        <w:pStyle w:val="Brdtext"/>
      </w:pPr>
      <w:r>
        <w:t>Författare: Göran Sundblad, Ulf Bergström</w:t>
      </w:r>
      <w:r w:rsidR="00E8125F">
        <w:t xml:space="preserve"> och</w:t>
      </w:r>
      <w:r>
        <w:t xml:space="preserve"> Jens Olsson (SLU-Aqua)</w:t>
      </w:r>
    </w:p>
    <w:p w14:paraId="7276E694" w14:textId="77777777" w:rsidR="0062144B" w:rsidRDefault="0062144B" w:rsidP="00D05BBE">
      <w:pPr>
        <w:pStyle w:val="Brdtext"/>
      </w:pPr>
    </w:p>
    <w:p w14:paraId="5678B992" w14:textId="77777777" w:rsidR="0062144B" w:rsidRDefault="0062144B" w:rsidP="00D05BBE">
      <w:pPr>
        <w:pStyle w:val="Brdtext"/>
      </w:pPr>
    </w:p>
    <w:p w14:paraId="2AA3DDF7" w14:textId="7F739569" w:rsidR="00D0220B" w:rsidRPr="00E00A04" w:rsidRDefault="00764336" w:rsidP="00D05BBE">
      <w:pPr>
        <w:pStyle w:val="Brdtext"/>
        <w:rPr>
          <w:highlight w:val="yellow"/>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w:t>
      </w:r>
      <w:r w:rsidR="006944D5" w:rsidRPr="00E00A04">
        <w:rPr>
          <w:highlight w:val="yellow"/>
        </w:rPr>
        <w:t>Havs- och vattenmyndighetens 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r w:rsidR="00AF64E1">
        <w:t xml:space="preserve"> </w:t>
      </w:r>
      <w:r w:rsidR="00D44830" w:rsidRPr="00E00A04">
        <w:rPr>
          <w:highlight w:val="yellow"/>
        </w:rPr>
        <w:t xml:space="preserve">Version Nr., </w:t>
      </w:r>
      <w:r w:rsidR="001319EF" w:rsidRPr="00E00A04">
        <w:rPr>
          <w:highlight w:val="yellow"/>
        </w:rPr>
        <w:t>Publiceringsdatum.</w:t>
      </w:r>
    </w:p>
    <w:p w14:paraId="0B60C121" w14:textId="77777777" w:rsidR="00A90305" w:rsidRDefault="00D0220B" w:rsidP="00A90305">
      <w:pPr>
        <w:pStyle w:val="Brdtext"/>
      </w:pPr>
      <w:r w:rsidRPr="00E00A04">
        <w:rPr>
          <w:highlight w:val="yellow"/>
        </w:rPr>
        <w:t>Citeras som</w:t>
      </w:r>
      <w:r w:rsidR="0062144B" w:rsidRPr="00E00A04">
        <w:rPr>
          <w:highlight w:val="yellow"/>
        </w:rPr>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21B944AB" w14:textId="3F6DA567" w:rsidR="00E41EFE" w:rsidRDefault="007D54CA" w:rsidP="00FB7728">
      <w:pPr>
        <w:pStyle w:val="Brdtext"/>
        <w:numPr>
          <w:ilvl w:val="0"/>
          <w:numId w:val="29"/>
        </w:numPr>
      </w:pPr>
      <w:r w:rsidRPr="00BF1135">
        <w:t xml:space="preserve">Många </w:t>
      </w:r>
      <w:r>
        <w:t xml:space="preserve">kustnära </w:t>
      </w:r>
      <w:r w:rsidRPr="00BF1135">
        <w:t>fiskarter</w:t>
      </w:r>
      <w:r w:rsidR="002137D4">
        <w:t xml:space="preserve"> </w:t>
      </w:r>
      <w:r w:rsidR="00F57E0A">
        <w:t xml:space="preserve">längs </w:t>
      </w:r>
      <w:r>
        <w:t>Sveriges ostkust</w:t>
      </w:r>
      <w:r w:rsidR="00771886">
        <w:t>,</w:t>
      </w:r>
      <w:r>
        <w:t xml:space="preserve"> är beroende av särskilda miljöer för sin rekrytering</w:t>
      </w:r>
      <w:r w:rsidR="00E41EFE">
        <w:t>, till exempel abborre, gädda, gös och mörtfiskar</w:t>
      </w:r>
      <w:r>
        <w:t xml:space="preserve">. </w:t>
      </w:r>
      <w:r w:rsidR="00C87ADF">
        <w:t xml:space="preserve">Framför allt grunda, vågskyddade och vegetationsklädda vikar </w:t>
      </w:r>
      <w:r>
        <w:t>fungerar som lek- och uppväxt</w:t>
      </w:r>
      <w:r w:rsidR="00771886">
        <w:t>områden</w:t>
      </w:r>
      <w:r>
        <w:t xml:space="preserve"> under det första levnadsåret. Dessa </w:t>
      </w:r>
      <w:r w:rsidR="000B33F7">
        <w:t>habitat</w:t>
      </w:r>
      <w:r>
        <w:t xml:space="preserve"> värms upp </w:t>
      </w:r>
      <w:r w:rsidR="00FB489F">
        <w:t xml:space="preserve">tidigt </w:t>
      </w:r>
      <w:r>
        <w:t xml:space="preserve">på våren, vilket tillsammans med vegetationen skapar goda förutsättningar för </w:t>
      </w:r>
      <w:r w:rsidR="00FB489F">
        <w:t xml:space="preserve">den växande </w:t>
      </w:r>
      <w:r>
        <w:t xml:space="preserve">fiskens </w:t>
      </w:r>
      <w:r w:rsidR="00771886">
        <w:t xml:space="preserve">överlevnad och </w:t>
      </w:r>
      <w:r>
        <w:t xml:space="preserve">tillväxt. </w:t>
      </w:r>
    </w:p>
    <w:p w14:paraId="7D66E305" w14:textId="71C0C942" w:rsidR="007D54CA" w:rsidRDefault="00771886" w:rsidP="00FB7728">
      <w:pPr>
        <w:pStyle w:val="Brdtext"/>
        <w:numPr>
          <w:ilvl w:val="0"/>
          <w:numId w:val="29"/>
        </w:numPr>
      </w:pPr>
      <w:r>
        <w:t>Tillgången till rekryteringsområden utgör en begräns</w:t>
      </w:r>
      <w:r w:rsidR="00AE4B30">
        <w:t>ande faktor för kustfiskbestånd, och s</w:t>
      </w:r>
      <w:r w:rsidR="007D54CA">
        <w:t xml:space="preserve">tatusen hos </w:t>
      </w:r>
      <w:r w:rsidR="00BA7217">
        <w:t>livsmiljöer</w:t>
      </w:r>
      <w:r w:rsidR="00AE4B30">
        <w:t>na</w:t>
      </w:r>
      <w:r w:rsidR="00BA7217">
        <w:t xml:space="preserve"> </w:t>
      </w:r>
      <w:r w:rsidR="007D54CA">
        <w:t xml:space="preserve">kan vara en god indikator för den generella miljöstatusen i ett område </w:t>
      </w:r>
      <w:r>
        <w:t xml:space="preserve">eftersom </w:t>
      </w:r>
      <w:r w:rsidR="00BA7217">
        <w:t>fisken har en central roll i näringsväven</w:t>
      </w:r>
      <w:r w:rsidR="00AE4B30">
        <w:t xml:space="preserve">. Livsmiljöernas status är också </w:t>
      </w:r>
      <w:r w:rsidR="007D54CA">
        <w:t xml:space="preserve">av relevans för bedömningen av statusen hos kustfisk.  </w:t>
      </w:r>
    </w:p>
    <w:p w14:paraId="5A0F29FF" w14:textId="445BCD41" w:rsidR="007D54CA" w:rsidRDefault="005521AD" w:rsidP="00FB7728">
      <w:pPr>
        <w:pStyle w:val="Brdtext"/>
        <w:numPr>
          <w:ilvl w:val="0"/>
          <w:numId w:val="29"/>
        </w:numPr>
      </w:pPr>
      <w:r>
        <w:t>Kustens</w:t>
      </w:r>
      <w:r w:rsidR="007D54CA">
        <w:t xml:space="preserve"> </w:t>
      </w:r>
      <w:r w:rsidR="00771886">
        <w:t>rekryterings</w:t>
      </w:r>
      <w:r w:rsidR="007D54CA">
        <w:t xml:space="preserve">miljöer är utsatta för </w:t>
      </w:r>
      <w:r w:rsidR="00771886">
        <w:t xml:space="preserve">påverkan från ett </w:t>
      </w:r>
      <w:r w:rsidR="007D54CA">
        <w:t xml:space="preserve">flertal mänskliga aktiviteter, inte minst strandexploatering och båttrafik, men även storskalig </w:t>
      </w:r>
      <w:r w:rsidR="00BA7217">
        <w:t xml:space="preserve">påverkan </w:t>
      </w:r>
      <w:r w:rsidR="007D54CA">
        <w:t>som övergödning och klimat</w:t>
      </w:r>
      <w:r w:rsidR="00771886">
        <w:t>förändringar</w:t>
      </w:r>
      <w:r w:rsidR="007D54CA">
        <w:t xml:space="preserve"> kan utgöra </w:t>
      </w:r>
      <w:r w:rsidR="00BA7217">
        <w:t>ett hot</w:t>
      </w:r>
      <w:r w:rsidR="007D54CA">
        <w:t>. Vilken</w:t>
      </w:r>
      <w:r w:rsidR="005A1F07">
        <w:t xml:space="preserve"> specifik</w:t>
      </w:r>
      <w:r w:rsidR="007D54CA">
        <w:t xml:space="preserve"> påverkan dessa </w:t>
      </w:r>
      <w:r w:rsidR="006D7DE9">
        <w:t xml:space="preserve">faktorer </w:t>
      </w:r>
      <w:r w:rsidR="007D54CA">
        <w:t xml:space="preserve">har på miljöerna </w:t>
      </w:r>
      <w:r w:rsidR="00741D96">
        <w:t xml:space="preserve">har endast preliminärt analyserats och </w:t>
      </w:r>
      <w:r w:rsidR="007D54CA">
        <w:t xml:space="preserve">behöver fortsatt utredas. </w:t>
      </w:r>
    </w:p>
    <w:p w14:paraId="55A3DBC1" w14:textId="6F35B6B0" w:rsidR="007D54CA" w:rsidRDefault="005A1F07" w:rsidP="00FB7728">
      <w:pPr>
        <w:pStyle w:val="Brdtext"/>
        <w:numPr>
          <w:ilvl w:val="0"/>
          <w:numId w:val="29"/>
        </w:numPr>
      </w:pPr>
      <w:r>
        <w:t xml:space="preserve">Indikatorn </w:t>
      </w:r>
      <w:r w:rsidRPr="00B60FB4">
        <w:rPr>
          <w:i/>
        </w:rPr>
        <w:t>Potentiellt rekryteringshabitat för kustfisk i Östersjön</w:t>
      </w:r>
      <w:r w:rsidRPr="005A1F07" w:rsidDel="005A1F07">
        <w:t xml:space="preserve"> </w:t>
      </w:r>
      <w:r w:rsidR="00741D96">
        <w:t xml:space="preserve">är ännu under utveckling </w:t>
      </w:r>
      <w:r>
        <w:t xml:space="preserve">nationellt i Sverige, och har idag ingen </w:t>
      </w:r>
      <w:r w:rsidR="00E41EFE">
        <w:t xml:space="preserve">internationell </w:t>
      </w:r>
      <w:r w:rsidR="00FB489F">
        <w:t>motsvar</w:t>
      </w:r>
      <w:r>
        <w:t xml:space="preserve">ighet </w:t>
      </w:r>
      <w:r w:rsidR="00E41EFE">
        <w:t xml:space="preserve">inom </w:t>
      </w:r>
      <w:r w:rsidR="007D54CA">
        <w:t xml:space="preserve">HELCOM. </w:t>
      </w:r>
    </w:p>
    <w:p w14:paraId="6D1E957B" w14:textId="41BE9BFB" w:rsidR="00AC77A2" w:rsidRPr="005521AD" w:rsidRDefault="00E41EFE" w:rsidP="00FB7728">
      <w:pPr>
        <w:pStyle w:val="Brdtext"/>
        <w:numPr>
          <w:ilvl w:val="0"/>
          <w:numId w:val="29"/>
        </w:numPr>
        <w:rPr>
          <w:sz w:val="18"/>
        </w:rPr>
      </w:pPr>
      <w:r>
        <w:t>I</w:t>
      </w:r>
      <w:r w:rsidR="00722771">
        <w:t>ndikatorn</w:t>
      </w:r>
      <w:r w:rsidR="00B60FB4" w:rsidRPr="00B60FB4">
        <w:t xml:space="preserve"> </w:t>
      </w:r>
      <w:r>
        <w:t xml:space="preserve">beräknas </w:t>
      </w:r>
      <w:r w:rsidR="000B33F7">
        <w:t xml:space="preserve">i dagsläget </w:t>
      </w:r>
      <w:r w:rsidR="00B60FB4">
        <w:t>basera</w:t>
      </w:r>
      <w:r>
        <w:t>t</w:t>
      </w:r>
      <w:r w:rsidR="00B60FB4">
        <w:t xml:space="preserve"> på </w:t>
      </w:r>
      <w:r w:rsidR="00AC77A2">
        <w:t xml:space="preserve">1) </w:t>
      </w:r>
      <w:r w:rsidR="00B60FB4">
        <w:t xml:space="preserve">yngelprovfisken med fokus på </w:t>
      </w:r>
      <w:r w:rsidR="00722771">
        <w:t>kustfiskarter</w:t>
      </w:r>
      <w:r w:rsidR="00B60FB4">
        <w:t>na</w:t>
      </w:r>
      <w:r w:rsidR="00722771">
        <w:t xml:space="preserve"> abborre, gädda och mört</w:t>
      </w:r>
      <w:r>
        <w:t xml:space="preserve">, utförda </w:t>
      </w:r>
      <w:r w:rsidR="005521AD">
        <w:t xml:space="preserve">enligt metodiken yngelprovfisken </w:t>
      </w:r>
      <w:r>
        <w:t>med små undervattensdetonationer</w:t>
      </w:r>
      <w:r w:rsidR="00AC77A2">
        <w:t xml:space="preserve">. 2) </w:t>
      </w:r>
      <w:r w:rsidR="005521AD">
        <w:t>A</w:t>
      </w:r>
      <w:r w:rsidR="006F523B">
        <w:t>nalyser</w:t>
      </w:r>
      <w:r w:rsidR="00AC77A2">
        <w:t xml:space="preserve"> </w:t>
      </w:r>
      <w:r w:rsidR="005521AD">
        <w:t xml:space="preserve">av sambandet mellan </w:t>
      </w:r>
      <w:r w:rsidR="00AC77A2">
        <w:t>miljövariablerna djup och vågexponering</w:t>
      </w:r>
      <w:r w:rsidR="0013312F">
        <w:t>,</w:t>
      </w:r>
      <w:r w:rsidR="00AC77A2">
        <w:t xml:space="preserve"> </w:t>
      </w:r>
      <w:r w:rsidR="0013312F">
        <w:t xml:space="preserve">samt </w:t>
      </w:r>
      <w:r w:rsidR="00AC77A2">
        <w:t>förekomsten av yngel</w:t>
      </w:r>
      <w:r w:rsidR="005521AD">
        <w:t xml:space="preserve"> i olika kustvattentyper</w:t>
      </w:r>
      <w:r w:rsidR="0013312F">
        <w:t xml:space="preserve"> längs dessa miljögradienter</w:t>
      </w:r>
      <w:r w:rsidR="00AC77A2">
        <w:t xml:space="preserve">, </w:t>
      </w:r>
      <w:r w:rsidR="0013312F">
        <w:t xml:space="preserve">och slutligen </w:t>
      </w:r>
      <w:r w:rsidR="00AC77A2">
        <w:t>3) prediktioner av potentiell</w:t>
      </w:r>
      <w:r w:rsidR="00724EAD">
        <w:t>t</w:t>
      </w:r>
      <w:r w:rsidR="00AC77A2">
        <w:t xml:space="preserve"> rekryteringshabitat längs Sveriges ostkust</w:t>
      </w:r>
      <w:r w:rsidR="00CA0653">
        <w:t xml:space="preserve"> baserat på kartunderlag</w:t>
      </w:r>
      <w:r w:rsidR="0061143A">
        <w:t xml:space="preserve">. </w:t>
      </w:r>
    </w:p>
    <w:p w14:paraId="22EB0A86" w14:textId="0C514213" w:rsidR="005521AD" w:rsidRPr="00AC77A2" w:rsidRDefault="005521AD" w:rsidP="00FB7728">
      <w:pPr>
        <w:pStyle w:val="Brdtext"/>
        <w:numPr>
          <w:ilvl w:val="0"/>
          <w:numId w:val="29"/>
        </w:numPr>
        <w:rPr>
          <w:sz w:val="18"/>
        </w:rPr>
      </w:pPr>
      <w:r>
        <w:t xml:space="preserve">Bedömningarna i detta faktablad utgörs av kvalitativa beskrivningar, eftersom </w:t>
      </w:r>
      <w:r w:rsidR="000B33F7">
        <w:t xml:space="preserve">indikatorn ännu är under utveckling och </w:t>
      </w:r>
      <w:r>
        <w:t xml:space="preserve">både historiska och ekologiska </w:t>
      </w:r>
      <w:r w:rsidR="00741D96">
        <w:t>baslinjer</w:t>
      </w:r>
      <w:r w:rsidR="00AE4B30">
        <w:t xml:space="preserve"> saknas i dagsläget. </w:t>
      </w:r>
      <w:r w:rsidR="00CC5C8D">
        <w:t>Föreliggande resultat utgör en start i det arbetet.</w:t>
      </w:r>
    </w:p>
    <w:p w14:paraId="10846490" w14:textId="5DD987A7" w:rsidR="007D54CA" w:rsidRDefault="007D54CA" w:rsidP="00FB7728">
      <w:pPr>
        <w:pStyle w:val="Brdtext"/>
        <w:numPr>
          <w:ilvl w:val="0"/>
          <w:numId w:val="29"/>
        </w:numPr>
      </w:pPr>
      <w:r>
        <w:t xml:space="preserve">Bedömningsområdena definieras nationellt enligt </w:t>
      </w:r>
      <w:r w:rsidR="00E41EFE">
        <w:t xml:space="preserve">kustvattentyper, vilket motsvarar </w:t>
      </w:r>
      <w:r>
        <w:t xml:space="preserve">HELCOM:s aggregerade skala på nivå 4. </w:t>
      </w:r>
    </w:p>
    <w:p w14:paraId="0344FBBD" w14:textId="7FF79389" w:rsidR="00AE4B30" w:rsidRPr="00AE4B30" w:rsidRDefault="00630F38" w:rsidP="00F040CA">
      <w:pPr>
        <w:pStyle w:val="Brdtext"/>
        <w:numPr>
          <w:ilvl w:val="0"/>
          <w:numId w:val="28"/>
        </w:numPr>
      </w:pPr>
      <w:r>
        <w:t xml:space="preserve">För denna första kvalitativa </w:t>
      </w:r>
      <w:r w:rsidR="000B33F7">
        <w:t xml:space="preserve">beskrivning </w:t>
      </w:r>
      <w:r w:rsidR="008F209F">
        <w:t>har 15 kustvattentyper bedömts, baserat på yngelprovfisken 2001-2015</w:t>
      </w:r>
      <w:r>
        <w:t xml:space="preserve">. </w:t>
      </w:r>
      <w:r w:rsidR="000B33F7">
        <w:t>K</w:t>
      </w:r>
      <w:r w:rsidR="000B33F7" w:rsidRPr="00F040CA">
        <w:rPr>
          <w:rFonts w:eastAsia="Times New Roman"/>
          <w:color w:val="000000"/>
        </w:rPr>
        <w:t>ustvattentyper som ännu ej har provfiskats med avseende på yngel (</w:t>
      </w:r>
      <w:r w:rsidR="000B33F7" w:rsidRPr="00F040CA">
        <w:rPr>
          <w:rFonts w:eastAsia="Times New Roman"/>
          <w:i/>
          <w:color w:val="000000"/>
        </w:rPr>
        <w:t>Öland</w:t>
      </w:r>
      <w:r w:rsidR="000B33F7">
        <w:rPr>
          <w:rFonts w:eastAsia="Times New Roman"/>
          <w:i/>
          <w:color w:val="000000"/>
        </w:rPr>
        <w:t>,</w:t>
      </w:r>
      <w:r w:rsidR="000B33F7" w:rsidRPr="00F040CA">
        <w:rPr>
          <w:rFonts w:eastAsia="Times New Roman"/>
          <w:i/>
          <w:color w:val="000000"/>
        </w:rPr>
        <w:t xml:space="preserve"> Gotland, </w:t>
      </w:r>
      <w:r w:rsidR="000B33F7" w:rsidRPr="000B33F7">
        <w:rPr>
          <w:rFonts w:eastAsia="Times New Roman"/>
          <w:color w:val="000000"/>
        </w:rPr>
        <w:t>samt</w:t>
      </w:r>
      <w:r w:rsidR="000B33F7" w:rsidRPr="00F040CA">
        <w:rPr>
          <w:rFonts w:eastAsia="Times New Roman"/>
          <w:i/>
          <w:color w:val="000000"/>
        </w:rPr>
        <w:t xml:space="preserve"> Östergötlands inre kustvatten</w:t>
      </w:r>
      <w:r w:rsidR="000B33F7" w:rsidRPr="00F040CA">
        <w:rPr>
          <w:rFonts w:eastAsia="Times New Roman"/>
          <w:color w:val="000000"/>
        </w:rPr>
        <w:t>)</w:t>
      </w:r>
      <w:r w:rsidR="000B33F7">
        <w:rPr>
          <w:rFonts w:eastAsia="Times New Roman"/>
          <w:color w:val="000000"/>
        </w:rPr>
        <w:t xml:space="preserve"> </w:t>
      </w:r>
      <w:r w:rsidR="00F040CA">
        <w:t xml:space="preserve">saknade underlag </w:t>
      </w:r>
      <w:r w:rsidR="000B33F7">
        <w:t xml:space="preserve">och </w:t>
      </w:r>
      <w:r w:rsidR="00F040CA">
        <w:t>har exkluderats från analyserna.</w:t>
      </w:r>
    </w:p>
    <w:p w14:paraId="49DC3FBA" w14:textId="1016B1C9" w:rsidR="00CC5C8D" w:rsidRDefault="00291B4A" w:rsidP="00CC5C8D">
      <w:pPr>
        <w:pStyle w:val="Brdtext"/>
        <w:numPr>
          <w:ilvl w:val="0"/>
          <w:numId w:val="28"/>
        </w:numPr>
      </w:pPr>
      <w:r>
        <w:t xml:space="preserve">Resultaten </w:t>
      </w:r>
      <w:r w:rsidR="00246ADD">
        <w:t>visar att det g</w:t>
      </w:r>
      <w:r w:rsidR="00C03D44">
        <w:t>enerellt finns mer potentiell</w:t>
      </w:r>
      <w:r w:rsidR="00246ADD">
        <w:t>a</w:t>
      </w:r>
      <w:r w:rsidR="00C03D44">
        <w:t xml:space="preserve"> </w:t>
      </w:r>
      <w:r w:rsidR="00106F21">
        <w:t xml:space="preserve">rekryteringshabitat </w:t>
      </w:r>
      <w:r w:rsidR="00246ADD">
        <w:t>för kustfisk</w:t>
      </w:r>
      <w:r w:rsidR="00C03D44">
        <w:t xml:space="preserve"> i inner- och mellanskärgårdar än i </w:t>
      </w:r>
      <w:r w:rsidR="00C35CDB">
        <w:t xml:space="preserve">de yttre </w:t>
      </w:r>
      <w:r w:rsidR="00C03D44">
        <w:t>kustvatt</w:t>
      </w:r>
      <w:r w:rsidR="00C35CDB">
        <w:t xml:space="preserve">nen. </w:t>
      </w:r>
      <w:r w:rsidR="00246ADD">
        <w:t xml:space="preserve">Högsta andelen </w:t>
      </w:r>
      <w:r w:rsidR="00FA656B">
        <w:t>potenti</w:t>
      </w:r>
      <w:r w:rsidR="005E7034">
        <w:t>e</w:t>
      </w:r>
      <w:r w:rsidR="00FA656B">
        <w:t xml:space="preserve">lla </w:t>
      </w:r>
      <w:r w:rsidR="00246ADD">
        <w:t xml:space="preserve">habitat </w:t>
      </w:r>
      <w:r w:rsidR="00FA656B">
        <w:t xml:space="preserve">finns </w:t>
      </w:r>
      <w:r w:rsidR="00246ADD">
        <w:t>i kustvattentype</w:t>
      </w:r>
      <w:r w:rsidR="00106F21">
        <w:t xml:space="preserve">n </w:t>
      </w:r>
      <w:r w:rsidR="00106F21" w:rsidRPr="00F93AE8">
        <w:rPr>
          <w:i/>
        </w:rPr>
        <w:t>Blekinge skärgård och Kalmarsunds inre kustvatten</w:t>
      </w:r>
      <w:r w:rsidR="00106F21">
        <w:t xml:space="preserve">. Relativt höga andelar </w:t>
      </w:r>
      <w:r w:rsidR="00FA656B">
        <w:t>potentiell</w:t>
      </w:r>
      <w:r w:rsidR="00724EAD">
        <w:t>t</w:t>
      </w:r>
      <w:r w:rsidR="00FA656B">
        <w:t xml:space="preserve"> </w:t>
      </w:r>
      <w:r w:rsidR="00106F21">
        <w:t xml:space="preserve">rekryteringshabitat </w:t>
      </w:r>
      <w:r w:rsidR="00FA656B">
        <w:t xml:space="preserve">finns </w:t>
      </w:r>
      <w:r w:rsidR="00106F21">
        <w:t xml:space="preserve">även i </w:t>
      </w:r>
      <w:r w:rsidR="00106F21" w:rsidRPr="00F93AE8">
        <w:rPr>
          <w:i/>
        </w:rPr>
        <w:t>Östergötlands och Stockholms skärgård</w:t>
      </w:r>
      <w:r w:rsidR="005913C5" w:rsidRPr="00F93AE8">
        <w:rPr>
          <w:i/>
        </w:rPr>
        <w:t>s</w:t>
      </w:r>
      <w:r w:rsidR="00106F21" w:rsidRPr="00F93AE8">
        <w:rPr>
          <w:i/>
        </w:rPr>
        <w:t xml:space="preserve"> mellankustvatten, Södra Bottenhavet</w:t>
      </w:r>
      <w:r w:rsidR="005913C5" w:rsidRPr="00F93AE8">
        <w:rPr>
          <w:i/>
        </w:rPr>
        <w:t>s</w:t>
      </w:r>
      <w:r w:rsidR="00106F21" w:rsidRPr="00F93AE8">
        <w:rPr>
          <w:i/>
        </w:rPr>
        <w:t xml:space="preserve"> inre kustvatten</w:t>
      </w:r>
      <w:r w:rsidR="008F209F">
        <w:t xml:space="preserve">, samt </w:t>
      </w:r>
      <w:r w:rsidR="008F209F" w:rsidRPr="00F93AE8">
        <w:rPr>
          <w:i/>
        </w:rPr>
        <w:t>Norra Bottenviken</w:t>
      </w:r>
      <w:r w:rsidR="005913C5" w:rsidRPr="00F93AE8">
        <w:rPr>
          <w:i/>
        </w:rPr>
        <w:t>s</w:t>
      </w:r>
      <w:r w:rsidR="008F209F" w:rsidRPr="00F93AE8">
        <w:rPr>
          <w:i/>
        </w:rPr>
        <w:t xml:space="preserve"> inr</w:t>
      </w:r>
      <w:r w:rsidR="00106F21" w:rsidRPr="00F93AE8">
        <w:rPr>
          <w:i/>
        </w:rPr>
        <w:t>e kustvatten</w:t>
      </w:r>
      <w:r w:rsidR="00106F21">
        <w:t>.</w:t>
      </w:r>
      <w:r w:rsidR="0013312F">
        <w:t xml:space="preserve"> Avgränsningen baseras </w:t>
      </w:r>
      <w:r w:rsidR="00D204D2">
        <w:t xml:space="preserve">dock </w:t>
      </w:r>
      <w:r w:rsidR="0013312F">
        <w:t xml:space="preserve">i dagsläget endast på två miljövariabler, </w:t>
      </w:r>
      <w:r w:rsidR="00CC5C8D">
        <w:t xml:space="preserve">vilket gett en första grov kartläggning av områden som potentiellt är lämpliga. Kartläggningen kan vara relevant som en baslinje för en bedömningsmetod </w:t>
      </w:r>
      <w:r w:rsidR="00F26A15">
        <w:t xml:space="preserve">som jämför den potentiella utbredningen med en utbredning baserad på </w:t>
      </w:r>
      <w:r w:rsidR="00CC5C8D">
        <w:t>fler miljövariabler och påverkansfaktorer</w:t>
      </w:r>
      <w:r w:rsidR="0013312F">
        <w:t>.</w:t>
      </w:r>
      <w:r w:rsidR="00AE4B30" w:rsidRPr="00AE4B30">
        <w:t xml:space="preserve"> </w:t>
      </w:r>
      <w:r w:rsidR="00CA1CD8">
        <w:t xml:space="preserve">Genom att beakta hur fler </w:t>
      </w:r>
      <w:r w:rsidR="00CA1CD8">
        <w:lastRenderedPageBreak/>
        <w:t>miljövariabler och påverkansfaktorer påverkar både utbredning och antal fiskar (abundanser) kan vi närma oss en kartläggning av områden som faktiskt används. För att nå en statusbedömning bör det fortsatta arbetet testa om en jämförelse av den potentiella utbredningen i förhållande till den faktiska utbredningen är en lämplig bedömningsmetod.</w:t>
      </w:r>
    </w:p>
    <w:p w14:paraId="6F23C1E8" w14:textId="0101FA0B" w:rsidR="00D01444" w:rsidRDefault="00C03D44" w:rsidP="001C053E">
      <w:pPr>
        <w:pStyle w:val="Brdtext"/>
        <w:numPr>
          <w:ilvl w:val="0"/>
          <w:numId w:val="28"/>
        </w:numPr>
      </w:pPr>
      <w:r>
        <w:t>De största o</w:t>
      </w:r>
      <w:r w:rsidR="00D01444">
        <w:t>säkerheter</w:t>
      </w:r>
      <w:r>
        <w:t xml:space="preserve">na </w:t>
      </w:r>
      <w:r w:rsidR="007959CB">
        <w:t>vid beräkning av</w:t>
      </w:r>
      <w:r w:rsidR="00FE0103">
        <w:t xml:space="preserve"> indikatorn </w:t>
      </w:r>
      <w:r>
        <w:t>är brist</w:t>
      </w:r>
      <w:r w:rsidR="00FE0103">
        <w:t xml:space="preserve"> </w:t>
      </w:r>
      <w:r>
        <w:t xml:space="preserve">på </w:t>
      </w:r>
      <w:r w:rsidR="0013312F">
        <w:t xml:space="preserve">tillräckligt detaljerade </w:t>
      </w:r>
      <w:r>
        <w:t>kartunderlag</w:t>
      </w:r>
      <w:r w:rsidR="00FE0103">
        <w:t xml:space="preserve"> för variabler </w:t>
      </w:r>
      <w:r w:rsidR="0013312F">
        <w:t xml:space="preserve">som </w:t>
      </w:r>
      <w:r>
        <w:t>temperatur, siktdjup</w:t>
      </w:r>
      <w:r w:rsidR="002957A5">
        <w:t>,</w:t>
      </w:r>
      <w:r>
        <w:t xml:space="preserve"> salinitet</w:t>
      </w:r>
      <w:r w:rsidR="002957A5">
        <w:t xml:space="preserve"> och näringsstatus</w:t>
      </w:r>
      <w:r w:rsidR="00FE0103">
        <w:t xml:space="preserve">. Om dessa variabler </w:t>
      </w:r>
      <w:r w:rsidR="007959CB">
        <w:t>kan ingå</w:t>
      </w:r>
      <w:r w:rsidR="002137D4">
        <w:t xml:space="preserve"> i</w:t>
      </w:r>
      <w:r w:rsidR="00FE0103">
        <w:t xml:space="preserve"> modellerna</w:t>
      </w:r>
      <w:r w:rsidR="007959CB">
        <w:t xml:space="preserve"> i framtiden</w:t>
      </w:r>
      <w:r w:rsidR="00FE0103">
        <w:t>,</w:t>
      </w:r>
      <w:r>
        <w:t xml:space="preserve"> skulle </w:t>
      </w:r>
      <w:r w:rsidR="00FE0103">
        <w:t xml:space="preserve">det </w:t>
      </w:r>
      <w:r>
        <w:t xml:space="preserve">leda till bättre precision och säkerhet i </w:t>
      </w:r>
      <w:r w:rsidR="00D204D2">
        <w:t>beräkningarna</w:t>
      </w:r>
      <w:r>
        <w:t xml:space="preserve">. </w:t>
      </w:r>
      <w:r w:rsidR="0013312F">
        <w:t xml:space="preserve">Dessutom behövs beskrivningar av hur, och i vilken omfattning, fysisk påverkan </w:t>
      </w:r>
      <w:r w:rsidR="00AE4B30">
        <w:t>spelar in. Vilket tillsammans med k</w:t>
      </w:r>
      <w:r w:rsidR="007959CB">
        <w:t>artor över</w:t>
      </w:r>
      <w:r w:rsidR="0013312F">
        <w:t xml:space="preserve"> framförallt </w:t>
      </w:r>
      <w:r w:rsidR="00291B4A">
        <w:t>strandexploatering, båttrafik och muddring,</w:t>
      </w:r>
      <w:r>
        <w:t xml:space="preserve"> </w:t>
      </w:r>
      <w:r w:rsidR="0013312F">
        <w:t>är nödvändig</w:t>
      </w:r>
      <w:r w:rsidR="00AE4B30">
        <w:t>t</w:t>
      </w:r>
      <w:r w:rsidR="0013312F">
        <w:t xml:space="preserve"> för att göra mer specifika </w:t>
      </w:r>
      <w:r>
        <w:t>kvantitativa bedömningar</w:t>
      </w:r>
      <w:r w:rsidR="00291B4A">
        <w:t xml:space="preserve"> av statusen</w:t>
      </w:r>
      <w:r>
        <w:t xml:space="preserve">. </w:t>
      </w:r>
      <w:r w:rsidR="00F93AE8">
        <w:t>Andra faktorer att beakta i det fortsatta arbetet inkluderar predation från storspigg, samt kopplingar till övriga indikatorer för kustfisk.</w:t>
      </w:r>
    </w:p>
    <w:p w14:paraId="32D8A3F2" w14:textId="4771862F" w:rsidR="003D34CE" w:rsidRPr="00BD09BA" w:rsidRDefault="00484DE1" w:rsidP="00E41EFE">
      <w:pPr>
        <w:pStyle w:val="Brdtext"/>
        <w:numPr>
          <w:ilvl w:val="0"/>
          <w:numId w:val="28"/>
        </w:numPr>
      </w:pPr>
      <w:r w:rsidRPr="00687EB7">
        <w:rPr>
          <w:rFonts w:eastAsia="Times New Roman"/>
          <w:color w:val="000000"/>
        </w:rPr>
        <w:t xml:space="preserve">Potentiellt kan indikatorn även utvecklas för andra </w:t>
      </w:r>
      <w:r w:rsidR="00737A66">
        <w:rPr>
          <w:rFonts w:eastAsia="Times New Roman"/>
          <w:color w:val="000000"/>
        </w:rPr>
        <w:t>arter</w:t>
      </w:r>
      <w:r w:rsidRPr="00687EB7">
        <w:rPr>
          <w:rFonts w:eastAsia="Times New Roman"/>
          <w:color w:val="000000"/>
        </w:rPr>
        <w:t xml:space="preserve"> såsom gobider och spigg, samt </w:t>
      </w:r>
      <w:r w:rsidR="00737A66">
        <w:rPr>
          <w:rFonts w:eastAsia="Times New Roman"/>
          <w:color w:val="000000"/>
        </w:rPr>
        <w:t>om</w:t>
      </w:r>
      <w:r w:rsidRPr="00687EB7">
        <w:rPr>
          <w:rFonts w:eastAsia="Times New Roman"/>
          <w:color w:val="000000"/>
        </w:rPr>
        <w:t xml:space="preserve"> andra inventeringsmetoder </w:t>
      </w:r>
      <w:r w:rsidR="00737A66">
        <w:rPr>
          <w:rFonts w:eastAsia="Times New Roman"/>
          <w:color w:val="000000"/>
        </w:rPr>
        <w:t xml:space="preserve">används </w:t>
      </w:r>
      <w:r w:rsidRPr="00687EB7">
        <w:rPr>
          <w:rFonts w:eastAsia="Times New Roman"/>
          <w:color w:val="000000"/>
        </w:rPr>
        <w:t>även sik och plattfisk, för att få en helhetsbild av fisksamhälle</w:t>
      </w:r>
      <w:r w:rsidR="005E7034">
        <w:rPr>
          <w:rFonts w:eastAsia="Times New Roman"/>
          <w:color w:val="000000"/>
        </w:rPr>
        <w:t>na</w:t>
      </w:r>
      <w:r w:rsidRPr="00687EB7">
        <w:rPr>
          <w:rFonts w:eastAsia="Times New Roman"/>
          <w:color w:val="000000"/>
        </w:rPr>
        <w:t xml:space="preserve"> på ostkusten och deras status. För kustfisk på västkusten borde möjligheten </w:t>
      </w:r>
      <w:r w:rsidR="00737A66">
        <w:rPr>
          <w:rFonts w:eastAsia="Times New Roman"/>
          <w:color w:val="000000"/>
        </w:rPr>
        <w:t xml:space="preserve">undersökas </w:t>
      </w:r>
      <w:r w:rsidRPr="00687EB7">
        <w:rPr>
          <w:rFonts w:eastAsia="Times New Roman"/>
          <w:color w:val="000000"/>
        </w:rPr>
        <w:t>att använda ryssjedata för statusbedömning av uppväxtmiljöer för torsk, vitling, rödspätta</w:t>
      </w:r>
      <w:r w:rsidR="00737A66">
        <w:rPr>
          <w:rFonts w:eastAsia="Times New Roman"/>
          <w:color w:val="000000"/>
        </w:rPr>
        <w:t xml:space="preserve">, </w:t>
      </w:r>
      <w:r w:rsidRPr="00687EB7">
        <w:rPr>
          <w:rFonts w:eastAsia="Times New Roman"/>
          <w:color w:val="000000"/>
        </w:rPr>
        <w:t>skrubbskädda samt ål.</w:t>
      </w:r>
    </w:p>
    <w:p w14:paraId="2B49B346" w14:textId="77777777" w:rsidR="00BD09BA" w:rsidRDefault="00BD09BA" w:rsidP="00BD09BA">
      <w:pPr>
        <w:pStyle w:val="Brdtext"/>
        <w:rPr>
          <w:rFonts w:eastAsia="Times New Roman"/>
          <w:color w:val="000000"/>
        </w:rPr>
      </w:pPr>
    </w:p>
    <w:p w14:paraId="456F458B" w14:textId="77777777" w:rsidR="00BD09BA" w:rsidRDefault="00BD09BA" w:rsidP="00BD09BA">
      <w:pPr>
        <w:pStyle w:val="Brdtext"/>
        <w:rPr>
          <w:rFonts w:eastAsia="Times New Roman"/>
          <w:color w:val="000000"/>
        </w:rPr>
      </w:pPr>
    </w:p>
    <w:p w14:paraId="58CBB96A" w14:textId="77777777" w:rsidR="00BD09BA" w:rsidRDefault="00BD09BA" w:rsidP="00BD09BA">
      <w:pPr>
        <w:pStyle w:val="Brdtext"/>
        <w:rPr>
          <w:rFonts w:eastAsia="Times New Roman"/>
          <w:color w:val="000000"/>
        </w:rPr>
      </w:pPr>
    </w:p>
    <w:p w14:paraId="1A950222" w14:textId="77777777" w:rsidR="00BD09BA" w:rsidRDefault="00BD09BA" w:rsidP="00BD09BA">
      <w:pPr>
        <w:pStyle w:val="Brdtext"/>
        <w:rPr>
          <w:rFonts w:eastAsia="Times New Roman"/>
          <w:color w:val="000000"/>
        </w:rPr>
      </w:pPr>
    </w:p>
    <w:p w14:paraId="617F9808" w14:textId="77777777" w:rsidR="00BD09BA" w:rsidRDefault="00BD09BA" w:rsidP="00BD09BA">
      <w:pPr>
        <w:pStyle w:val="Brdtext"/>
        <w:rPr>
          <w:rFonts w:eastAsia="Times New Roman"/>
          <w:color w:val="000000"/>
        </w:rPr>
      </w:pPr>
    </w:p>
    <w:p w14:paraId="76F86842" w14:textId="77777777" w:rsidR="00BD09BA" w:rsidRDefault="00BD09BA" w:rsidP="00BD09BA">
      <w:pPr>
        <w:pStyle w:val="Brdtext"/>
        <w:rPr>
          <w:rFonts w:eastAsia="Times New Roman"/>
          <w:color w:val="000000"/>
        </w:rPr>
      </w:pPr>
    </w:p>
    <w:p w14:paraId="32C4A7C2" w14:textId="77777777" w:rsidR="00BD09BA" w:rsidRDefault="00BD09BA" w:rsidP="00BD09BA">
      <w:pPr>
        <w:pStyle w:val="Brdtext"/>
        <w:rPr>
          <w:rFonts w:eastAsia="Times New Roman"/>
          <w:color w:val="000000"/>
        </w:rPr>
      </w:pPr>
    </w:p>
    <w:p w14:paraId="49DC0C89" w14:textId="77777777" w:rsidR="00BD09BA" w:rsidRDefault="00BD09BA" w:rsidP="00BD09BA">
      <w:pPr>
        <w:pStyle w:val="Brdtext"/>
        <w:rPr>
          <w:rFonts w:eastAsia="Times New Roman"/>
          <w:color w:val="000000"/>
        </w:rPr>
      </w:pPr>
    </w:p>
    <w:p w14:paraId="19D9BF7C" w14:textId="77777777" w:rsidR="00BD09BA" w:rsidRDefault="00BD09BA" w:rsidP="00BD09BA">
      <w:pPr>
        <w:pStyle w:val="Brdtext"/>
        <w:rPr>
          <w:rFonts w:eastAsia="Times New Roman"/>
          <w:color w:val="000000"/>
        </w:rPr>
      </w:pPr>
    </w:p>
    <w:p w14:paraId="5193B81C" w14:textId="77777777" w:rsidR="00BD09BA" w:rsidRDefault="00BD09BA" w:rsidP="00BD09BA">
      <w:pPr>
        <w:pStyle w:val="Brdtext"/>
        <w:rPr>
          <w:rFonts w:eastAsia="Times New Roman"/>
          <w:color w:val="000000"/>
        </w:rPr>
      </w:pPr>
    </w:p>
    <w:p w14:paraId="2B0AEFA0" w14:textId="77777777" w:rsidR="00BD09BA" w:rsidRDefault="00BD09BA" w:rsidP="00BD09BA">
      <w:pPr>
        <w:pStyle w:val="Brdtext"/>
        <w:rPr>
          <w:rFonts w:eastAsia="Times New Roman"/>
          <w:color w:val="000000"/>
        </w:rPr>
      </w:pPr>
    </w:p>
    <w:p w14:paraId="5D97A4B7" w14:textId="77777777" w:rsidR="00BD09BA" w:rsidRDefault="00BD09BA" w:rsidP="00BD09BA">
      <w:pPr>
        <w:pStyle w:val="Brdtext"/>
        <w:rPr>
          <w:rFonts w:eastAsia="Times New Roman"/>
          <w:color w:val="000000"/>
        </w:rPr>
      </w:pPr>
    </w:p>
    <w:p w14:paraId="1D96E749" w14:textId="77777777" w:rsidR="00BD09BA" w:rsidRDefault="00BD09BA" w:rsidP="00BD09BA">
      <w:pPr>
        <w:pStyle w:val="Brdtext"/>
        <w:rPr>
          <w:rFonts w:eastAsia="Times New Roman"/>
          <w:color w:val="000000"/>
        </w:rPr>
      </w:pPr>
    </w:p>
    <w:p w14:paraId="41339716" w14:textId="77777777" w:rsidR="00BD09BA" w:rsidRDefault="00BD09BA" w:rsidP="00BD09BA">
      <w:pPr>
        <w:pStyle w:val="Brdtext"/>
        <w:rPr>
          <w:rFonts w:eastAsia="Times New Roman"/>
          <w:color w:val="000000"/>
        </w:rPr>
      </w:pPr>
    </w:p>
    <w:p w14:paraId="73381057" w14:textId="77777777" w:rsidR="00BD09BA" w:rsidRDefault="00BD09BA" w:rsidP="00BD09BA">
      <w:pPr>
        <w:pStyle w:val="Brdtext"/>
        <w:rPr>
          <w:rFonts w:eastAsia="Times New Roman"/>
          <w:color w:val="000000"/>
        </w:rPr>
      </w:pPr>
    </w:p>
    <w:p w14:paraId="48D7C248" w14:textId="77777777" w:rsidR="00BD09BA" w:rsidRDefault="00BD09BA" w:rsidP="00BD09BA">
      <w:pPr>
        <w:pStyle w:val="Brdtext"/>
        <w:rPr>
          <w:rFonts w:eastAsia="Times New Roman"/>
          <w:color w:val="000000"/>
        </w:rPr>
      </w:pPr>
    </w:p>
    <w:p w14:paraId="1845148F" w14:textId="77777777" w:rsidR="00BD09BA" w:rsidRDefault="00BD09BA" w:rsidP="00BD09BA">
      <w:pPr>
        <w:pStyle w:val="Brdtext"/>
        <w:rPr>
          <w:rFonts w:eastAsia="Times New Roman"/>
          <w:color w:val="000000"/>
        </w:rPr>
      </w:pPr>
    </w:p>
    <w:p w14:paraId="2D32619B" w14:textId="77777777" w:rsidR="00BD09BA" w:rsidRDefault="00BD09BA" w:rsidP="00BD09BA">
      <w:pPr>
        <w:pStyle w:val="Brdtext"/>
        <w:rPr>
          <w:rFonts w:eastAsia="Times New Roman"/>
          <w:color w:val="000000"/>
        </w:rPr>
      </w:pPr>
    </w:p>
    <w:p w14:paraId="00D73EDF" w14:textId="77777777" w:rsidR="00BD09BA" w:rsidRDefault="00BD09BA" w:rsidP="00BD09BA">
      <w:pPr>
        <w:pStyle w:val="Brdtext"/>
        <w:rPr>
          <w:rFonts w:eastAsia="Times New Roman"/>
          <w:color w:val="000000"/>
        </w:rPr>
      </w:pPr>
    </w:p>
    <w:p w14:paraId="5C939008" w14:textId="77777777" w:rsidR="00BD09BA" w:rsidRDefault="00BD09BA" w:rsidP="00BD09BA">
      <w:pPr>
        <w:pStyle w:val="Brdtext"/>
        <w:rPr>
          <w:rFonts w:eastAsia="Times New Roman"/>
          <w:color w:val="000000"/>
        </w:rPr>
      </w:pPr>
    </w:p>
    <w:p w14:paraId="3D649A03" w14:textId="6935A199" w:rsidR="00BD09BA" w:rsidRPr="00BD09BA" w:rsidRDefault="00BD09BA" w:rsidP="00BD09BA">
      <w:pPr>
        <w:pStyle w:val="Brdtext"/>
      </w:pPr>
      <w:r w:rsidRPr="00BD09BA">
        <w:lastRenderedPageBreak/>
        <w:t>Karta över andelen potentiellt rekryteringshabitat för kustfisk (abborre, gädda och mört) per bedömningsområde (kustvattentyp). NA (vit) indikerar att ingen prediktion för kustvattentypen är möjlig på grund av avsaknad av provfiskedata. För mer detaljerade resultat se kapitel 2.3</w:t>
      </w:r>
      <w:r w:rsidRPr="00BD09BA">
        <w:rPr>
          <w:rFonts w:asciiTheme="majorHAnsi" w:hAnsiTheme="majorHAnsi" w:cstheme="majorHAnsi"/>
          <w:b/>
        </w:rPr>
        <w:t>.</w:t>
      </w:r>
    </w:p>
    <w:p w14:paraId="71089446" w14:textId="77777777" w:rsidR="002137D4" w:rsidRDefault="00AF64E1" w:rsidP="005009CD">
      <w:pPr>
        <w:pStyle w:val="Brdtext"/>
        <w:spacing w:after="0"/>
        <w:rPr>
          <w:rFonts w:asciiTheme="majorHAnsi" w:hAnsiTheme="majorHAnsi" w:cstheme="majorHAnsi"/>
          <w:b/>
        </w:rPr>
      </w:pPr>
      <w:r>
        <w:rPr>
          <w:noProof/>
          <w:lang w:eastAsia="sv-SE"/>
        </w:rPr>
        <w:drawing>
          <wp:inline distT="0" distB="0" distL="0" distR="0" wp14:anchorId="2476F68F" wp14:editId="0A9C9DA9">
            <wp:extent cx="5076748" cy="7173590"/>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bitat kustfisk Östersjön 170412.jpg"/>
                    <pic:cNvPicPr/>
                  </pic:nvPicPr>
                  <pic:blipFill>
                    <a:blip r:embed="rId10">
                      <a:extLst>
                        <a:ext uri="{28A0092B-C50C-407E-A947-70E740481C1C}">
                          <a14:useLocalDpi xmlns:a14="http://schemas.microsoft.com/office/drawing/2010/main" val="0"/>
                        </a:ext>
                      </a:extLst>
                    </a:blip>
                    <a:stretch>
                      <a:fillRect/>
                    </a:stretch>
                  </pic:blipFill>
                  <pic:spPr>
                    <a:xfrm>
                      <a:off x="0" y="0"/>
                      <a:ext cx="5083762" cy="7183501"/>
                    </a:xfrm>
                    <a:prstGeom prst="rect">
                      <a:avLst/>
                    </a:prstGeom>
                  </pic:spPr>
                </pic:pic>
              </a:graphicData>
            </a:graphic>
          </wp:inline>
        </w:drawing>
      </w:r>
    </w:p>
    <w:p w14:paraId="4E4AEBED" w14:textId="77777777" w:rsidR="00BD09BA" w:rsidRDefault="00BD09BA" w:rsidP="008F209F">
      <w:pPr>
        <w:pStyle w:val="Brdtext"/>
        <w:rPr>
          <w:rFonts w:asciiTheme="majorHAnsi" w:hAnsiTheme="majorHAnsi" w:cstheme="majorHAnsi"/>
          <w:b/>
          <w:i/>
        </w:rPr>
      </w:pPr>
    </w:p>
    <w:p w14:paraId="6CCA710D" w14:textId="68137A62" w:rsidR="00E13817" w:rsidRPr="005009CD" w:rsidRDefault="00E13817" w:rsidP="008F209F">
      <w:pPr>
        <w:pStyle w:val="Brdtext"/>
        <w:rPr>
          <w:i/>
        </w:rPr>
      </w:pPr>
      <w:r w:rsidRPr="005009CD">
        <w:rPr>
          <w:rFonts w:asciiTheme="majorHAnsi" w:hAnsiTheme="majorHAnsi" w:cstheme="majorHAnsi"/>
          <w:b/>
          <w:i/>
        </w:rPr>
        <w:br w:type="page"/>
      </w:r>
    </w:p>
    <w:p w14:paraId="2D5FF789"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lastRenderedPageBreak/>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55A8075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797"/>
        <w:gridCol w:w="1816"/>
        <w:gridCol w:w="1805"/>
        <w:gridCol w:w="1808"/>
        <w:gridCol w:w="1836"/>
      </w:tblGrid>
      <w:tr w:rsidR="001A460F" w14:paraId="4283679D" w14:textId="77777777" w:rsidTr="001A460F">
        <w:tc>
          <w:tcPr>
            <w:tcW w:w="1842" w:type="dxa"/>
          </w:tcPr>
          <w:p w14:paraId="2A2E0313" w14:textId="33D02AED" w:rsidR="001A460F" w:rsidRDefault="001A460F" w:rsidP="0009349B">
            <w:pPr>
              <w:pStyle w:val="Brdtext"/>
              <w:rPr>
                <w:rFonts w:asciiTheme="minorHAnsi" w:hAnsiTheme="minorHAnsi" w:cstheme="majorHAnsi"/>
              </w:rPr>
            </w:pPr>
            <w:r>
              <w:rPr>
                <w:rFonts w:asciiTheme="minorHAnsi" w:hAnsiTheme="minorHAnsi" w:cstheme="majorHAnsi"/>
              </w:rPr>
              <w:t>MSFD</w:t>
            </w:r>
            <w:r w:rsidR="00E00A04">
              <w:rPr>
                <w:rFonts w:asciiTheme="minorHAnsi" w:hAnsiTheme="minorHAnsi" w:cstheme="majorHAnsi"/>
              </w:rPr>
              <w:t xml:space="preserve"> - kriterium</w:t>
            </w:r>
          </w:p>
        </w:tc>
        <w:tc>
          <w:tcPr>
            <w:tcW w:w="1842" w:type="dxa"/>
          </w:tcPr>
          <w:p w14:paraId="4238B669" w14:textId="7646891D" w:rsidR="001A460F" w:rsidRDefault="001A460F" w:rsidP="0009349B">
            <w:pPr>
              <w:pStyle w:val="Brdtext"/>
              <w:rPr>
                <w:rFonts w:asciiTheme="minorHAnsi" w:hAnsiTheme="minorHAnsi" w:cstheme="majorHAnsi"/>
              </w:rPr>
            </w:pPr>
            <w:r>
              <w:rPr>
                <w:rFonts w:asciiTheme="minorHAnsi" w:hAnsiTheme="minorHAnsi" w:cstheme="majorHAnsi"/>
              </w:rPr>
              <w:t>WFD</w:t>
            </w:r>
            <w:r w:rsidR="00E00A04">
              <w:rPr>
                <w:rFonts w:asciiTheme="minorHAnsi" w:hAnsiTheme="minorHAnsi" w:cstheme="majorHAnsi"/>
              </w:rPr>
              <w:t xml:space="preserve"> - kvalitetsnorm</w:t>
            </w:r>
          </w:p>
        </w:tc>
        <w:tc>
          <w:tcPr>
            <w:tcW w:w="1842" w:type="dxa"/>
          </w:tcPr>
          <w:p w14:paraId="14BAB110"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43" w:type="dxa"/>
          </w:tcPr>
          <w:p w14:paraId="59278143"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43" w:type="dxa"/>
          </w:tcPr>
          <w:p w14:paraId="5B96C7FF" w14:textId="344C451D" w:rsidR="001A460F" w:rsidRDefault="00E00A04" w:rsidP="0009349B">
            <w:pPr>
              <w:pStyle w:val="Brdtext"/>
              <w:rPr>
                <w:rFonts w:asciiTheme="minorHAnsi" w:hAnsiTheme="minorHAnsi" w:cstheme="majorHAnsi"/>
              </w:rPr>
            </w:pPr>
            <w:r>
              <w:rPr>
                <w:rFonts w:asciiTheme="minorHAnsi" w:hAnsiTheme="minorHAnsi" w:cstheme="majorHAnsi"/>
              </w:rPr>
              <w:t>Mer</w:t>
            </w:r>
          </w:p>
        </w:tc>
      </w:tr>
      <w:tr w:rsidR="001A460F" w14:paraId="630D63D5" w14:textId="77777777" w:rsidTr="001A460F">
        <w:tc>
          <w:tcPr>
            <w:tcW w:w="1842" w:type="dxa"/>
          </w:tcPr>
          <w:p w14:paraId="462AD40B" w14:textId="77777777" w:rsidR="001A460F" w:rsidRDefault="001A460F" w:rsidP="0009349B">
            <w:pPr>
              <w:pStyle w:val="Brdtext"/>
              <w:rPr>
                <w:rFonts w:asciiTheme="minorHAnsi" w:hAnsiTheme="minorHAnsi" w:cstheme="majorHAnsi"/>
              </w:rPr>
            </w:pPr>
            <w:r>
              <w:rPr>
                <w:rFonts w:asciiTheme="minorHAnsi" w:hAnsiTheme="minorHAnsi" w:cstheme="majorHAnsi"/>
              </w:rPr>
              <w:t>Deskriptor, kriterium</w:t>
            </w:r>
          </w:p>
        </w:tc>
        <w:tc>
          <w:tcPr>
            <w:tcW w:w="1842" w:type="dxa"/>
          </w:tcPr>
          <w:p w14:paraId="741573F3" w14:textId="77777777" w:rsidR="001A460F" w:rsidRDefault="001A460F" w:rsidP="0009349B">
            <w:pPr>
              <w:pStyle w:val="Brdtext"/>
              <w:rPr>
                <w:rFonts w:asciiTheme="minorHAnsi" w:hAnsiTheme="minorHAnsi" w:cstheme="majorHAnsi"/>
              </w:rPr>
            </w:pPr>
            <w:r>
              <w:rPr>
                <w:rFonts w:asciiTheme="minorHAnsi" w:hAnsiTheme="minorHAnsi" w:cstheme="majorHAnsi"/>
              </w:rPr>
              <w:t>Kvalitetsnorm</w:t>
            </w:r>
          </w:p>
        </w:tc>
        <w:tc>
          <w:tcPr>
            <w:tcW w:w="1842" w:type="dxa"/>
          </w:tcPr>
          <w:p w14:paraId="760E15D4" w14:textId="77777777" w:rsidR="001A460F" w:rsidRDefault="001A460F" w:rsidP="00D44830">
            <w:pPr>
              <w:pStyle w:val="Brdtext"/>
              <w:rPr>
                <w:rFonts w:asciiTheme="minorHAnsi" w:hAnsiTheme="minorHAnsi" w:cstheme="majorHAnsi"/>
              </w:rPr>
            </w:pPr>
            <w:r>
              <w:rPr>
                <w:rFonts w:asciiTheme="minorHAnsi" w:hAnsiTheme="minorHAnsi" w:cstheme="majorHAnsi"/>
              </w:rPr>
              <w:t xml:space="preserve">Miljömål </w:t>
            </w:r>
            <w:r w:rsidR="00D44830">
              <w:rPr>
                <w:rFonts w:asciiTheme="minorHAnsi" w:hAnsiTheme="minorHAnsi" w:cstheme="majorHAnsi"/>
              </w:rPr>
              <w:t>m.</w:t>
            </w:r>
            <w:r>
              <w:rPr>
                <w:rFonts w:asciiTheme="minorHAnsi" w:hAnsiTheme="minorHAnsi" w:cstheme="majorHAnsi"/>
              </w:rPr>
              <w:t xml:space="preserve"> spec.</w:t>
            </w:r>
          </w:p>
        </w:tc>
        <w:tc>
          <w:tcPr>
            <w:tcW w:w="1843" w:type="dxa"/>
          </w:tcPr>
          <w:p w14:paraId="15685D3B" w14:textId="77777777" w:rsidR="001A460F" w:rsidRDefault="001A460F" w:rsidP="0009349B">
            <w:pPr>
              <w:pStyle w:val="Brdtext"/>
              <w:rPr>
                <w:rFonts w:asciiTheme="minorHAnsi" w:hAnsiTheme="minorHAnsi" w:cstheme="majorHAnsi"/>
              </w:rPr>
            </w:pPr>
            <w:r>
              <w:rPr>
                <w:rFonts w:asciiTheme="minorHAnsi" w:hAnsiTheme="minorHAnsi" w:cstheme="majorHAnsi"/>
              </w:rPr>
              <w:t>Mål i BSAP</w:t>
            </w:r>
          </w:p>
        </w:tc>
        <w:tc>
          <w:tcPr>
            <w:tcW w:w="1843" w:type="dxa"/>
          </w:tcPr>
          <w:p w14:paraId="5FCD539C" w14:textId="6E8FEB74" w:rsidR="001A460F" w:rsidRDefault="001A460F" w:rsidP="0009349B">
            <w:pPr>
              <w:pStyle w:val="Brdtext"/>
              <w:rPr>
                <w:rFonts w:asciiTheme="minorHAnsi" w:hAnsiTheme="minorHAnsi" w:cstheme="majorHAnsi"/>
              </w:rPr>
            </w:pPr>
          </w:p>
        </w:tc>
      </w:tr>
      <w:tr w:rsidR="004D40E5" w14:paraId="2BEE42D4" w14:textId="77777777" w:rsidTr="001A460F">
        <w:tc>
          <w:tcPr>
            <w:tcW w:w="1842" w:type="dxa"/>
          </w:tcPr>
          <w:p w14:paraId="13BBCC41" w14:textId="692C7F04" w:rsidR="004D40E5" w:rsidRDefault="004D40E5" w:rsidP="00B94F16">
            <w:pPr>
              <w:pStyle w:val="Brdtext"/>
              <w:rPr>
                <w:rFonts w:asciiTheme="minorHAnsi" w:hAnsiTheme="minorHAnsi" w:cstheme="majorHAnsi"/>
              </w:rPr>
            </w:pPr>
            <w:r>
              <w:rPr>
                <w:rFonts w:asciiTheme="minorHAnsi" w:hAnsiTheme="minorHAnsi" w:cstheme="majorHAnsi"/>
              </w:rPr>
              <w:t>D1C5</w:t>
            </w:r>
          </w:p>
        </w:tc>
        <w:tc>
          <w:tcPr>
            <w:tcW w:w="1842" w:type="dxa"/>
          </w:tcPr>
          <w:p w14:paraId="2697A657" w14:textId="77777777" w:rsidR="004D40E5" w:rsidRDefault="004D40E5" w:rsidP="0009349B">
            <w:pPr>
              <w:pStyle w:val="Brdtext"/>
              <w:rPr>
                <w:rFonts w:asciiTheme="minorHAnsi" w:hAnsiTheme="minorHAnsi" w:cstheme="majorHAnsi"/>
              </w:rPr>
            </w:pPr>
            <w:r>
              <w:rPr>
                <w:rFonts w:asciiTheme="minorHAnsi" w:hAnsiTheme="minorHAnsi" w:cstheme="majorHAnsi"/>
              </w:rPr>
              <w:t>…</w:t>
            </w:r>
          </w:p>
        </w:tc>
        <w:tc>
          <w:tcPr>
            <w:tcW w:w="1842" w:type="dxa"/>
          </w:tcPr>
          <w:p w14:paraId="22D53172" w14:textId="6B119C36" w:rsidR="004D40E5" w:rsidRDefault="004D40E5" w:rsidP="0009349B">
            <w:pPr>
              <w:pStyle w:val="Brdtext"/>
              <w:rPr>
                <w:rFonts w:asciiTheme="minorHAnsi" w:hAnsiTheme="minorHAnsi" w:cstheme="majorHAnsi"/>
              </w:rPr>
            </w:pPr>
            <w:r w:rsidRPr="001F5AE2">
              <w:rPr>
                <w:rFonts w:asciiTheme="minorHAnsi" w:hAnsiTheme="minorHAnsi" w:cstheme="majorHAnsi"/>
              </w:rPr>
              <w:t>Hav i balans samt levande kust och skärgård, Ingen övergödning samt Ett rikt växt- och djurliv.</w:t>
            </w:r>
          </w:p>
        </w:tc>
        <w:tc>
          <w:tcPr>
            <w:tcW w:w="1843" w:type="dxa"/>
          </w:tcPr>
          <w:p w14:paraId="67D6B415" w14:textId="0116970E" w:rsidR="004D40E5" w:rsidRPr="00171A84" w:rsidRDefault="004D40E5" w:rsidP="0009349B">
            <w:pPr>
              <w:pStyle w:val="Brdtext"/>
              <w:rPr>
                <w:rFonts w:asciiTheme="minorHAnsi" w:hAnsiTheme="minorHAnsi" w:cstheme="majorHAnsi"/>
                <w:lang w:val="en-US"/>
              </w:rPr>
            </w:pPr>
            <w:r w:rsidRPr="00171A84">
              <w:rPr>
                <w:rFonts w:asciiTheme="minorHAnsi" w:hAnsiTheme="minorHAnsi" w:cstheme="majorHAnsi"/>
                <w:lang w:val="en-US"/>
              </w:rPr>
              <w:t>Favo</w:t>
            </w:r>
            <w:r w:rsidR="006024C3" w:rsidRPr="00171A84">
              <w:rPr>
                <w:rFonts w:asciiTheme="minorHAnsi" w:hAnsiTheme="minorHAnsi" w:cstheme="majorHAnsi"/>
                <w:lang w:val="en-US"/>
              </w:rPr>
              <w:t>u</w:t>
            </w:r>
            <w:r w:rsidRPr="00171A84">
              <w:rPr>
                <w:rFonts w:asciiTheme="minorHAnsi" w:hAnsiTheme="minorHAnsi" w:cstheme="majorHAnsi"/>
                <w:lang w:val="en-US"/>
              </w:rPr>
              <w:t>rable</w:t>
            </w:r>
            <w:r w:rsidR="00171A84">
              <w:rPr>
                <w:rFonts w:asciiTheme="minorHAnsi" w:hAnsiTheme="minorHAnsi" w:cstheme="majorHAnsi"/>
                <w:lang w:val="en-US"/>
              </w:rPr>
              <w:t xml:space="preserve"> conservation status of </w:t>
            </w:r>
            <w:r w:rsidRPr="00171A84">
              <w:rPr>
                <w:rFonts w:asciiTheme="minorHAnsi" w:hAnsiTheme="minorHAnsi" w:cstheme="majorHAnsi"/>
                <w:lang w:val="en-US"/>
              </w:rPr>
              <w:t>Baltic Sea biodiversity</w:t>
            </w:r>
          </w:p>
        </w:tc>
        <w:tc>
          <w:tcPr>
            <w:tcW w:w="1843" w:type="dxa"/>
          </w:tcPr>
          <w:p w14:paraId="32C78962" w14:textId="72F123D8" w:rsidR="004D40E5" w:rsidRDefault="004D40E5" w:rsidP="00553AFD">
            <w:pPr>
              <w:pStyle w:val="Brdtext"/>
              <w:rPr>
                <w:rFonts w:asciiTheme="minorHAnsi" w:hAnsiTheme="minorHAnsi" w:cstheme="majorHAnsi"/>
              </w:rPr>
            </w:pPr>
            <w:r w:rsidRPr="0098030F">
              <w:rPr>
                <w:rFonts w:asciiTheme="minorHAnsi" w:hAnsiTheme="minorHAnsi" w:cstheme="majorHAnsi"/>
              </w:rPr>
              <w:t xml:space="preserve">HaV:s mål </w:t>
            </w:r>
            <w:r w:rsidR="006024C3">
              <w:rPr>
                <w:rFonts w:asciiTheme="minorHAnsi" w:hAnsiTheme="minorHAnsi" w:cstheme="majorHAnsi"/>
                <w:i/>
              </w:rPr>
              <w:t>E</w:t>
            </w:r>
            <w:r w:rsidRPr="0098030F">
              <w:rPr>
                <w:rFonts w:asciiTheme="minorHAnsi" w:hAnsiTheme="minorHAnsi" w:cstheme="majorHAnsi"/>
                <w:i/>
              </w:rPr>
              <w:t>n god miljö i sjöar vattendrag och kustvatten</w:t>
            </w:r>
            <w:r w:rsidRPr="0098030F">
              <w:rPr>
                <w:rFonts w:asciiTheme="minorHAnsi" w:hAnsiTheme="minorHAnsi" w:cstheme="majorHAnsi"/>
              </w:rPr>
              <w:t xml:space="preserve"> samt fokusområdet </w:t>
            </w:r>
            <w:r w:rsidR="006024C3">
              <w:rPr>
                <w:rFonts w:asciiTheme="minorHAnsi" w:hAnsiTheme="minorHAnsi" w:cstheme="majorHAnsi"/>
                <w:i/>
              </w:rPr>
              <w:t>H</w:t>
            </w:r>
            <w:r w:rsidRPr="0098030F">
              <w:rPr>
                <w:rFonts w:asciiTheme="minorHAnsi" w:hAnsiTheme="minorHAnsi" w:cstheme="majorHAnsi"/>
                <w:i/>
              </w:rPr>
              <w:t>ållbart fiske</w:t>
            </w:r>
            <w:r w:rsidRPr="0098030F">
              <w:rPr>
                <w:rFonts w:asciiTheme="minorHAnsi" w:hAnsiTheme="minorHAnsi" w:cstheme="majorHAnsi"/>
              </w:rPr>
              <w:t>.</w:t>
            </w:r>
            <w:r w:rsidR="006024C3">
              <w:rPr>
                <w:rFonts w:asciiTheme="minorHAnsi" w:hAnsiTheme="minorHAnsi" w:cstheme="majorHAnsi"/>
              </w:rPr>
              <w:t xml:space="preserve"> Även </w:t>
            </w:r>
            <w:r w:rsidR="00FD7142">
              <w:rPr>
                <w:rFonts w:asciiTheme="minorHAnsi" w:hAnsiTheme="minorHAnsi" w:cstheme="majorHAnsi"/>
              </w:rPr>
              <w:t xml:space="preserve">uppföljning av ekologisk status för vissa naturtyper i </w:t>
            </w:r>
            <w:r w:rsidR="006024C3">
              <w:rPr>
                <w:rFonts w:asciiTheme="minorHAnsi" w:hAnsiTheme="minorHAnsi" w:cstheme="majorHAnsi"/>
              </w:rPr>
              <w:t>Art- och habitatdirektivet</w:t>
            </w:r>
            <w:r w:rsidR="00553AFD">
              <w:rPr>
                <w:rFonts w:asciiTheme="minorHAnsi" w:hAnsiTheme="minorHAnsi" w:cstheme="majorHAnsi"/>
              </w:rPr>
              <w:t>.</w:t>
            </w:r>
            <w:r w:rsidR="006024C3">
              <w:rPr>
                <w:rFonts w:asciiTheme="minorHAnsi" w:hAnsiTheme="minorHAnsi" w:cstheme="majorHAnsi"/>
              </w:rPr>
              <w:t xml:space="preserve"> </w:t>
            </w:r>
          </w:p>
        </w:tc>
      </w:tr>
    </w:tbl>
    <w:p w14:paraId="6E868AC4" w14:textId="77777777" w:rsidR="001A460F" w:rsidRPr="00E13817" w:rsidRDefault="001A460F" w:rsidP="0009349B">
      <w:pPr>
        <w:pStyle w:val="Brdtext"/>
        <w:rPr>
          <w:rFonts w:asciiTheme="minorHAnsi" w:hAnsiTheme="minorHAnsi" w:cstheme="majorHAnsi"/>
        </w:rPr>
      </w:pPr>
    </w:p>
    <w:p w14:paraId="3A86738B"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36"/>
        <w:gridCol w:w="4526"/>
      </w:tblGrid>
      <w:tr w:rsidR="00773B4E" w14:paraId="7AB5297F" w14:textId="77777777" w:rsidTr="00E00A04">
        <w:tc>
          <w:tcPr>
            <w:tcW w:w="9062" w:type="dxa"/>
            <w:gridSpan w:val="2"/>
          </w:tcPr>
          <w:p w14:paraId="530B7C87" w14:textId="77777777" w:rsidR="00773B4E" w:rsidRDefault="00773B4E">
            <w:pPr>
              <w:tabs>
                <w:tab w:val="clear" w:pos="5041"/>
              </w:tabs>
              <w:spacing w:after="0"/>
            </w:pPr>
            <w:r>
              <w:t>Grundläggande förhållanden</w:t>
            </w:r>
            <w:r w:rsidR="00CB57D2">
              <w:t xml:space="preserve"> (Bilaga III, Tabell 1)</w:t>
            </w:r>
          </w:p>
        </w:tc>
      </w:tr>
      <w:tr w:rsidR="00773B4E" w14:paraId="54363E88" w14:textId="77777777" w:rsidTr="00E00A04">
        <w:tc>
          <w:tcPr>
            <w:tcW w:w="4536" w:type="dxa"/>
          </w:tcPr>
          <w:p w14:paraId="1305E0E7" w14:textId="53F7DC94" w:rsidR="00773B4E" w:rsidRDefault="00E00A04" w:rsidP="00E00A04">
            <w:pPr>
              <w:tabs>
                <w:tab w:val="clear" w:pos="5041"/>
              </w:tabs>
              <w:spacing w:after="0"/>
            </w:pPr>
            <w:r w:rsidRPr="00E00A04">
              <w:t>Grupper av arter av havsfåglar, däggdjur, reptiler, fiskar och bläckfiskar i den marina regionen eller delregionen</w:t>
            </w:r>
          </w:p>
        </w:tc>
        <w:tc>
          <w:tcPr>
            <w:tcW w:w="4526" w:type="dxa"/>
          </w:tcPr>
          <w:p w14:paraId="6AF85733" w14:textId="7D629321" w:rsidR="00773B4E" w:rsidRDefault="00E00A04" w:rsidP="00E00A04">
            <w:pPr>
              <w:tabs>
                <w:tab w:val="clear" w:pos="5041"/>
              </w:tabs>
              <w:spacing w:after="0"/>
            </w:pPr>
            <w:r w:rsidRPr="00E00A04">
              <w:t>Geografisk och tidsmässig variation per art eller population:</w:t>
            </w:r>
            <w:r>
              <w:t xml:space="preserve"> a</w:t>
            </w:r>
            <w:r w:rsidRPr="00E00A04">
              <w:t>rtens livsmiljö (utsträckning, lämplighet)</w:t>
            </w:r>
          </w:p>
        </w:tc>
      </w:tr>
      <w:tr w:rsidR="00773B4E" w14:paraId="509AE751" w14:textId="77777777" w:rsidTr="00E00A04">
        <w:tc>
          <w:tcPr>
            <w:tcW w:w="9062" w:type="dxa"/>
            <w:gridSpan w:val="2"/>
          </w:tcPr>
          <w:p w14:paraId="4009BCC0" w14:textId="77777777" w:rsidR="00773B4E" w:rsidRDefault="00773B4E">
            <w:pPr>
              <w:tabs>
                <w:tab w:val="clear" w:pos="5041"/>
              </w:tabs>
              <w:spacing w:after="0"/>
            </w:pPr>
            <w:r>
              <w:t>Belastning och påverkan</w:t>
            </w:r>
            <w:r w:rsidR="00CB57D2">
              <w:t xml:space="preserve"> (Bilaga III, Tabell 2)</w:t>
            </w:r>
          </w:p>
        </w:tc>
      </w:tr>
      <w:tr w:rsidR="00E00A04" w14:paraId="302871F2" w14:textId="77777777" w:rsidTr="00E00A04">
        <w:tc>
          <w:tcPr>
            <w:tcW w:w="4536" w:type="dxa"/>
          </w:tcPr>
          <w:p w14:paraId="2A616DAB" w14:textId="1E63B960" w:rsidR="00E00A04" w:rsidRDefault="00E00A04" w:rsidP="00E00A04">
            <w:pPr>
              <w:tabs>
                <w:tab w:val="clear" w:pos="5041"/>
              </w:tabs>
              <w:spacing w:after="0"/>
            </w:pPr>
            <w:r w:rsidRPr="00987368">
              <w:rPr>
                <w:color w:val="000000"/>
              </w:rPr>
              <w:t>Biologiskt</w:t>
            </w:r>
          </w:p>
        </w:tc>
        <w:tc>
          <w:tcPr>
            <w:tcW w:w="4526" w:type="dxa"/>
          </w:tcPr>
          <w:p w14:paraId="72CB53D1" w14:textId="77777777" w:rsidR="00E00A04" w:rsidRPr="00987368" w:rsidRDefault="00E00A04" w:rsidP="00E00A04">
            <w:pPr>
              <w:tabs>
                <w:tab w:val="clear" w:pos="5041"/>
              </w:tabs>
              <w:spacing w:after="0"/>
            </w:pPr>
            <w:r w:rsidRPr="00987368">
              <w:t>Uttag av, eller dödlighet/skada hos, vilda arter, däribland mål- och icke-målarter (genom yrkes- och fritidsfiske och annan verksamhet)</w:t>
            </w:r>
          </w:p>
          <w:p w14:paraId="7D5B5EC0" w14:textId="77777777" w:rsidR="00E00A04" w:rsidRPr="00987368" w:rsidRDefault="00E00A04" w:rsidP="00E00A04">
            <w:pPr>
              <w:tabs>
                <w:tab w:val="clear" w:pos="5041"/>
              </w:tabs>
              <w:spacing w:after="0"/>
            </w:pPr>
          </w:p>
          <w:p w14:paraId="76B8F1FD" w14:textId="354EE642" w:rsidR="00E00A04" w:rsidRDefault="00E00A04" w:rsidP="00E00A04">
            <w:pPr>
              <w:tabs>
                <w:tab w:val="clear" w:pos="5041"/>
              </w:tabs>
              <w:spacing w:after="0"/>
            </w:pPr>
            <w:r w:rsidRPr="00987368">
              <w:t>Störning av arter (t.ex. i lek- rast- och födosöksområden) på grund av mänsklig närvaro</w:t>
            </w:r>
          </w:p>
        </w:tc>
      </w:tr>
      <w:tr w:rsidR="00E00A04" w14:paraId="4ADA014B" w14:textId="77777777" w:rsidTr="00E00A04">
        <w:tc>
          <w:tcPr>
            <w:tcW w:w="4536" w:type="dxa"/>
          </w:tcPr>
          <w:p w14:paraId="59C38B28" w14:textId="2FDC9F3C" w:rsidR="00E00A04" w:rsidRPr="00987368" w:rsidRDefault="00E00A04" w:rsidP="00E00A04">
            <w:pPr>
              <w:tabs>
                <w:tab w:val="clear" w:pos="5041"/>
              </w:tabs>
              <w:spacing w:after="0"/>
              <w:rPr>
                <w:color w:val="000000"/>
              </w:rPr>
            </w:pPr>
            <w:r w:rsidRPr="00987368">
              <w:rPr>
                <w:color w:val="000000"/>
              </w:rPr>
              <w:t>Fysiskt</w:t>
            </w:r>
          </w:p>
        </w:tc>
        <w:tc>
          <w:tcPr>
            <w:tcW w:w="4526" w:type="dxa"/>
          </w:tcPr>
          <w:p w14:paraId="3DD59877" w14:textId="77777777" w:rsidR="00E00A04" w:rsidRPr="00987368" w:rsidRDefault="00E00A04" w:rsidP="00E00A04">
            <w:pPr>
              <w:tabs>
                <w:tab w:val="clear" w:pos="5041"/>
              </w:tabs>
              <w:spacing w:after="0"/>
            </w:pPr>
            <w:r w:rsidRPr="00987368">
              <w:t>Fysisk störning av havsbotten (tillfällig eller reversibel)</w:t>
            </w:r>
          </w:p>
          <w:p w14:paraId="4646EBA4" w14:textId="77777777" w:rsidR="00E00A04" w:rsidRPr="00987368" w:rsidRDefault="00E00A04" w:rsidP="00E00A04">
            <w:pPr>
              <w:tabs>
                <w:tab w:val="clear" w:pos="5041"/>
              </w:tabs>
              <w:spacing w:after="0"/>
            </w:pPr>
          </w:p>
          <w:p w14:paraId="3DBE5BF1" w14:textId="29CAC753" w:rsidR="00E00A04" w:rsidRPr="00987368" w:rsidRDefault="00E00A04" w:rsidP="00E00A04">
            <w:pPr>
              <w:tabs>
                <w:tab w:val="clear" w:pos="5041"/>
              </w:tabs>
              <w:spacing w:after="0"/>
            </w:pPr>
            <w:r w:rsidRPr="00987368">
              <w:t>Fysisk förlust (på grund av varaktig förändring av havsbottensubstrat eller havsbottnens morfologi och på grund av utvinning av havsbottensubstrat)</w:t>
            </w:r>
          </w:p>
        </w:tc>
      </w:tr>
      <w:tr w:rsidR="00E00A04" w14:paraId="4249506C" w14:textId="77777777" w:rsidTr="00E00A04">
        <w:tc>
          <w:tcPr>
            <w:tcW w:w="4536" w:type="dxa"/>
          </w:tcPr>
          <w:p w14:paraId="072CD218" w14:textId="634D7F56" w:rsidR="00E00A04" w:rsidRPr="00987368" w:rsidRDefault="00E00A04" w:rsidP="00E00A04">
            <w:pPr>
              <w:tabs>
                <w:tab w:val="clear" w:pos="5041"/>
              </w:tabs>
              <w:spacing w:after="0"/>
              <w:rPr>
                <w:color w:val="000000"/>
              </w:rPr>
            </w:pPr>
            <w:r w:rsidRPr="00987368">
              <w:rPr>
                <w:color w:val="000000"/>
              </w:rPr>
              <w:t>Ämnen, skräp och energi</w:t>
            </w:r>
          </w:p>
        </w:tc>
        <w:tc>
          <w:tcPr>
            <w:tcW w:w="4526" w:type="dxa"/>
          </w:tcPr>
          <w:p w14:paraId="2F1AEB52" w14:textId="77777777" w:rsidR="00E00A04" w:rsidRPr="00987368" w:rsidRDefault="00E00A04" w:rsidP="00E00A04">
            <w:pPr>
              <w:tabs>
                <w:tab w:val="clear" w:pos="5041"/>
              </w:tabs>
              <w:spacing w:after="0"/>
            </w:pPr>
            <w:r w:rsidRPr="00987368">
              <w:t>Tillförsel av näringsämnen – diffusa källor, punktkällor, atmosfärisk deposition</w:t>
            </w:r>
          </w:p>
          <w:p w14:paraId="36C283E7" w14:textId="77777777" w:rsidR="00E00A04" w:rsidRPr="00987368" w:rsidRDefault="00E00A04" w:rsidP="00E00A04">
            <w:pPr>
              <w:tabs>
                <w:tab w:val="clear" w:pos="5041"/>
              </w:tabs>
              <w:spacing w:after="0"/>
            </w:pPr>
          </w:p>
          <w:p w14:paraId="5F4B09F6" w14:textId="77777777" w:rsidR="00E00A04" w:rsidRPr="00987368" w:rsidRDefault="00E00A04" w:rsidP="00E00A04">
            <w:pPr>
              <w:tabs>
                <w:tab w:val="clear" w:pos="5041"/>
              </w:tabs>
              <w:spacing w:after="0"/>
            </w:pPr>
            <w:r w:rsidRPr="00987368">
              <w:t>Tillförsel av organiskt material – diffusa källor och punktkällor</w:t>
            </w:r>
          </w:p>
          <w:p w14:paraId="5CCA026C" w14:textId="77777777" w:rsidR="00E00A04" w:rsidRPr="00987368" w:rsidRDefault="00E00A04" w:rsidP="00E00A04">
            <w:pPr>
              <w:tabs>
                <w:tab w:val="clear" w:pos="5041"/>
              </w:tabs>
              <w:spacing w:after="0"/>
            </w:pPr>
          </w:p>
          <w:p w14:paraId="5D8494B2" w14:textId="4CCBE431" w:rsidR="00E00A04" w:rsidRPr="00987368" w:rsidRDefault="00E00A04" w:rsidP="00E00A04">
            <w:pPr>
              <w:tabs>
                <w:tab w:val="clear" w:pos="5041"/>
              </w:tabs>
              <w:spacing w:after="0"/>
            </w:pPr>
            <w:r w:rsidRPr="00987368">
              <w:t>Tillförsel av farliga ämnen (syntetiska ämnen, icke syntetiska ämnen, radionuklider) – diffusa källor, punktkällor, atmosfärisk deposition, akuta händelser</w:t>
            </w:r>
          </w:p>
        </w:tc>
      </w:tr>
    </w:tbl>
    <w:p w14:paraId="3C38B0EE" w14:textId="77777777" w:rsidR="00A84F48" w:rsidRDefault="00A84F48">
      <w:pPr>
        <w:tabs>
          <w:tab w:val="clear" w:pos="5041"/>
        </w:tabs>
        <w:spacing w:after="0"/>
      </w:pPr>
      <w:bookmarkStart w:id="0" w:name="_GoBack"/>
      <w:bookmarkEnd w:id="0"/>
    </w:p>
    <w:p w14:paraId="65E86CF4" w14:textId="77777777"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4D288F75" w14:textId="77777777" w:rsidTr="003D34CE">
        <w:trPr>
          <w:trHeight w:val="1694"/>
        </w:trPr>
        <w:tc>
          <w:tcPr>
            <w:tcW w:w="2376" w:type="dxa"/>
          </w:tcPr>
          <w:p w14:paraId="20A8CC52" w14:textId="77777777" w:rsidR="00544886" w:rsidRDefault="00544886">
            <w:pPr>
              <w:tabs>
                <w:tab w:val="clear" w:pos="5041"/>
              </w:tabs>
              <w:spacing w:after="0"/>
            </w:pPr>
            <w:r>
              <w:t>Parameter</w:t>
            </w:r>
          </w:p>
        </w:tc>
        <w:tc>
          <w:tcPr>
            <w:tcW w:w="2114" w:type="dxa"/>
          </w:tcPr>
          <w:p w14:paraId="06B32D0D" w14:textId="77777777" w:rsidR="00544886" w:rsidRDefault="00544886">
            <w:pPr>
              <w:tabs>
                <w:tab w:val="clear" w:pos="5041"/>
              </w:tabs>
              <w:spacing w:after="0"/>
            </w:pPr>
            <w:r>
              <w:t>Program resp. underprogram i HaVs övervakningsprogram</w:t>
            </w:r>
          </w:p>
        </w:tc>
        <w:tc>
          <w:tcPr>
            <w:tcW w:w="2293" w:type="dxa"/>
          </w:tcPr>
          <w:p w14:paraId="22D3F53C" w14:textId="77777777" w:rsidR="00544886" w:rsidRDefault="00544886" w:rsidP="00544886">
            <w:pPr>
              <w:tabs>
                <w:tab w:val="clear" w:pos="5041"/>
              </w:tabs>
              <w:spacing w:after="0"/>
            </w:pPr>
            <w:r>
              <w:t>Dataägare samt databas med hyperlänk</w:t>
            </w:r>
          </w:p>
        </w:tc>
        <w:tc>
          <w:tcPr>
            <w:tcW w:w="2293" w:type="dxa"/>
          </w:tcPr>
          <w:p w14:paraId="3873CA66" w14:textId="77777777" w:rsidR="00544886" w:rsidRDefault="00544886" w:rsidP="00544886">
            <w:pPr>
              <w:tabs>
                <w:tab w:val="clear" w:pos="5041"/>
              </w:tabs>
              <w:spacing w:after="0"/>
            </w:pPr>
            <w:r>
              <w:t>Hyperlänk till rådata-snapshot</w:t>
            </w:r>
          </w:p>
        </w:tc>
      </w:tr>
      <w:tr w:rsidR="005A0221" w14:paraId="667002D1" w14:textId="77777777" w:rsidTr="003D34CE">
        <w:trPr>
          <w:trHeight w:val="277"/>
        </w:trPr>
        <w:tc>
          <w:tcPr>
            <w:tcW w:w="2376" w:type="dxa"/>
          </w:tcPr>
          <w:p w14:paraId="281464A1" w14:textId="76B77936" w:rsidR="005A0221" w:rsidRPr="0034175C" w:rsidRDefault="005A0221">
            <w:pPr>
              <w:tabs>
                <w:tab w:val="clear" w:pos="5041"/>
              </w:tabs>
              <w:spacing w:after="0"/>
              <w:rPr>
                <w:i/>
              </w:rPr>
            </w:pPr>
          </w:p>
        </w:tc>
        <w:tc>
          <w:tcPr>
            <w:tcW w:w="2114" w:type="dxa"/>
          </w:tcPr>
          <w:p w14:paraId="31654842" w14:textId="2C7ACD9E" w:rsidR="005A0221" w:rsidRDefault="003D34CE">
            <w:pPr>
              <w:tabs>
                <w:tab w:val="clear" w:pos="5041"/>
              </w:tabs>
              <w:spacing w:after="0"/>
            </w:pPr>
            <w:r>
              <w:t>Saknas i dagsläget</w:t>
            </w:r>
          </w:p>
        </w:tc>
        <w:tc>
          <w:tcPr>
            <w:tcW w:w="2293" w:type="dxa"/>
          </w:tcPr>
          <w:p w14:paraId="1591E8AA" w14:textId="77777777" w:rsidR="005A0221" w:rsidRDefault="005A0221">
            <w:pPr>
              <w:tabs>
                <w:tab w:val="clear" w:pos="5041"/>
              </w:tabs>
              <w:spacing w:after="0"/>
            </w:pPr>
          </w:p>
        </w:tc>
        <w:tc>
          <w:tcPr>
            <w:tcW w:w="2293" w:type="dxa"/>
          </w:tcPr>
          <w:p w14:paraId="19978FB0" w14:textId="77777777" w:rsidR="005A0221" w:rsidRDefault="005A0221">
            <w:pPr>
              <w:tabs>
                <w:tab w:val="clear" w:pos="5041"/>
              </w:tabs>
              <w:spacing w:after="0"/>
            </w:pPr>
          </w:p>
        </w:tc>
      </w:tr>
    </w:tbl>
    <w:p w14:paraId="288FAFB7" w14:textId="27F90B2F" w:rsidR="00804DBE" w:rsidRDefault="00804DBE">
      <w:pPr>
        <w:tabs>
          <w:tab w:val="clear" w:pos="5041"/>
        </w:tabs>
        <w:spacing w:after="0"/>
      </w:pPr>
    </w:p>
    <w:p w14:paraId="7E2F03C1" w14:textId="77777777" w:rsidR="003D34CE" w:rsidRDefault="003D34CE">
      <w:pPr>
        <w:tabs>
          <w:tab w:val="clear" w:pos="5041"/>
        </w:tabs>
        <w:spacing w:after="0"/>
      </w:pPr>
    </w:p>
    <w:p w14:paraId="6CB00FC0" w14:textId="77777777" w:rsidR="003D34CE" w:rsidRDefault="003D34CE">
      <w:pPr>
        <w:tabs>
          <w:tab w:val="clear" w:pos="5041"/>
        </w:tabs>
        <w:spacing w:after="0"/>
      </w:pPr>
    </w:p>
    <w:p w14:paraId="2B54D0B4" w14:textId="77777777" w:rsidR="00A84F48" w:rsidRDefault="0070387B" w:rsidP="004B7657">
      <w:pPr>
        <w:tabs>
          <w:tab w:val="clear" w:pos="5041"/>
        </w:tabs>
      </w:pPr>
      <w:r>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226CA646" w14:textId="39E3C1CF" w:rsidR="004B7657" w:rsidRDefault="00A952E2" w:rsidP="004B7657">
      <w:pPr>
        <w:tabs>
          <w:tab w:val="clear" w:pos="5041"/>
        </w:tabs>
        <w:spacing w:after="0"/>
        <w:rPr>
          <w:i/>
        </w:rPr>
      </w:pPr>
      <w:r>
        <w:rPr>
          <w:i/>
        </w:rPr>
        <w:t>Andel av kustvattentypen preliminärt bedömd som potentiell rekryteringsmiljö för abborre, gädda och mört</w:t>
      </w:r>
      <w:r w:rsidR="004F2262">
        <w:rPr>
          <w:i/>
        </w:rPr>
        <w:t>.</w:t>
      </w:r>
      <w:r w:rsidR="00BF7088">
        <w:rPr>
          <w:i/>
        </w:rPr>
        <w:t xml:space="preserve"> Det observerade värdet</w:t>
      </w:r>
      <w:r w:rsidR="004F2262">
        <w:rPr>
          <w:i/>
        </w:rPr>
        <w:t xml:space="preserve"> </w:t>
      </w:r>
      <w:r w:rsidR="00BF7088">
        <w:rPr>
          <w:i/>
        </w:rPr>
        <w:t xml:space="preserve">anger hur stor del av kustvattentypens yta som potentiellt kan fungera som rekryteringsområde. Dock endast baserat </w:t>
      </w:r>
      <w:r>
        <w:rPr>
          <w:i/>
        </w:rPr>
        <w:t xml:space="preserve">på </w:t>
      </w:r>
      <w:r w:rsidR="00BF7088">
        <w:rPr>
          <w:i/>
        </w:rPr>
        <w:t xml:space="preserve">de </w:t>
      </w:r>
      <w:r>
        <w:rPr>
          <w:i/>
        </w:rPr>
        <w:t>djup och vågexponeringsvärden</w:t>
      </w:r>
      <w:r w:rsidR="004F2262">
        <w:rPr>
          <w:i/>
        </w:rPr>
        <w:t xml:space="preserve"> </w:t>
      </w:r>
      <w:r w:rsidR="00BF7088">
        <w:rPr>
          <w:i/>
        </w:rPr>
        <w:t>per kustvattentyp inom vilka yngel har observerats. Andra påverkande faktorer har således inte beaktats i denna första kvalitativa bedömning</w:t>
      </w:r>
      <w:r w:rsidR="004F2262">
        <w:rPr>
          <w:i/>
        </w:rPr>
        <w:t xml:space="preserve">. Kustvatten utan </w:t>
      </w:r>
      <w:r w:rsidR="00AB4D2C">
        <w:rPr>
          <w:i/>
        </w:rPr>
        <w:t xml:space="preserve">yngelinventeringar </w:t>
      </w:r>
      <w:r w:rsidR="00E97E2A">
        <w:rPr>
          <w:i/>
        </w:rPr>
        <w:t xml:space="preserve">(2001-2015) </w:t>
      </w:r>
      <w:r w:rsidR="004F2262">
        <w:rPr>
          <w:i/>
        </w:rPr>
        <w:t>är markerade med streck (-).</w:t>
      </w:r>
      <w:r w:rsidR="00553AFD">
        <w:rPr>
          <w:i/>
        </w:rPr>
        <w:t xml:space="preserve"> SE anger ett standardfel av observerat värde</w:t>
      </w:r>
      <w:r w:rsidR="00276DDB">
        <w:rPr>
          <w:i/>
        </w:rPr>
        <w:t xml:space="preserve"> utgående från skillnader mellan arterna</w:t>
      </w:r>
      <w:r w:rsidR="00553AFD">
        <w:rPr>
          <w:i/>
        </w:rPr>
        <w:t>.</w:t>
      </w:r>
      <w:r w:rsidR="004F2262">
        <w:rPr>
          <w:i/>
        </w:rPr>
        <w:t xml:space="preserve"> </w:t>
      </w:r>
    </w:p>
    <w:p w14:paraId="15AF4D56" w14:textId="77777777" w:rsidR="009779A0" w:rsidRPr="004B7657" w:rsidRDefault="009779A0" w:rsidP="004B7657">
      <w:pPr>
        <w:tabs>
          <w:tab w:val="clear" w:pos="5041"/>
        </w:tabs>
        <w:spacing w:after="0"/>
        <w:rPr>
          <w:rFonts w:ascii="Georgia" w:eastAsiaTheme="minorHAnsi" w:hAnsi="Georgia" w:cstheme="minorBidi"/>
          <w:i/>
          <w:sz w:val="22"/>
          <w:szCs w:val="22"/>
          <w:lang w:eastAsia="en-US"/>
        </w:rPr>
      </w:pPr>
    </w:p>
    <w:tbl>
      <w:tblPr>
        <w:tblStyle w:val="Tabellrutnt"/>
        <w:tblW w:w="0" w:type="auto"/>
        <w:tblCellMar>
          <w:top w:w="28" w:type="dxa"/>
          <w:bottom w:w="28" w:type="dxa"/>
        </w:tblCellMar>
        <w:tblLook w:val="04A0" w:firstRow="1" w:lastRow="0" w:firstColumn="1" w:lastColumn="0" w:noHBand="0" w:noVBand="1"/>
      </w:tblPr>
      <w:tblGrid>
        <w:gridCol w:w="704"/>
        <w:gridCol w:w="2304"/>
        <w:gridCol w:w="1537"/>
        <w:gridCol w:w="1496"/>
        <w:gridCol w:w="1538"/>
        <w:gridCol w:w="1483"/>
      </w:tblGrid>
      <w:tr w:rsidR="00475B09" w14:paraId="4D98300D" w14:textId="77777777" w:rsidTr="00FB7728">
        <w:tc>
          <w:tcPr>
            <w:tcW w:w="3008" w:type="dxa"/>
            <w:gridSpan w:val="2"/>
          </w:tcPr>
          <w:p w14:paraId="3D337E9B" w14:textId="77777777" w:rsidR="00475B09" w:rsidRPr="00D44830" w:rsidRDefault="00475B09" w:rsidP="00D05BB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37" w:type="dxa"/>
          </w:tcPr>
          <w:p w14:paraId="7B8CDC78"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496" w:type="dxa"/>
          </w:tcPr>
          <w:p w14:paraId="65F2D177"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38" w:type="dxa"/>
          </w:tcPr>
          <w:p w14:paraId="2F5AB566" w14:textId="77777777" w:rsidR="00475B09"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45EDC480"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475B09" w14:paraId="54B491DF" w14:textId="77777777" w:rsidTr="00FB7728">
        <w:tc>
          <w:tcPr>
            <w:tcW w:w="704" w:type="dxa"/>
            <w:vMerge w:val="restart"/>
            <w:textDirection w:val="btLr"/>
            <w:vAlign w:val="center"/>
          </w:tcPr>
          <w:p w14:paraId="5F6E0156" w14:textId="77777777" w:rsidR="00475B09" w:rsidRPr="00CB57D2" w:rsidRDefault="00475B09" w:rsidP="000537AF">
            <w:pPr>
              <w:tabs>
                <w:tab w:val="clear" w:pos="5041"/>
              </w:tabs>
              <w:spacing w:after="0"/>
              <w:ind w:left="113" w:right="113"/>
              <w:jc w:val="center"/>
              <w:rPr>
                <w:rFonts w:asciiTheme="majorHAnsi" w:hAnsiTheme="majorHAnsi" w:cstheme="majorHAnsi"/>
                <w:b/>
                <w:sz w:val="22"/>
                <w:szCs w:val="22"/>
              </w:rPr>
            </w:pPr>
            <w:r w:rsidRPr="00CB57D2">
              <w:rPr>
                <w:rFonts w:asciiTheme="majorHAnsi" w:hAnsiTheme="majorHAnsi" w:cstheme="majorHAnsi"/>
                <w:b/>
                <w:sz w:val="22"/>
                <w:szCs w:val="22"/>
              </w:rPr>
              <w:t>Kustvattentyper</w:t>
            </w:r>
          </w:p>
        </w:tc>
        <w:tc>
          <w:tcPr>
            <w:tcW w:w="2304" w:type="dxa"/>
            <w:vAlign w:val="center"/>
          </w:tcPr>
          <w:p w14:paraId="1A3618BC" w14:textId="670F9980"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Öresunds kustvatten</w:t>
            </w:r>
            <w:r w:rsidR="00706061">
              <w:rPr>
                <w:rFonts w:asciiTheme="minorHAnsi" w:hAnsiTheme="minorHAnsi"/>
                <w:sz w:val="18"/>
                <w:szCs w:val="18"/>
              </w:rPr>
              <w:t xml:space="preserve"> (6)</w:t>
            </w:r>
          </w:p>
        </w:tc>
        <w:tc>
          <w:tcPr>
            <w:tcW w:w="1537" w:type="dxa"/>
            <w:vAlign w:val="center"/>
          </w:tcPr>
          <w:p w14:paraId="285FABA1" w14:textId="77777777" w:rsidR="00475B09" w:rsidRPr="00CE6559" w:rsidRDefault="00475B09" w:rsidP="00D05BBE">
            <w:pPr>
              <w:tabs>
                <w:tab w:val="clear" w:pos="5041"/>
              </w:tabs>
              <w:spacing w:after="0"/>
              <w:rPr>
                <w:sz w:val="18"/>
                <w:szCs w:val="18"/>
              </w:rPr>
            </w:pPr>
          </w:p>
        </w:tc>
        <w:tc>
          <w:tcPr>
            <w:tcW w:w="1496" w:type="dxa"/>
            <w:vAlign w:val="center"/>
          </w:tcPr>
          <w:p w14:paraId="79481654" w14:textId="3662C1FF" w:rsidR="00475B09" w:rsidRPr="00CE6559" w:rsidRDefault="00FA7540" w:rsidP="00D05BBE">
            <w:pPr>
              <w:tabs>
                <w:tab w:val="clear" w:pos="5041"/>
              </w:tabs>
              <w:spacing w:after="0"/>
              <w:rPr>
                <w:sz w:val="18"/>
                <w:szCs w:val="18"/>
              </w:rPr>
            </w:pPr>
            <w:r>
              <w:rPr>
                <w:sz w:val="18"/>
                <w:szCs w:val="18"/>
              </w:rPr>
              <w:t>-</w:t>
            </w:r>
          </w:p>
        </w:tc>
        <w:tc>
          <w:tcPr>
            <w:tcW w:w="1538" w:type="dxa"/>
          </w:tcPr>
          <w:p w14:paraId="5D8D825C" w14:textId="77777777" w:rsidR="00475B09" w:rsidRPr="00CE6559" w:rsidRDefault="00475B09" w:rsidP="00D05BBE">
            <w:pPr>
              <w:tabs>
                <w:tab w:val="clear" w:pos="5041"/>
              </w:tabs>
              <w:spacing w:after="0"/>
              <w:rPr>
                <w:sz w:val="18"/>
                <w:szCs w:val="18"/>
              </w:rPr>
            </w:pPr>
          </w:p>
        </w:tc>
        <w:tc>
          <w:tcPr>
            <w:tcW w:w="0" w:type="auto"/>
            <w:vAlign w:val="center"/>
          </w:tcPr>
          <w:p w14:paraId="18CEE85A" w14:textId="77777777" w:rsidR="00475B09" w:rsidRPr="00CE6559" w:rsidRDefault="00475B09" w:rsidP="00D05BBE">
            <w:pPr>
              <w:tabs>
                <w:tab w:val="clear" w:pos="5041"/>
              </w:tabs>
              <w:spacing w:after="0"/>
              <w:rPr>
                <w:sz w:val="18"/>
                <w:szCs w:val="18"/>
              </w:rPr>
            </w:pPr>
          </w:p>
        </w:tc>
      </w:tr>
      <w:tr w:rsidR="00475B09" w14:paraId="35468C6E" w14:textId="77777777" w:rsidTr="00FB7728">
        <w:tc>
          <w:tcPr>
            <w:tcW w:w="704" w:type="dxa"/>
            <w:vMerge/>
            <w:vAlign w:val="center"/>
          </w:tcPr>
          <w:p w14:paraId="2E4CF54D" w14:textId="77777777" w:rsidR="00475B09" w:rsidRDefault="00475B09" w:rsidP="00D05BBE">
            <w:pPr>
              <w:tabs>
                <w:tab w:val="clear" w:pos="5041"/>
              </w:tabs>
              <w:spacing w:after="0"/>
            </w:pPr>
          </w:p>
        </w:tc>
        <w:tc>
          <w:tcPr>
            <w:tcW w:w="2304" w:type="dxa"/>
            <w:vAlign w:val="center"/>
          </w:tcPr>
          <w:p w14:paraId="596B43EB" w14:textId="5C80B3F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Skånes kustvatten</w:t>
            </w:r>
            <w:r w:rsidR="00706061">
              <w:rPr>
                <w:rFonts w:asciiTheme="minorHAnsi" w:hAnsiTheme="minorHAnsi"/>
                <w:sz w:val="18"/>
                <w:szCs w:val="18"/>
              </w:rPr>
              <w:t xml:space="preserve"> (7)</w:t>
            </w:r>
          </w:p>
        </w:tc>
        <w:tc>
          <w:tcPr>
            <w:tcW w:w="1537" w:type="dxa"/>
            <w:vAlign w:val="center"/>
          </w:tcPr>
          <w:p w14:paraId="03196A03" w14:textId="77777777" w:rsidR="00475B09" w:rsidRPr="00CE6559" w:rsidRDefault="00475B09" w:rsidP="00D05BBE">
            <w:pPr>
              <w:tabs>
                <w:tab w:val="clear" w:pos="5041"/>
              </w:tabs>
              <w:spacing w:after="0"/>
              <w:rPr>
                <w:sz w:val="18"/>
                <w:szCs w:val="18"/>
              </w:rPr>
            </w:pPr>
          </w:p>
        </w:tc>
        <w:tc>
          <w:tcPr>
            <w:tcW w:w="1496" w:type="dxa"/>
            <w:vAlign w:val="center"/>
          </w:tcPr>
          <w:p w14:paraId="0104AE30" w14:textId="05B91FC5" w:rsidR="00475B09" w:rsidRPr="00CE6559" w:rsidRDefault="00FA7540" w:rsidP="00D05BBE">
            <w:pPr>
              <w:tabs>
                <w:tab w:val="clear" w:pos="5041"/>
              </w:tabs>
              <w:spacing w:after="0"/>
              <w:rPr>
                <w:sz w:val="18"/>
                <w:szCs w:val="18"/>
              </w:rPr>
            </w:pPr>
            <w:r>
              <w:rPr>
                <w:sz w:val="18"/>
                <w:szCs w:val="18"/>
              </w:rPr>
              <w:t>-</w:t>
            </w:r>
          </w:p>
        </w:tc>
        <w:tc>
          <w:tcPr>
            <w:tcW w:w="1538" w:type="dxa"/>
          </w:tcPr>
          <w:p w14:paraId="2B9B2AA7" w14:textId="77777777" w:rsidR="00475B09" w:rsidRPr="00CE6559" w:rsidRDefault="00475B09" w:rsidP="00D05BBE">
            <w:pPr>
              <w:tabs>
                <w:tab w:val="clear" w:pos="5041"/>
              </w:tabs>
              <w:spacing w:after="0"/>
              <w:rPr>
                <w:sz w:val="18"/>
                <w:szCs w:val="18"/>
              </w:rPr>
            </w:pPr>
          </w:p>
        </w:tc>
        <w:tc>
          <w:tcPr>
            <w:tcW w:w="0" w:type="auto"/>
            <w:vAlign w:val="center"/>
          </w:tcPr>
          <w:p w14:paraId="7AC01084" w14:textId="77777777" w:rsidR="00475B09" w:rsidRPr="00CE6559" w:rsidRDefault="00475B09" w:rsidP="00D05BBE">
            <w:pPr>
              <w:tabs>
                <w:tab w:val="clear" w:pos="5041"/>
              </w:tabs>
              <w:spacing w:after="0"/>
              <w:rPr>
                <w:sz w:val="18"/>
                <w:szCs w:val="18"/>
              </w:rPr>
            </w:pPr>
          </w:p>
        </w:tc>
      </w:tr>
      <w:tr w:rsidR="00B922DC" w14:paraId="13749F2F" w14:textId="77777777" w:rsidTr="00FB7728">
        <w:tc>
          <w:tcPr>
            <w:tcW w:w="704" w:type="dxa"/>
            <w:vMerge/>
            <w:vAlign w:val="center"/>
          </w:tcPr>
          <w:p w14:paraId="5FA86E25" w14:textId="77777777" w:rsidR="00B922DC" w:rsidRDefault="00B922DC" w:rsidP="00D05BBE">
            <w:pPr>
              <w:tabs>
                <w:tab w:val="clear" w:pos="5041"/>
              </w:tabs>
              <w:spacing w:after="0"/>
            </w:pPr>
          </w:p>
        </w:tc>
        <w:tc>
          <w:tcPr>
            <w:tcW w:w="2304" w:type="dxa"/>
            <w:vAlign w:val="center"/>
          </w:tcPr>
          <w:p w14:paraId="5B966565" w14:textId="72D40038" w:rsidR="00B922DC" w:rsidRPr="00CE6559" w:rsidRDefault="00B922DC" w:rsidP="00D05BBE">
            <w:pPr>
              <w:tabs>
                <w:tab w:val="clear" w:pos="5041"/>
              </w:tabs>
              <w:spacing w:after="0"/>
              <w:rPr>
                <w:rFonts w:asciiTheme="minorHAnsi" w:hAnsiTheme="minorHAnsi"/>
                <w:sz w:val="18"/>
                <w:szCs w:val="18"/>
              </w:rPr>
            </w:pPr>
            <w:r>
              <w:rPr>
                <w:rFonts w:asciiTheme="minorHAnsi" w:hAnsiTheme="minorHAnsi"/>
                <w:sz w:val="18"/>
                <w:szCs w:val="18"/>
              </w:rPr>
              <w:t>Blekinge skärgård och Kalmarsunds inre kustvatten</w:t>
            </w:r>
            <w:r w:rsidR="00351BD6">
              <w:rPr>
                <w:rFonts w:asciiTheme="minorHAnsi" w:hAnsiTheme="minorHAnsi"/>
                <w:sz w:val="18"/>
                <w:szCs w:val="18"/>
              </w:rPr>
              <w:t xml:space="preserve"> (8)</w:t>
            </w:r>
          </w:p>
        </w:tc>
        <w:tc>
          <w:tcPr>
            <w:tcW w:w="1537" w:type="dxa"/>
            <w:vAlign w:val="center"/>
          </w:tcPr>
          <w:p w14:paraId="33BCB95F" w14:textId="77777777" w:rsidR="00B922DC" w:rsidRPr="00CE6559" w:rsidRDefault="00B922DC" w:rsidP="00D05BBE">
            <w:pPr>
              <w:tabs>
                <w:tab w:val="clear" w:pos="5041"/>
              </w:tabs>
              <w:spacing w:after="0"/>
              <w:rPr>
                <w:sz w:val="18"/>
                <w:szCs w:val="18"/>
              </w:rPr>
            </w:pPr>
          </w:p>
        </w:tc>
        <w:tc>
          <w:tcPr>
            <w:tcW w:w="1496" w:type="dxa"/>
            <w:vAlign w:val="center"/>
          </w:tcPr>
          <w:p w14:paraId="6A2037A4" w14:textId="77B216A2" w:rsidR="00B922DC" w:rsidRDefault="00B922DC" w:rsidP="00D05BBE">
            <w:pPr>
              <w:tabs>
                <w:tab w:val="clear" w:pos="5041"/>
              </w:tabs>
              <w:spacing w:after="0"/>
              <w:rPr>
                <w:sz w:val="18"/>
                <w:szCs w:val="18"/>
              </w:rPr>
            </w:pPr>
            <w:r>
              <w:rPr>
                <w:sz w:val="18"/>
                <w:szCs w:val="18"/>
              </w:rPr>
              <w:t>40</w:t>
            </w:r>
            <w:r w:rsidR="0067501E">
              <w:rPr>
                <w:sz w:val="18"/>
                <w:szCs w:val="18"/>
              </w:rPr>
              <w:t xml:space="preserve"> </w:t>
            </w:r>
            <w:r>
              <w:rPr>
                <w:sz w:val="18"/>
                <w:szCs w:val="18"/>
              </w:rPr>
              <w:t>%</w:t>
            </w:r>
            <w:r w:rsidR="008F209F">
              <w:rPr>
                <w:sz w:val="18"/>
                <w:szCs w:val="18"/>
              </w:rPr>
              <w:t xml:space="preserve"> (SE 0.7)</w:t>
            </w:r>
          </w:p>
        </w:tc>
        <w:tc>
          <w:tcPr>
            <w:tcW w:w="1538" w:type="dxa"/>
          </w:tcPr>
          <w:p w14:paraId="71038F61" w14:textId="77777777" w:rsidR="00B922DC" w:rsidRPr="00CE6559" w:rsidRDefault="00B922DC" w:rsidP="00D05BBE">
            <w:pPr>
              <w:tabs>
                <w:tab w:val="clear" w:pos="5041"/>
              </w:tabs>
              <w:spacing w:after="0"/>
              <w:rPr>
                <w:sz w:val="18"/>
                <w:szCs w:val="18"/>
              </w:rPr>
            </w:pPr>
          </w:p>
        </w:tc>
        <w:tc>
          <w:tcPr>
            <w:tcW w:w="0" w:type="auto"/>
            <w:vAlign w:val="center"/>
          </w:tcPr>
          <w:p w14:paraId="30A05F4B" w14:textId="153520BE" w:rsidR="00B922DC" w:rsidRPr="00CE6559" w:rsidRDefault="00673069" w:rsidP="00B922DC">
            <w:pPr>
              <w:tabs>
                <w:tab w:val="clear" w:pos="5041"/>
              </w:tabs>
              <w:spacing w:after="0"/>
              <w:rPr>
                <w:sz w:val="18"/>
                <w:szCs w:val="18"/>
              </w:rPr>
            </w:pPr>
            <w:r>
              <w:rPr>
                <w:sz w:val="18"/>
                <w:szCs w:val="18"/>
              </w:rPr>
              <w:t>Hög (</w:t>
            </w:r>
            <w:r w:rsidR="00B922DC">
              <w:rPr>
                <w:sz w:val="18"/>
                <w:szCs w:val="18"/>
              </w:rPr>
              <w:t>12 års data, 35 områden</w:t>
            </w:r>
            <w:r>
              <w:rPr>
                <w:sz w:val="18"/>
                <w:szCs w:val="18"/>
              </w:rPr>
              <w:t>)</w:t>
            </w:r>
          </w:p>
        </w:tc>
      </w:tr>
      <w:tr w:rsidR="00475B09" w14:paraId="1338EA75" w14:textId="77777777" w:rsidTr="00FB7728">
        <w:tc>
          <w:tcPr>
            <w:tcW w:w="704" w:type="dxa"/>
            <w:vMerge/>
            <w:vAlign w:val="center"/>
          </w:tcPr>
          <w:p w14:paraId="6E862C8D" w14:textId="77777777" w:rsidR="00475B09" w:rsidRDefault="00475B09" w:rsidP="00D05BBE">
            <w:pPr>
              <w:tabs>
                <w:tab w:val="clear" w:pos="5041"/>
              </w:tabs>
              <w:spacing w:after="0"/>
            </w:pPr>
          </w:p>
        </w:tc>
        <w:tc>
          <w:tcPr>
            <w:tcW w:w="2304" w:type="dxa"/>
            <w:vAlign w:val="center"/>
          </w:tcPr>
          <w:p w14:paraId="2C682033" w14:textId="4A196A3E"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Blekinge skärgård och Kalmarsund, yttre kustvatten</w:t>
            </w:r>
            <w:r w:rsidR="00351BD6">
              <w:rPr>
                <w:rFonts w:asciiTheme="minorHAnsi" w:hAnsiTheme="minorHAnsi"/>
                <w:sz w:val="18"/>
                <w:szCs w:val="18"/>
              </w:rPr>
              <w:t xml:space="preserve"> (9)</w:t>
            </w:r>
          </w:p>
        </w:tc>
        <w:tc>
          <w:tcPr>
            <w:tcW w:w="1537" w:type="dxa"/>
            <w:vAlign w:val="center"/>
          </w:tcPr>
          <w:p w14:paraId="31A80B7C" w14:textId="77777777" w:rsidR="00475B09" w:rsidRPr="00CE6559" w:rsidRDefault="00475B09" w:rsidP="00D05BBE">
            <w:pPr>
              <w:tabs>
                <w:tab w:val="clear" w:pos="5041"/>
              </w:tabs>
              <w:spacing w:after="0"/>
              <w:rPr>
                <w:sz w:val="18"/>
                <w:szCs w:val="18"/>
              </w:rPr>
            </w:pPr>
          </w:p>
        </w:tc>
        <w:tc>
          <w:tcPr>
            <w:tcW w:w="1496" w:type="dxa"/>
            <w:vAlign w:val="center"/>
          </w:tcPr>
          <w:p w14:paraId="16CD6E6A" w14:textId="061B352C" w:rsidR="00475B09" w:rsidRPr="00CE6559" w:rsidRDefault="00FA7540" w:rsidP="00D05BBE">
            <w:pPr>
              <w:tabs>
                <w:tab w:val="clear" w:pos="5041"/>
              </w:tabs>
              <w:spacing w:after="0"/>
              <w:rPr>
                <w:sz w:val="18"/>
                <w:szCs w:val="18"/>
              </w:rPr>
            </w:pPr>
            <w:r>
              <w:rPr>
                <w:sz w:val="18"/>
                <w:szCs w:val="18"/>
              </w:rPr>
              <w:t>5</w:t>
            </w:r>
            <w:r w:rsidR="0067501E">
              <w:rPr>
                <w:sz w:val="18"/>
                <w:szCs w:val="18"/>
              </w:rPr>
              <w:t xml:space="preserve"> </w:t>
            </w:r>
            <w:r>
              <w:rPr>
                <w:sz w:val="18"/>
                <w:szCs w:val="18"/>
              </w:rPr>
              <w:t>%</w:t>
            </w:r>
            <w:r w:rsidR="008F209F">
              <w:rPr>
                <w:sz w:val="18"/>
                <w:szCs w:val="18"/>
              </w:rPr>
              <w:t xml:space="preserve"> (SE 0.9)</w:t>
            </w:r>
          </w:p>
        </w:tc>
        <w:tc>
          <w:tcPr>
            <w:tcW w:w="1538" w:type="dxa"/>
          </w:tcPr>
          <w:p w14:paraId="62118E3B" w14:textId="77777777" w:rsidR="00475B09" w:rsidRPr="00CE6559" w:rsidRDefault="00475B09" w:rsidP="00D05BBE">
            <w:pPr>
              <w:tabs>
                <w:tab w:val="clear" w:pos="5041"/>
              </w:tabs>
              <w:spacing w:after="0"/>
              <w:rPr>
                <w:sz w:val="18"/>
                <w:szCs w:val="18"/>
              </w:rPr>
            </w:pPr>
          </w:p>
        </w:tc>
        <w:tc>
          <w:tcPr>
            <w:tcW w:w="0" w:type="auto"/>
            <w:vAlign w:val="center"/>
          </w:tcPr>
          <w:p w14:paraId="568A5056" w14:textId="55B98A40" w:rsidR="00475B09" w:rsidRPr="00CE6559" w:rsidRDefault="00673069" w:rsidP="00D05BBE">
            <w:pPr>
              <w:tabs>
                <w:tab w:val="clear" w:pos="5041"/>
              </w:tabs>
              <w:spacing w:after="0"/>
              <w:rPr>
                <w:sz w:val="18"/>
                <w:szCs w:val="18"/>
              </w:rPr>
            </w:pPr>
            <w:r>
              <w:rPr>
                <w:sz w:val="18"/>
                <w:szCs w:val="18"/>
              </w:rPr>
              <w:t>Hög (</w:t>
            </w:r>
            <w:r w:rsidR="00B922DC">
              <w:rPr>
                <w:sz w:val="18"/>
                <w:szCs w:val="18"/>
              </w:rPr>
              <w:t>9 års data, 7 områden</w:t>
            </w:r>
            <w:r>
              <w:rPr>
                <w:sz w:val="18"/>
                <w:szCs w:val="18"/>
              </w:rPr>
              <w:t>)</w:t>
            </w:r>
          </w:p>
        </w:tc>
      </w:tr>
      <w:tr w:rsidR="00475B09" w14:paraId="4C6904CD" w14:textId="77777777" w:rsidTr="00FB7728">
        <w:tc>
          <w:tcPr>
            <w:tcW w:w="704" w:type="dxa"/>
            <w:vMerge/>
            <w:vAlign w:val="center"/>
          </w:tcPr>
          <w:p w14:paraId="09873D9C" w14:textId="77777777" w:rsidR="00475B09" w:rsidRDefault="00475B09" w:rsidP="00D05BBE">
            <w:pPr>
              <w:tabs>
                <w:tab w:val="clear" w:pos="5041"/>
              </w:tabs>
              <w:spacing w:after="0"/>
            </w:pPr>
          </w:p>
        </w:tc>
        <w:tc>
          <w:tcPr>
            <w:tcW w:w="2304" w:type="dxa"/>
            <w:vAlign w:val="center"/>
          </w:tcPr>
          <w:p w14:paraId="24533881" w14:textId="5084FD38"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Ölands och Gotlands kustvatten</w:t>
            </w:r>
            <w:r w:rsidR="00351BD6">
              <w:rPr>
                <w:rFonts w:asciiTheme="minorHAnsi" w:hAnsiTheme="minorHAnsi"/>
                <w:sz w:val="18"/>
                <w:szCs w:val="18"/>
              </w:rPr>
              <w:t xml:space="preserve"> </w:t>
            </w:r>
            <w:r w:rsidR="00706061">
              <w:rPr>
                <w:rFonts w:asciiTheme="minorHAnsi" w:hAnsiTheme="minorHAnsi"/>
                <w:sz w:val="18"/>
                <w:szCs w:val="18"/>
              </w:rPr>
              <w:t>(10)</w:t>
            </w:r>
          </w:p>
        </w:tc>
        <w:tc>
          <w:tcPr>
            <w:tcW w:w="1537" w:type="dxa"/>
            <w:vAlign w:val="center"/>
          </w:tcPr>
          <w:p w14:paraId="27AB747F" w14:textId="77777777" w:rsidR="00475B09" w:rsidRPr="00CE6559" w:rsidRDefault="00475B09" w:rsidP="00D05BBE">
            <w:pPr>
              <w:tabs>
                <w:tab w:val="clear" w:pos="5041"/>
              </w:tabs>
              <w:spacing w:after="0"/>
              <w:rPr>
                <w:sz w:val="18"/>
                <w:szCs w:val="18"/>
              </w:rPr>
            </w:pPr>
          </w:p>
        </w:tc>
        <w:tc>
          <w:tcPr>
            <w:tcW w:w="1496" w:type="dxa"/>
            <w:vAlign w:val="center"/>
          </w:tcPr>
          <w:p w14:paraId="77A0F87C" w14:textId="2A046AA9" w:rsidR="00475B09" w:rsidRPr="00CE6559" w:rsidRDefault="00FA7540" w:rsidP="00D05BBE">
            <w:pPr>
              <w:tabs>
                <w:tab w:val="clear" w:pos="5041"/>
              </w:tabs>
              <w:spacing w:after="0"/>
              <w:rPr>
                <w:sz w:val="18"/>
                <w:szCs w:val="18"/>
              </w:rPr>
            </w:pPr>
            <w:r>
              <w:rPr>
                <w:sz w:val="18"/>
                <w:szCs w:val="18"/>
              </w:rPr>
              <w:t>-</w:t>
            </w:r>
          </w:p>
        </w:tc>
        <w:tc>
          <w:tcPr>
            <w:tcW w:w="1538" w:type="dxa"/>
          </w:tcPr>
          <w:p w14:paraId="7569B0C5" w14:textId="77777777" w:rsidR="00475B09" w:rsidRPr="00CE6559" w:rsidRDefault="00475B09" w:rsidP="00D05BBE">
            <w:pPr>
              <w:tabs>
                <w:tab w:val="clear" w:pos="5041"/>
              </w:tabs>
              <w:spacing w:after="0"/>
              <w:rPr>
                <w:sz w:val="18"/>
                <w:szCs w:val="18"/>
              </w:rPr>
            </w:pPr>
          </w:p>
        </w:tc>
        <w:tc>
          <w:tcPr>
            <w:tcW w:w="0" w:type="auto"/>
            <w:vAlign w:val="center"/>
          </w:tcPr>
          <w:p w14:paraId="72AF5BFE" w14:textId="77777777" w:rsidR="00475B09" w:rsidRPr="00CE6559" w:rsidRDefault="00475B09" w:rsidP="00D05BBE">
            <w:pPr>
              <w:tabs>
                <w:tab w:val="clear" w:pos="5041"/>
              </w:tabs>
              <w:spacing w:after="0"/>
              <w:rPr>
                <w:sz w:val="18"/>
                <w:szCs w:val="18"/>
              </w:rPr>
            </w:pPr>
          </w:p>
        </w:tc>
      </w:tr>
      <w:tr w:rsidR="00475B09" w14:paraId="6E6318C6" w14:textId="77777777" w:rsidTr="00FB7728">
        <w:tc>
          <w:tcPr>
            <w:tcW w:w="704" w:type="dxa"/>
            <w:vMerge/>
            <w:vAlign w:val="center"/>
          </w:tcPr>
          <w:p w14:paraId="73EA0B1B" w14:textId="77777777" w:rsidR="00475B09" w:rsidRDefault="00475B09" w:rsidP="00D05BBE">
            <w:pPr>
              <w:tabs>
                <w:tab w:val="clear" w:pos="5041"/>
              </w:tabs>
              <w:spacing w:after="0"/>
            </w:pPr>
          </w:p>
        </w:tc>
        <w:tc>
          <w:tcPr>
            <w:tcW w:w="2304" w:type="dxa"/>
            <w:vAlign w:val="center"/>
          </w:tcPr>
          <w:p w14:paraId="74B8F474" w14:textId="4657E389"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Gotlands NV kustvatten</w:t>
            </w:r>
            <w:r w:rsidR="00706061">
              <w:rPr>
                <w:rFonts w:asciiTheme="minorHAnsi" w:hAnsiTheme="minorHAnsi"/>
                <w:sz w:val="18"/>
                <w:szCs w:val="18"/>
              </w:rPr>
              <w:t xml:space="preserve"> (11)</w:t>
            </w:r>
          </w:p>
        </w:tc>
        <w:tc>
          <w:tcPr>
            <w:tcW w:w="1537" w:type="dxa"/>
            <w:vAlign w:val="center"/>
          </w:tcPr>
          <w:p w14:paraId="76870AD6" w14:textId="77777777" w:rsidR="00475B09" w:rsidRPr="00CE6559" w:rsidRDefault="00475B09" w:rsidP="00D05BBE">
            <w:pPr>
              <w:tabs>
                <w:tab w:val="clear" w:pos="5041"/>
              </w:tabs>
              <w:spacing w:after="0"/>
              <w:rPr>
                <w:sz w:val="18"/>
                <w:szCs w:val="18"/>
              </w:rPr>
            </w:pPr>
          </w:p>
        </w:tc>
        <w:tc>
          <w:tcPr>
            <w:tcW w:w="1496" w:type="dxa"/>
            <w:vAlign w:val="center"/>
          </w:tcPr>
          <w:p w14:paraId="35B7A7F5" w14:textId="067CA1AD" w:rsidR="00475B09" w:rsidRPr="00CE6559" w:rsidRDefault="00FA7540" w:rsidP="00D05BBE">
            <w:pPr>
              <w:tabs>
                <w:tab w:val="clear" w:pos="5041"/>
              </w:tabs>
              <w:spacing w:after="0"/>
              <w:rPr>
                <w:sz w:val="18"/>
                <w:szCs w:val="18"/>
              </w:rPr>
            </w:pPr>
            <w:r>
              <w:rPr>
                <w:sz w:val="18"/>
                <w:szCs w:val="18"/>
              </w:rPr>
              <w:t>-</w:t>
            </w:r>
          </w:p>
        </w:tc>
        <w:tc>
          <w:tcPr>
            <w:tcW w:w="1538" w:type="dxa"/>
          </w:tcPr>
          <w:p w14:paraId="61B3315A" w14:textId="77777777" w:rsidR="00475B09" w:rsidRPr="00CE6559" w:rsidRDefault="00475B09" w:rsidP="00D05BBE">
            <w:pPr>
              <w:tabs>
                <w:tab w:val="clear" w:pos="5041"/>
              </w:tabs>
              <w:spacing w:after="0"/>
              <w:rPr>
                <w:sz w:val="18"/>
                <w:szCs w:val="18"/>
              </w:rPr>
            </w:pPr>
          </w:p>
        </w:tc>
        <w:tc>
          <w:tcPr>
            <w:tcW w:w="0" w:type="auto"/>
            <w:vAlign w:val="center"/>
          </w:tcPr>
          <w:p w14:paraId="3279313F" w14:textId="77777777" w:rsidR="00475B09" w:rsidRPr="00CE6559" w:rsidRDefault="00475B09" w:rsidP="00D05BBE">
            <w:pPr>
              <w:tabs>
                <w:tab w:val="clear" w:pos="5041"/>
              </w:tabs>
              <w:spacing w:after="0"/>
              <w:rPr>
                <w:sz w:val="18"/>
                <w:szCs w:val="18"/>
              </w:rPr>
            </w:pPr>
          </w:p>
        </w:tc>
      </w:tr>
      <w:tr w:rsidR="00475B09" w14:paraId="3E3EFA96" w14:textId="77777777" w:rsidTr="00FB7728">
        <w:tc>
          <w:tcPr>
            <w:tcW w:w="704" w:type="dxa"/>
            <w:vMerge/>
            <w:vAlign w:val="center"/>
          </w:tcPr>
          <w:p w14:paraId="6ABA4A6E" w14:textId="77777777" w:rsidR="00475B09" w:rsidRDefault="00475B09" w:rsidP="00D05BBE">
            <w:pPr>
              <w:tabs>
                <w:tab w:val="clear" w:pos="5041"/>
              </w:tabs>
              <w:spacing w:after="0"/>
            </w:pPr>
          </w:p>
        </w:tc>
        <w:tc>
          <w:tcPr>
            <w:tcW w:w="2304" w:type="dxa"/>
            <w:vAlign w:val="center"/>
          </w:tcPr>
          <w:p w14:paraId="07C64A63"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och Stockholms skärgård, mellankustvatten (12s)</w:t>
            </w:r>
          </w:p>
        </w:tc>
        <w:tc>
          <w:tcPr>
            <w:tcW w:w="1537" w:type="dxa"/>
            <w:vAlign w:val="center"/>
          </w:tcPr>
          <w:p w14:paraId="5D206512" w14:textId="77777777" w:rsidR="00475B09" w:rsidRPr="00CE6559" w:rsidRDefault="00475B09" w:rsidP="00D05BBE">
            <w:pPr>
              <w:tabs>
                <w:tab w:val="clear" w:pos="5041"/>
              </w:tabs>
              <w:spacing w:after="0"/>
              <w:rPr>
                <w:sz w:val="18"/>
                <w:szCs w:val="18"/>
              </w:rPr>
            </w:pPr>
          </w:p>
        </w:tc>
        <w:tc>
          <w:tcPr>
            <w:tcW w:w="1496" w:type="dxa"/>
            <w:vAlign w:val="center"/>
          </w:tcPr>
          <w:p w14:paraId="3ED24AB7" w14:textId="44479577" w:rsidR="00475B09" w:rsidRPr="00CE6559" w:rsidRDefault="00FA7540" w:rsidP="00D05BBE">
            <w:pPr>
              <w:tabs>
                <w:tab w:val="clear" w:pos="5041"/>
              </w:tabs>
              <w:spacing w:after="0"/>
              <w:rPr>
                <w:sz w:val="18"/>
                <w:szCs w:val="18"/>
              </w:rPr>
            </w:pPr>
            <w:r>
              <w:rPr>
                <w:sz w:val="18"/>
                <w:szCs w:val="18"/>
              </w:rPr>
              <w:t>21</w:t>
            </w:r>
            <w:r w:rsidR="0067501E">
              <w:rPr>
                <w:sz w:val="18"/>
                <w:szCs w:val="18"/>
              </w:rPr>
              <w:t xml:space="preserve"> </w:t>
            </w:r>
            <w:r>
              <w:rPr>
                <w:sz w:val="18"/>
                <w:szCs w:val="18"/>
              </w:rPr>
              <w:t>%</w:t>
            </w:r>
            <w:r w:rsidR="008F209F">
              <w:rPr>
                <w:sz w:val="18"/>
                <w:szCs w:val="18"/>
              </w:rPr>
              <w:t xml:space="preserve"> (SE </w:t>
            </w:r>
            <w:r w:rsidR="00553AFD">
              <w:rPr>
                <w:sz w:val="18"/>
                <w:szCs w:val="18"/>
              </w:rPr>
              <w:t>1.4</w:t>
            </w:r>
            <w:r w:rsidR="00673069">
              <w:rPr>
                <w:sz w:val="18"/>
                <w:szCs w:val="18"/>
              </w:rPr>
              <w:t>)</w:t>
            </w:r>
          </w:p>
        </w:tc>
        <w:tc>
          <w:tcPr>
            <w:tcW w:w="1538" w:type="dxa"/>
          </w:tcPr>
          <w:p w14:paraId="24892CE4" w14:textId="77777777" w:rsidR="00475B09" w:rsidRPr="00CE6559" w:rsidRDefault="00475B09" w:rsidP="00D05BBE">
            <w:pPr>
              <w:tabs>
                <w:tab w:val="clear" w:pos="5041"/>
              </w:tabs>
              <w:spacing w:after="0"/>
              <w:rPr>
                <w:sz w:val="18"/>
                <w:szCs w:val="18"/>
              </w:rPr>
            </w:pPr>
          </w:p>
        </w:tc>
        <w:tc>
          <w:tcPr>
            <w:tcW w:w="0" w:type="auto"/>
            <w:vAlign w:val="center"/>
          </w:tcPr>
          <w:p w14:paraId="3D8BFB93" w14:textId="0880D487" w:rsidR="00475B09" w:rsidRPr="00CE6559" w:rsidRDefault="00673069" w:rsidP="00D05BBE">
            <w:pPr>
              <w:tabs>
                <w:tab w:val="clear" w:pos="5041"/>
              </w:tabs>
              <w:spacing w:after="0"/>
              <w:rPr>
                <w:sz w:val="18"/>
                <w:szCs w:val="18"/>
              </w:rPr>
            </w:pPr>
            <w:r>
              <w:rPr>
                <w:sz w:val="18"/>
                <w:szCs w:val="18"/>
              </w:rPr>
              <w:t>Hög (</w:t>
            </w:r>
            <w:r w:rsidR="00B922DC">
              <w:rPr>
                <w:sz w:val="18"/>
                <w:szCs w:val="18"/>
              </w:rPr>
              <w:t>8 års data, 46 områden</w:t>
            </w:r>
            <w:r>
              <w:rPr>
                <w:sz w:val="18"/>
                <w:szCs w:val="18"/>
              </w:rPr>
              <w:t>)</w:t>
            </w:r>
          </w:p>
        </w:tc>
      </w:tr>
      <w:tr w:rsidR="00475B09" w14:paraId="3B6D6DB7" w14:textId="77777777" w:rsidTr="00FB7728">
        <w:tc>
          <w:tcPr>
            <w:tcW w:w="704" w:type="dxa"/>
            <w:vMerge/>
            <w:vAlign w:val="center"/>
          </w:tcPr>
          <w:p w14:paraId="11203193" w14:textId="77777777" w:rsidR="00475B09" w:rsidRDefault="00475B09" w:rsidP="00D05BBE">
            <w:pPr>
              <w:tabs>
                <w:tab w:val="clear" w:pos="5041"/>
              </w:tabs>
              <w:spacing w:after="0"/>
            </w:pPr>
          </w:p>
        </w:tc>
        <w:tc>
          <w:tcPr>
            <w:tcW w:w="2304" w:type="dxa"/>
            <w:vAlign w:val="center"/>
          </w:tcPr>
          <w:p w14:paraId="1B1A8928"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och Stockholms skärgård, mellankustvatten (12n)</w:t>
            </w:r>
          </w:p>
        </w:tc>
        <w:tc>
          <w:tcPr>
            <w:tcW w:w="1537" w:type="dxa"/>
            <w:vAlign w:val="center"/>
          </w:tcPr>
          <w:p w14:paraId="640C7236" w14:textId="77777777" w:rsidR="00475B09" w:rsidRPr="00CE6559" w:rsidRDefault="00475B09" w:rsidP="00D05BBE">
            <w:pPr>
              <w:tabs>
                <w:tab w:val="clear" w:pos="5041"/>
              </w:tabs>
              <w:spacing w:after="0"/>
              <w:rPr>
                <w:sz w:val="18"/>
                <w:szCs w:val="18"/>
              </w:rPr>
            </w:pPr>
          </w:p>
        </w:tc>
        <w:tc>
          <w:tcPr>
            <w:tcW w:w="1496" w:type="dxa"/>
            <w:vAlign w:val="center"/>
          </w:tcPr>
          <w:p w14:paraId="4C8661AD" w14:textId="3605F952" w:rsidR="00475B09" w:rsidRPr="00CE6559" w:rsidRDefault="00FA7540" w:rsidP="00D05BBE">
            <w:pPr>
              <w:tabs>
                <w:tab w:val="clear" w:pos="5041"/>
              </w:tabs>
              <w:spacing w:after="0"/>
              <w:rPr>
                <w:sz w:val="18"/>
                <w:szCs w:val="18"/>
              </w:rPr>
            </w:pPr>
            <w:r>
              <w:rPr>
                <w:sz w:val="18"/>
                <w:szCs w:val="18"/>
              </w:rPr>
              <w:t>20</w:t>
            </w:r>
            <w:r w:rsidR="0067501E">
              <w:rPr>
                <w:sz w:val="18"/>
                <w:szCs w:val="18"/>
              </w:rPr>
              <w:t xml:space="preserve"> </w:t>
            </w:r>
            <w:r>
              <w:rPr>
                <w:sz w:val="18"/>
                <w:szCs w:val="18"/>
              </w:rPr>
              <w:t>%</w:t>
            </w:r>
            <w:r w:rsidR="00673069">
              <w:rPr>
                <w:sz w:val="18"/>
                <w:szCs w:val="18"/>
              </w:rPr>
              <w:t xml:space="preserve"> (SE 2.2)</w:t>
            </w:r>
          </w:p>
        </w:tc>
        <w:tc>
          <w:tcPr>
            <w:tcW w:w="1538" w:type="dxa"/>
          </w:tcPr>
          <w:p w14:paraId="5A5DFE71" w14:textId="77777777" w:rsidR="00475B09" w:rsidRPr="00CE6559" w:rsidRDefault="00475B09" w:rsidP="00D05BBE">
            <w:pPr>
              <w:tabs>
                <w:tab w:val="clear" w:pos="5041"/>
              </w:tabs>
              <w:spacing w:after="0"/>
              <w:rPr>
                <w:sz w:val="18"/>
                <w:szCs w:val="18"/>
              </w:rPr>
            </w:pPr>
          </w:p>
        </w:tc>
        <w:tc>
          <w:tcPr>
            <w:tcW w:w="0" w:type="auto"/>
            <w:vAlign w:val="center"/>
          </w:tcPr>
          <w:p w14:paraId="62F711A9" w14:textId="50CA9654" w:rsidR="00475B09" w:rsidRPr="00CE6559" w:rsidRDefault="00673069" w:rsidP="00D05BBE">
            <w:pPr>
              <w:tabs>
                <w:tab w:val="clear" w:pos="5041"/>
              </w:tabs>
              <w:spacing w:after="0"/>
              <w:rPr>
                <w:sz w:val="18"/>
                <w:szCs w:val="18"/>
              </w:rPr>
            </w:pPr>
            <w:r>
              <w:rPr>
                <w:sz w:val="18"/>
                <w:szCs w:val="18"/>
              </w:rPr>
              <w:t>Hög (</w:t>
            </w:r>
            <w:r w:rsidR="00B922DC">
              <w:rPr>
                <w:sz w:val="18"/>
                <w:szCs w:val="18"/>
              </w:rPr>
              <w:t>15 års data, 114 områden</w:t>
            </w:r>
            <w:r>
              <w:rPr>
                <w:sz w:val="18"/>
                <w:szCs w:val="18"/>
              </w:rPr>
              <w:t>)</w:t>
            </w:r>
          </w:p>
        </w:tc>
      </w:tr>
      <w:tr w:rsidR="00475B09" w14:paraId="754D8FB3" w14:textId="77777777" w:rsidTr="00FB7728">
        <w:tc>
          <w:tcPr>
            <w:tcW w:w="704" w:type="dxa"/>
            <w:vMerge/>
            <w:vAlign w:val="center"/>
          </w:tcPr>
          <w:p w14:paraId="7016DFD7" w14:textId="77777777" w:rsidR="00475B09" w:rsidRDefault="00475B09" w:rsidP="00D05BBE">
            <w:pPr>
              <w:tabs>
                <w:tab w:val="clear" w:pos="5041"/>
              </w:tabs>
              <w:spacing w:after="0"/>
            </w:pPr>
          </w:p>
        </w:tc>
        <w:tc>
          <w:tcPr>
            <w:tcW w:w="2304" w:type="dxa"/>
            <w:vAlign w:val="center"/>
          </w:tcPr>
          <w:p w14:paraId="38963D8E" w14:textId="34C0D52A"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inre kustvatten</w:t>
            </w:r>
            <w:r w:rsidR="00706061">
              <w:rPr>
                <w:rFonts w:asciiTheme="minorHAnsi" w:hAnsiTheme="minorHAnsi"/>
                <w:sz w:val="18"/>
                <w:szCs w:val="18"/>
              </w:rPr>
              <w:t xml:space="preserve"> (13)</w:t>
            </w:r>
          </w:p>
        </w:tc>
        <w:tc>
          <w:tcPr>
            <w:tcW w:w="1537" w:type="dxa"/>
            <w:vAlign w:val="center"/>
          </w:tcPr>
          <w:p w14:paraId="76C45390" w14:textId="77777777" w:rsidR="00475B09" w:rsidRPr="00CE6559" w:rsidRDefault="00475B09" w:rsidP="00D05BBE">
            <w:pPr>
              <w:tabs>
                <w:tab w:val="clear" w:pos="5041"/>
              </w:tabs>
              <w:spacing w:after="0"/>
              <w:rPr>
                <w:sz w:val="18"/>
                <w:szCs w:val="18"/>
              </w:rPr>
            </w:pPr>
          </w:p>
        </w:tc>
        <w:tc>
          <w:tcPr>
            <w:tcW w:w="1496" w:type="dxa"/>
            <w:vAlign w:val="center"/>
          </w:tcPr>
          <w:p w14:paraId="64C6B97D" w14:textId="765319E0" w:rsidR="00475B09" w:rsidRPr="00CE6559" w:rsidRDefault="00FA7540" w:rsidP="00D05BBE">
            <w:pPr>
              <w:tabs>
                <w:tab w:val="clear" w:pos="5041"/>
              </w:tabs>
              <w:spacing w:after="0"/>
              <w:rPr>
                <w:sz w:val="18"/>
                <w:szCs w:val="18"/>
              </w:rPr>
            </w:pPr>
            <w:r>
              <w:rPr>
                <w:sz w:val="18"/>
                <w:szCs w:val="18"/>
              </w:rPr>
              <w:t>-</w:t>
            </w:r>
          </w:p>
        </w:tc>
        <w:tc>
          <w:tcPr>
            <w:tcW w:w="1538" w:type="dxa"/>
          </w:tcPr>
          <w:p w14:paraId="36C6EC1E" w14:textId="77777777" w:rsidR="00475B09" w:rsidRPr="00CE6559" w:rsidRDefault="00475B09" w:rsidP="00D05BBE">
            <w:pPr>
              <w:tabs>
                <w:tab w:val="clear" w:pos="5041"/>
              </w:tabs>
              <w:spacing w:after="0"/>
              <w:rPr>
                <w:sz w:val="18"/>
                <w:szCs w:val="18"/>
              </w:rPr>
            </w:pPr>
          </w:p>
        </w:tc>
        <w:tc>
          <w:tcPr>
            <w:tcW w:w="0" w:type="auto"/>
            <w:vAlign w:val="center"/>
          </w:tcPr>
          <w:p w14:paraId="085D1078" w14:textId="77777777" w:rsidR="00475B09" w:rsidRPr="00CE6559" w:rsidRDefault="00475B09" w:rsidP="00D05BBE">
            <w:pPr>
              <w:tabs>
                <w:tab w:val="clear" w:pos="5041"/>
              </w:tabs>
              <w:spacing w:after="0"/>
              <w:rPr>
                <w:sz w:val="18"/>
                <w:szCs w:val="18"/>
              </w:rPr>
            </w:pPr>
          </w:p>
        </w:tc>
      </w:tr>
      <w:tr w:rsidR="00475B09" w14:paraId="6CB87CF5" w14:textId="77777777" w:rsidTr="00FB7728">
        <w:tc>
          <w:tcPr>
            <w:tcW w:w="704" w:type="dxa"/>
            <w:vMerge/>
            <w:vAlign w:val="center"/>
          </w:tcPr>
          <w:p w14:paraId="3B8ECA80" w14:textId="77777777" w:rsidR="00475B09" w:rsidRDefault="00475B09" w:rsidP="00D05BBE">
            <w:pPr>
              <w:tabs>
                <w:tab w:val="clear" w:pos="5041"/>
              </w:tabs>
              <w:spacing w:after="0"/>
            </w:pPr>
          </w:p>
        </w:tc>
        <w:tc>
          <w:tcPr>
            <w:tcW w:w="2304" w:type="dxa"/>
            <w:vAlign w:val="center"/>
          </w:tcPr>
          <w:p w14:paraId="6FFB6FBB" w14:textId="405E2A5B"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yttre kustvatten</w:t>
            </w:r>
            <w:r w:rsidR="00351BD6">
              <w:rPr>
                <w:rFonts w:asciiTheme="minorHAnsi" w:hAnsiTheme="minorHAnsi"/>
                <w:sz w:val="18"/>
                <w:szCs w:val="18"/>
              </w:rPr>
              <w:t xml:space="preserve"> (14)</w:t>
            </w:r>
          </w:p>
        </w:tc>
        <w:tc>
          <w:tcPr>
            <w:tcW w:w="1537" w:type="dxa"/>
            <w:vAlign w:val="center"/>
          </w:tcPr>
          <w:p w14:paraId="1BFA53F8" w14:textId="77777777" w:rsidR="00475B09" w:rsidRPr="00CE6559" w:rsidRDefault="00475B09" w:rsidP="00D05BBE">
            <w:pPr>
              <w:tabs>
                <w:tab w:val="clear" w:pos="5041"/>
              </w:tabs>
              <w:spacing w:after="0"/>
              <w:rPr>
                <w:sz w:val="18"/>
                <w:szCs w:val="18"/>
              </w:rPr>
            </w:pPr>
          </w:p>
        </w:tc>
        <w:tc>
          <w:tcPr>
            <w:tcW w:w="1496" w:type="dxa"/>
            <w:vAlign w:val="center"/>
          </w:tcPr>
          <w:p w14:paraId="6D740E75" w14:textId="1E3A8812" w:rsidR="00475B09" w:rsidRPr="00CE6559" w:rsidRDefault="00FA7540" w:rsidP="00D05BBE">
            <w:pPr>
              <w:tabs>
                <w:tab w:val="clear" w:pos="5041"/>
              </w:tabs>
              <w:spacing w:after="0"/>
              <w:rPr>
                <w:sz w:val="18"/>
                <w:szCs w:val="18"/>
              </w:rPr>
            </w:pPr>
            <w:r>
              <w:rPr>
                <w:sz w:val="18"/>
                <w:szCs w:val="18"/>
              </w:rPr>
              <w:t>2</w:t>
            </w:r>
            <w:r w:rsidR="0067501E">
              <w:rPr>
                <w:sz w:val="18"/>
                <w:szCs w:val="18"/>
              </w:rPr>
              <w:t xml:space="preserve"> </w:t>
            </w:r>
            <w:r>
              <w:rPr>
                <w:sz w:val="18"/>
                <w:szCs w:val="18"/>
              </w:rPr>
              <w:t>%</w:t>
            </w:r>
            <w:r w:rsidR="00673069">
              <w:rPr>
                <w:sz w:val="18"/>
                <w:szCs w:val="18"/>
              </w:rPr>
              <w:t xml:space="preserve"> (SE 0.6)</w:t>
            </w:r>
          </w:p>
        </w:tc>
        <w:tc>
          <w:tcPr>
            <w:tcW w:w="1538" w:type="dxa"/>
          </w:tcPr>
          <w:p w14:paraId="185B95A5" w14:textId="77777777" w:rsidR="00475B09" w:rsidRPr="00CE6559" w:rsidRDefault="00475B09" w:rsidP="00D05BBE">
            <w:pPr>
              <w:tabs>
                <w:tab w:val="clear" w:pos="5041"/>
              </w:tabs>
              <w:spacing w:after="0"/>
              <w:rPr>
                <w:sz w:val="18"/>
                <w:szCs w:val="18"/>
              </w:rPr>
            </w:pPr>
          </w:p>
        </w:tc>
        <w:tc>
          <w:tcPr>
            <w:tcW w:w="0" w:type="auto"/>
            <w:vAlign w:val="center"/>
          </w:tcPr>
          <w:p w14:paraId="0C88873A" w14:textId="27917F05" w:rsidR="00475B09" w:rsidRPr="00CE6559" w:rsidRDefault="00673069" w:rsidP="00D05BBE">
            <w:pPr>
              <w:tabs>
                <w:tab w:val="clear" w:pos="5041"/>
              </w:tabs>
              <w:spacing w:after="0"/>
              <w:rPr>
                <w:sz w:val="18"/>
                <w:szCs w:val="18"/>
              </w:rPr>
            </w:pPr>
            <w:r>
              <w:rPr>
                <w:sz w:val="18"/>
                <w:szCs w:val="18"/>
              </w:rPr>
              <w:t>Hög (</w:t>
            </w:r>
            <w:r w:rsidR="00B922DC">
              <w:rPr>
                <w:sz w:val="18"/>
                <w:szCs w:val="18"/>
              </w:rPr>
              <w:t>12 års data, 16 områden</w:t>
            </w:r>
            <w:r>
              <w:rPr>
                <w:sz w:val="18"/>
                <w:szCs w:val="18"/>
              </w:rPr>
              <w:t>)</w:t>
            </w:r>
          </w:p>
        </w:tc>
      </w:tr>
      <w:tr w:rsidR="00B922DC" w14:paraId="0270F67C" w14:textId="77777777" w:rsidTr="00FB7728">
        <w:tc>
          <w:tcPr>
            <w:tcW w:w="704" w:type="dxa"/>
            <w:vMerge/>
            <w:vAlign w:val="center"/>
          </w:tcPr>
          <w:p w14:paraId="76D1B552" w14:textId="77777777" w:rsidR="00B922DC" w:rsidRDefault="00B922DC" w:rsidP="00D05BBE">
            <w:pPr>
              <w:tabs>
                <w:tab w:val="clear" w:pos="5041"/>
              </w:tabs>
              <w:spacing w:after="0"/>
            </w:pPr>
          </w:p>
        </w:tc>
        <w:tc>
          <w:tcPr>
            <w:tcW w:w="2304" w:type="dxa"/>
            <w:vAlign w:val="center"/>
          </w:tcPr>
          <w:p w14:paraId="6625FA35" w14:textId="778BCBA2" w:rsidR="00B922DC" w:rsidRPr="00CE6559" w:rsidRDefault="00B922DC" w:rsidP="00D05BBE">
            <w:pPr>
              <w:tabs>
                <w:tab w:val="clear" w:pos="5041"/>
              </w:tabs>
              <w:spacing w:after="0"/>
              <w:rPr>
                <w:rFonts w:asciiTheme="minorHAnsi" w:hAnsiTheme="minorHAnsi"/>
                <w:sz w:val="18"/>
                <w:szCs w:val="18"/>
              </w:rPr>
            </w:pPr>
            <w:r>
              <w:rPr>
                <w:rFonts w:asciiTheme="minorHAnsi" w:hAnsiTheme="minorHAnsi"/>
                <w:sz w:val="18"/>
                <w:szCs w:val="18"/>
              </w:rPr>
              <w:t>Stockholms inre skärgård och Hallsfjärden</w:t>
            </w:r>
            <w:r w:rsidR="00351BD6">
              <w:rPr>
                <w:rFonts w:asciiTheme="minorHAnsi" w:hAnsiTheme="minorHAnsi"/>
                <w:sz w:val="18"/>
                <w:szCs w:val="18"/>
              </w:rPr>
              <w:t xml:space="preserve"> (24)</w:t>
            </w:r>
          </w:p>
        </w:tc>
        <w:tc>
          <w:tcPr>
            <w:tcW w:w="1537" w:type="dxa"/>
            <w:vAlign w:val="center"/>
          </w:tcPr>
          <w:p w14:paraId="59FCA0FD" w14:textId="77777777" w:rsidR="00B922DC" w:rsidRPr="00CE6559" w:rsidRDefault="00B922DC" w:rsidP="00D05BBE">
            <w:pPr>
              <w:tabs>
                <w:tab w:val="clear" w:pos="5041"/>
              </w:tabs>
              <w:spacing w:after="0"/>
              <w:rPr>
                <w:sz w:val="18"/>
                <w:szCs w:val="18"/>
              </w:rPr>
            </w:pPr>
          </w:p>
        </w:tc>
        <w:tc>
          <w:tcPr>
            <w:tcW w:w="1496" w:type="dxa"/>
            <w:vAlign w:val="center"/>
          </w:tcPr>
          <w:p w14:paraId="4BB8ECAA" w14:textId="4682E6BE" w:rsidR="00B922DC" w:rsidRDefault="00B922DC" w:rsidP="00D05BBE">
            <w:pPr>
              <w:tabs>
                <w:tab w:val="clear" w:pos="5041"/>
              </w:tabs>
              <w:spacing w:after="0"/>
              <w:rPr>
                <w:sz w:val="18"/>
                <w:szCs w:val="18"/>
              </w:rPr>
            </w:pPr>
            <w:r>
              <w:rPr>
                <w:sz w:val="18"/>
                <w:szCs w:val="18"/>
              </w:rPr>
              <w:t>18</w:t>
            </w:r>
            <w:r w:rsidR="0067501E">
              <w:rPr>
                <w:sz w:val="18"/>
                <w:szCs w:val="18"/>
              </w:rPr>
              <w:t xml:space="preserve"> </w:t>
            </w:r>
            <w:r>
              <w:rPr>
                <w:sz w:val="18"/>
                <w:szCs w:val="18"/>
              </w:rPr>
              <w:t>%</w:t>
            </w:r>
            <w:r w:rsidR="00673069">
              <w:rPr>
                <w:sz w:val="18"/>
                <w:szCs w:val="18"/>
              </w:rPr>
              <w:t xml:space="preserve"> (SE 2.3)</w:t>
            </w:r>
          </w:p>
        </w:tc>
        <w:tc>
          <w:tcPr>
            <w:tcW w:w="1538" w:type="dxa"/>
          </w:tcPr>
          <w:p w14:paraId="105C1F09" w14:textId="77777777" w:rsidR="00B922DC" w:rsidRPr="00CE6559" w:rsidRDefault="00B922DC" w:rsidP="00D05BBE">
            <w:pPr>
              <w:tabs>
                <w:tab w:val="clear" w:pos="5041"/>
              </w:tabs>
              <w:spacing w:after="0"/>
              <w:rPr>
                <w:sz w:val="18"/>
                <w:szCs w:val="18"/>
              </w:rPr>
            </w:pPr>
          </w:p>
        </w:tc>
        <w:tc>
          <w:tcPr>
            <w:tcW w:w="0" w:type="auto"/>
            <w:vAlign w:val="center"/>
          </w:tcPr>
          <w:p w14:paraId="391F579D" w14:textId="2EF4DFEA" w:rsidR="00B922DC" w:rsidRPr="00CE6559" w:rsidRDefault="00673069" w:rsidP="00D05BBE">
            <w:pPr>
              <w:tabs>
                <w:tab w:val="clear" w:pos="5041"/>
              </w:tabs>
              <w:spacing w:after="0"/>
              <w:rPr>
                <w:sz w:val="18"/>
                <w:szCs w:val="18"/>
              </w:rPr>
            </w:pPr>
            <w:r>
              <w:rPr>
                <w:sz w:val="18"/>
                <w:szCs w:val="18"/>
              </w:rPr>
              <w:t>Låg (</w:t>
            </w:r>
            <w:r w:rsidR="00B922DC">
              <w:rPr>
                <w:sz w:val="18"/>
                <w:szCs w:val="18"/>
              </w:rPr>
              <w:t>2 års data, 7 områden</w:t>
            </w:r>
            <w:r>
              <w:rPr>
                <w:sz w:val="18"/>
                <w:szCs w:val="18"/>
              </w:rPr>
              <w:t>)</w:t>
            </w:r>
          </w:p>
        </w:tc>
      </w:tr>
      <w:tr w:rsidR="00475B09" w14:paraId="2FC6E93E" w14:textId="77777777" w:rsidTr="00FB7728">
        <w:tc>
          <w:tcPr>
            <w:tcW w:w="704" w:type="dxa"/>
            <w:vMerge/>
            <w:vAlign w:val="center"/>
          </w:tcPr>
          <w:p w14:paraId="7C9EA861" w14:textId="77777777" w:rsidR="00475B09" w:rsidRDefault="00475B09" w:rsidP="00D05BBE">
            <w:pPr>
              <w:tabs>
                <w:tab w:val="clear" w:pos="5041"/>
              </w:tabs>
              <w:spacing w:after="0"/>
            </w:pPr>
          </w:p>
        </w:tc>
        <w:tc>
          <w:tcPr>
            <w:tcW w:w="2304" w:type="dxa"/>
            <w:vAlign w:val="center"/>
          </w:tcPr>
          <w:p w14:paraId="6DAE884C" w14:textId="396D99FF"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Stockholms skärgård, yttre kustvatten</w:t>
            </w:r>
            <w:r w:rsidR="00351BD6">
              <w:rPr>
                <w:rFonts w:asciiTheme="minorHAnsi" w:hAnsiTheme="minorHAnsi"/>
                <w:sz w:val="18"/>
                <w:szCs w:val="18"/>
              </w:rPr>
              <w:t xml:space="preserve"> (</w:t>
            </w:r>
            <w:r w:rsidR="00706061">
              <w:rPr>
                <w:rFonts w:asciiTheme="minorHAnsi" w:hAnsiTheme="minorHAnsi"/>
                <w:sz w:val="18"/>
                <w:szCs w:val="18"/>
              </w:rPr>
              <w:t>15)</w:t>
            </w:r>
          </w:p>
        </w:tc>
        <w:tc>
          <w:tcPr>
            <w:tcW w:w="1537" w:type="dxa"/>
            <w:vAlign w:val="center"/>
          </w:tcPr>
          <w:p w14:paraId="5BAFBD93" w14:textId="77777777" w:rsidR="00475B09" w:rsidRPr="00CE6559" w:rsidRDefault="00475B09" w:rsidP="00D05BBE">
            <w:pPr>
              <w:tabs>
                <w:tab w:val="clear" w:pos="5041"/>
              </w:tabs>
              <w:spacing w:after="0"/>
              <w:rPr>
                <w:sz w:val="18"/>
                <w:szCs w:val="18"/>
              </w:rPr>
            </w:pPr>
          </w:p>
        </w:tc>
        <w:tc>
          <w:tcPr>
            <w:tcW w:w="1496" w:type="dxa"/>
            <w:vAlign w:val="center"/>
          </w:tcPr>
          <w:p w14:paraId="000894E3" w14:textId="26DAD673" w:rsidR="00475B09" w:rsidRPr="00CE6559" w:rsidRDefault="00FA7540" w:rsidP="00D05BBE">
            <w:pPr>
              <w:tabs>
                <w:tab w:val="clear" w:pos="5041"/>
              </w:tabs>
              <w:spacing w:after="0"/>
              <w:rPr>
                <w:sz w:val="18"/>
                <w:szCs w:val="18"/>
              </w:rPr>
            </w:pPr>
            <w:r>
              <w:rPr>
                <w:sz w:val="18"/>
                <w:szCs w:val="18"/>
              </w:rPr>
              <w:t>2</w:t>
            </w:r>
            <w:r w:rsidR="0067501E">
              <w:rPr>
                <w:sz w:val="18"/>
                <w:szCs w:val="18"/>
              </w:rPr>
              <w:t xml:space="preserve"> </w:t>
            </w:r>
            <w:r>
              <w:rPr>
                <w:sz w:val="18"/>
                <w:szCs w:val="18"/>
              </w:rPr>
              <w:t>%</w:t>
            </w:r>
            <w:r w:rsidR="00673069">
              <w:rPr>
                <w:sz w:val="18"/>
                <w:szCs w:val="18"/>
              </w:rPr>
              <w:t xml:space="preserve"> (SE 0.5)</w:t>
            </w:r>
          </w:p>
        </w:tc>
        <w:tc>
          <w:tcPr>
            <w:tcW w:w="1538" w:type="dxa"/>
          </w:tcPr>
          <w:p w14:paraId="64446BD4" w14:textId="77777777" w:rsidR="00475B09" w:rsidRPr="00CE6559" w:rsidRDefault="00475B09" w:rsidP="00D05BBE">
            <w:pPr>
              <w:tabs>
                <w:tab w:val="clear" w:pos="5041"/>
              </w:tabs>
              <w:spacing w:after="0"/>
              <w:rPr>
                <w:sz w:val="18"/>
                <w:szCs w:val="18"/>
              </w:rPr>
            </w:pPr>
          </w:p>
        </w:tc>
        <w:tc>
          <w:tcPr>
            <w:tcW w:w="0" w:type="auto"/>
            <w:vAlign w:val="center"/>
          </w:tcPr>
          <w:p w14:paraId="2FE99A08" w14:textId="1DF2C9A1" w:rsidR="00475B09" w:rsidRPr="00CE6559" w:rsidRDefault="00673069" w:rsidP="00D05BBE">
            <w:pPr>
              <w:tabs>
                <w:tab w:val="clear" w:pos="5041"/>
              </w:tabs>
              <w:spacing w:after="0"/>
              <w:rPr>
                <w:sz w:val="18"/>
                <w:szCs w:val="18"/>
              </w:rPr>
            </w:pPr>
            <w:r>
              <w:rPr>
                <w:sz w:val="18"/>
                <w:szCs w:val="18"/>
              </w:rPr>
              <w:t>Hög (</w:t>
            </w:r>
            <w:r w:rsidR="00B922DC">
              <w:rPr>
                <w:sz w:val="18"/>
                <w:szCs w:val="18"/>
              </w:rPr>
              <w:t>10 års data, 14 områden</w:t>
            </w:r>
            <w:r>
              <w:rPr>
                <w:sz w:val="18"/>
                <w:szCs w:val="18"/>
              </w:rPr>
              <w:t>)</w:t>
            </w:r>
          </w:p>
        </w:tc>
      </w:tr>
      <w:tr w:rsidR="00475B09" w14:paraId="7CA18FF9" w14:textId="77777777" w:rsidTr="00FB7728">
        <w:tc>
          <w:tcPr>
            <w:tcW w:w="704" w:type="dxa"/>
            <w:vMerge/>
            <w:vAlign w:val="center"/>
          </w:tcPr>
          <w:p w14:paraId="7CEEBC2C" w14:textId="77777777" w:rsidR="00475B09" w:rsidRDefault="00475B09" w:rsidP="00D05BBE">
            <w:pPr>
              <w:tabs>
                <w:tab w:val="clear" w:pos="5041"/>
              </w:tabs>
              <w:spacing w:after="0"/>
            </w:pPr>
          </w:p>
        </w:tc>
        <w:tc>
          <w:tcPr>
            <w:tcW w:w="2304" w:type="dxa"/>
            <w:vAlign w:val="center"/>
          </w:tcPr>
          <w:p w14:paraId="6DB5DD37" w14:textId="3CB99930"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S Bottenhavet, inre kustvatten</w:t>
            </w:r>
            <w:r w:rsidR="00706061">
              <w:rPr>
                <w:rFonts w:asciiTheme="minorHAnsi" w:hAnsiTheme="minorHAnsi"/>
                <w:sz w:val="18"/>
                <w:szCs w:val="18"/>
              </w:rPr>
              <w:t xml:space="preserve"> (16)</w:t>
            </w:r>
          </w:p>
        </w:tc>
        <w:tc>
          <w:tcPr>
            <w:tcW w:w="1537" w:type="dxa"/>
            <w:vAlign w:val="center"/>
          </w:tcPr>
          <w:p w14:paraId="74F48349" w14:textId="77777777" w:rsidR="00475B09" w:rsidRPr="00CE6559" w:rsidRDefault="00475B09" w:rsidP="00D05BBE">
            <w:pPr>
              <w:tabs>
                <w:tab w:val="clear" w:pos="5041"/>
              </w:tabs>
              <w:spacing w:after="0"/>
              <w:rPr>
                <w:sz w:val="18"/>
                <w:szCs w:val="18"/>
              </w:rPr>
            </w:pPr>
          </w:p>
        </w:tc>
        <w:tc>
          <w:tcPr>
            <w:tcW w:w="1496" w:type="dxa"/>
            <w:vAlign w:val="center"/>
          </w:tcPr>
          <w:p w14:paraId="635D6E8B" w14:textId="3461C1EF" w:rsidR="00475B09" w:rsidRPr="00CE6559" w:rsidRDefault="00FA7540" w:rsidP="00D05BBE">
            <w:pPr>
              <w:tabs>
                <w:tab w:val="clear" w:pos="5041"/>
              </w:tabs>
              <w:spacing w:after="0"/>
              <w:rPr>
                <w:sz w:val="18"/>
                <w:szCs w:val="18"/>
              </w:rPr>
            </w:pPr>
            <w:r>
              <w:rPr>
                <w:sz w:val="18"/>
                <w:szCs w:val="18"/>
              </w:rPr>
              <w:t>21</w:t>
            </w:r>
            <w:r w:rsidR="0067501E">
              <w:rPr>
                <w:sz w:val="18"/>
                <w:szCs w:val="18"/>
              </w:rPr>
              <w:t xml:space="preserve"> </w:t>
            </w:r>
            <w:r>
              <w:rPr>
                <w:sz w:val="18"/>
                <w:szCs w:val="18"/>
              </w:rPr>
              <w:t>%</w:t>
            </w:r>
            <w:r w:rsidR="00673069">
              <w:rPr>
                <w:sz w:val="18"/>
                <w:szCs w:val="18"/>
              </w:rPr>
              <w:t xml:space="preserve"> (SE 0.3)</w:t>
            </w:r>
          </w:p>
        </w:tc>
        <w:tc>
          <w:tcPr>
            <w:tcW w:w="1538" w:type="dxa"/>
          </w:tcPr>
          <w:p w14:paraId="1266C169" w14:textId="77777777" w:rsidR="00475B09" w:rsidRPr="00CE6559" w:rsidRDefault="00475B09" w:rsidP="00D05BBE">
            <w:pPr>
              <w:tabs>
                <w:tab w:val="clear" w:pos="5041"/>
              </w:tabs>
              <w:spacing w:after="0"/>
              <w:rPr>
                <w:sz w:val="18"/>
                <w:szCs w:val="18"/>
              </w:rPr>
            </w:pPr>
          </w:p>
        </w:tc>
        <w:tc>
          <w:tcPr>
            <w:tcW w:w="0" w:type="auto"/>
            <w:vAlign w:val="center"/>
          </w:tcPr>
          <w:p w14:paraId="0B1696BD" w14:textId="2BDD36E2" w:rsidR="00475B09" w:rsidRPr="00CE6559" w:rsidRDefault="00673069" w:rsidP="00D05BBE">
            <w:pPr>
              <w:tabs>
                <w:tab w:val="clear" w:pos="5041"/>
              </w:tabs>
              <w:spacing w:after="0"/>
              <w:rPr>
                <w:sz w:val="18"/>
                <w:szCs w:val="18"/>
              </w:rPr>
            </w:pPr>
            <w:r>
              <w:rPr>
                <w:sz w:val="18"/>
                <w:szCs w:val="18"/>
              </w:rPr>
              <w:t>Hög (</w:t>
            </w:r>
            <w:r w:rsidR="00B922DC">
              <w:rPr>
                <w:sz w:val="18"/>
                <w:szCs w:val="18"/>
              </w:rPr>
              <w:t>14 års data, 58 områden</w:t>
            </w:r>
            <w:r>
              <w:rPr>
                <w:sz w:val="18"/>
                <w:szCs w:val="18"/>
              </w:rPr>
              <w:t>)</w:t>
            </w:r>
          </w:p>
        </w:tc>
      </w:tr>
      <w:tr w:rsidR="00475B09" w14:paraId="6B238B20" w14:textId="77777777" w:rsidTr="00FB7728">
        <w:tc>
          <w:tcPr>
            <w:tcW w:w="704" w:type="dxa"/>
            <w:vMerge/>
            <w:vAlign w:val="center"/>
          </w:tcPr>
          <w:p w14:paraId="5D1D2FF4" w14:textId="77777777" w:rsidR="00475B09" w:rsidRDefault="00475B09" w:rsidP="00D05BBE">
            <w:pPr>
              <w:tabs>
                <w:tab w:val="clear" w:pos="5041"/>
              </w:tabs>
              <w:spacing w:after="0"/>
            </w:pPr>
          </w:p>
        </w:tc>
        <w:tc>
          <w:tcPr>
            <w:tcW w:w="2304" w:type="dxa"/>
            <w:vAlign w:val="center"/>
          </w:tcPr>
          <w:p w14:paraId="43C57E14" w14:textId="3736A034"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S Bottenhavet, yttre kustvatten</w:t>
            </w:r>
            <w:r w:rsidR="00706061">
              <w:rPr>
                <w:rFonts w:asciiTheme="minorHAnsi" w:hAnsiTheme="minorHAnsi"/>
                <w:sz w:val="18"/>
                <w:szCs w:val="18"/>
              </w:rPr>
              <w:t xml:space="preserve"> (17)</w:t>
            </w:r>
          </w:p>
        </w:tc>
        <w:tc>
          <w:tcPr>
            <w:tcW w:w="1537" w:type="dxa"/>
            <w:vAlign w:val="center"/>
          </w:tcPr>
          <w:p w14:paraId="0A82A853" w14:textId="77777777" w:rsidR="00475B09" w:rsidRPr="00CE6559" w:rsidRDefault="00475B09" w:rsidP="00D05BBE">
            <w:pPr>
              <w:tabs>
                <w:tab w:val="clear" w:pos="5041"/>
              </w:tabs>
              <w:spacing w:after="0"/>
              <w:rPr>
                <w:sz w:val="18"/>
                <w:szCs w:val="18"/>
              </w:rPr>
            </w:pPr>
          </w:p>
        </w:tc>
        <w:tc>
          <w:tcPr>
            <w:tcW w:w="1496" w:type="dxa"/>
            <w:vAlign w:val="center"/>
          </w:tcPr>
          <w:p w14:paraId="51803093" w14:textId="2559C498" w:rsidR="00475B09" w:rsidRPr="00CE6559" w:rsidRDefault="00FA7540" w:rsidP="00D05BBE">
            <w:pPr>
              <w:tabs>
                <w:tab w:val="clear" w:pos="5041"/>
              </w:tabs>
              <w:spacing w:after="0"/>
              <w:rPr>
                <w:sz w:val="18"/>
                <w:szCs w:val="18"/>
              </w:rPr>
            </w:pPr>
            <w:r>
              <w:rPr>
                <w:sz w:val="18"/>
                <w:szCs w:val="18"/>
              </w:rPr>
              <w:t>3</w:t>
            </w:r>
            <w:r w:rsidR="0067501E">
              <w:rPr>
                <w:sz w:val="18"/>
                <w:szCs w:val="18"/>
              </w:rPr>
              <w:t xml:space="preserve"> </w:t>
            </w:r>
            <w:r>
              <w:rPr>
                <w:sz w:val="18"/>
                <w:szCs w:val="18"/>
              </w:rPr>
              <w:t>%</w:t>
            </w:r>
            <w:r w:rsidR="00673069">
              <w:rPr>
                <w:sz w:val="18"/>
                <w:szCs w:val="18"/>
              </w:rPr>
              <w:t xml:space="preserve"> (SE 0.2)</w:t>
            </w:r>
          </w:p>
        </w:tc>
        <w:tc>
          <w:tcPr>
            <w:tcW w:w="1538" w:type="dxa"/>
          </w:tcPr>
          <w:p w14:paraId="3DD448A0" w14:textId="77777777" w:rsidR="00475B09" w:rsidRPr="00CE6559" w:rsidRDefault="00475B09" w:rsidP="00D05BBE">
            <w:pPr>
              <w:tabs>
                <w:tab w:val="clear" w:pos="5041"/>
              </w:tabs>
              <w:spacing w:after="0"/>
              <w:rPr>
                <w:sz w:val="18"/>
                <w:szCs w:val="18"/>
              </w:rPr>
            </w:pPr>
          </w:p>
        </w:tc>
        <w:tc>
          <w:tcPr>
            <w:tcW w:w="0" w:type="auto"/>
            <w:vAlign w:val="center"/>
          </w:tcPr>
          <w:p w14:paraId="13F2F812" w14:textId="7587B43B" w:rsidR="00475B09" w:rsidRPr="00CE6559" w:rsidRDefault="00673069" w:rsidP="00D05BBE">
            <w:pPr>
              <w:tabs>
                <w:tab w:val="clear" w:pos="5041"/>
              </w:tabs>
              <w:spacing w:after="0"/>
              <w:rPr>
                <w:sz w:val="18"/>
                <w:szCs w:val="18"/>
              </w:rPr>
            </w:pPr>
            <w:r>
              <w:rPr>
                <w:sz w:val="18"/>
                <w:szCs w:val="18"/>
              </w:rPr>
              <w:t>Hög (</w:t>
            </w:r>
            <w:r w:rsidR="00B922DC">
              <w:rPr>
                <w:sz w:val="18"/>
                <w:szCs w:val="18"/>
              </w:rPr>
              <w:t>13 års data, 53 områden</w:t>
            </w:r>
            <w:r>
              <w:rPr>
                <w:sz w:val="18"/>
                <w:szCs w:val="18"/>
              </w:rPr>
              <w:t>)</w:t>
            </w:r>
          </w:p>
        </w:tc>
      </w:tr>
      <w:tr w:rsidR="00475B09" w14:paraId="442381F2" w14:textId="77777777" w:rsidTr="00FB7728">
        <w:tc>
          <w:tcPr>
            <w:tcW w:w="704" w:type="dxa"/>
            <w:vMerge/>
            <w:vAlign w:val="center"/>
          </w:tcPr>
          <w:p w14:paraId="4D9D3A7E" w14:textId="77777777" w:rsidR="00475B09" w:rsidRDefault="00475B09" w:rsidP="00D05BBE">
            <w:pPr>
              <w:tabs>
                <w:tab w:val="clear" w:pos="5041"/>
              </w:tabs>
              <w:spacing w:after="0"/>
            </w:pPr>
          </w:p>
        </w:tc>
        <w:tc>
          <w:tcPr>
            <w:tcW w:w="2304" w:type="dxa"/>
            <w:vAlign w:val="center"/>
          </w:tcPr>
          <w:p w14:paraId="23D9D4F5" w14:textId="1AC58F85"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Bottenhavet, Höga kusten, inre kustvatten</w:t>
            </w:r>
            <w:r w:rsidR="00706061">
              <w:rPr>
                <w:rFonts w:asciiTheme="minorHAnsi" w:hAnsiTheme="minorHAnsi"/>
                <w:sz w:val="18"/>
                <w:szCs w:val="18"/>
              </w:rPr>
              <w:t xml:space="preserve"> (18)</w:t>
            </w:r>
          </w:p>
        </w:tc>
        <w:tc>
          <w:tcPr>
            <w:tcW w:w="1537" w:type="dxa"/>
            <w:vAlign w:val="center"/>
          </w:tcPr>
          <w:p w14:paraId="76CB8508" w14:textId="77777777" w:rsidR="00475B09" w:rsidRPr="00CE6559" w:rsidRDefault="00475B09" w:rsidP="00D05BBE">
            <w:pPr>
              <w:tabs>
                <w:tab w:val="clear" w:pos="5041"/>
              </w:tabs>
              <w:spacing w:after="0"/>
              <w:rPr>
                <w:sz w:val="18"/>
                <w:szCs w:val="18"/>
              </w:rPr>
            </w:pPr>
          </w:p>
        </w:tc>
        <w:tc>
          <w:tcPr>
            <w:tcW w:w="1496" w:type="dxa"/>
            <w:vAlign w:val="center"/>
          </w:tcPr>
          <w:p w14:paraId="78BB6F6D" w14:textId="7FD7BBBA" w:rsidR="00475B09" w:rsidRPr="00CE6559" w:rsidRDefault="00FA7540" w:rsidP="00D05BBE">
            <w:pPr>
              <w:tabs>
                <w:tab w:val="clear" w:pos="5041"/>
              </w:tabs>
              <w:spacing w:after="0"/>
              <w:rPr>
                <w:sz w:val="18"/>
                <w:szCs w:val="18"/>
              </w:rPr>
            </w:pPr>
            <w:r>
              <w:rPr>
                <w:sz w:val="18"/>
                <w:szCs w:val="18"/>
              </w:rPr>
              <w:t>5</w:t>
            </w:r>
            <w:r w:rsidR="0067501E">
              <w:rPr>
                <w:sz w:val="18"/>
                <w:szCs w:val="18"/>
              </w:rPr>
              <w:t xml:space="preserve"> </w:t>
            </w:r>
            <w:r>
              <w:rPr>
                <w:sz w:val="18"/>
                <w:szCs w:val="18"/>
              </w:rPr>
              <w:t>%</w:t>
            </w:r>
            <w:r w:rsidR="00673069">
              <w:rPr>
                <w:sz w:val="18"/>
                <w:szCs w:val="18"/>
              </w:rPr>
              <w:t xml:space="preserve"> (SE 0.4)</w:t>
            </w:r>
          </w:p>
        </w:tc>
        <w:tc>
          <w:tcPr>
            <w:tcW w:w="1538" w:type="dxa"/>
          </w:tcPr>
          <w:p w14:paraId="49AE9B9D" w14:textId="77777777" w:rsidR="00475B09" w:rsidRPr="00CE6559" w:rsidRDefault="00475B09" w:rsidP="00D05BBE">
            <w:pPr>
              <w:tabs>
                <w:tab w:val="clear" w:pos="5041"/>
              </w:tabs>
              <w:spacing w:after="0"/>
              <w:rPr>
                <w:sz w:val="18"/>
                <w:szCs w:val="18"/>
              </w:rPr>
            </w:pPr>
          </w:p>
        </w:tc>
        <w:tc>
          <w:tcPr>
            <w:tcW w:w="0" w:type="auto"/>
            <w:vAlign w:val="center"/>
          </w:tcPr>
          <w:p w14:paraId="4A94A8FB" w14:textId="4F39E229" w:rsidR="00475B09" w:rsidRPr="00CE6559" w:rsidRDefault="00673069" w:rsidP="00D05BBE">
            <w:pPr>
              <w:tabs>
                <w:tab w:val="clear" w:pos="5041"/>
              </w:tabs>
              <w:spacing w:after="0"/>
              <w:rPr>
                <w:sz w:val="18"/>
                <w:szCs w:val="18"/>
              </w:rPr>
            </w:pPr>
            <w:r>
              <w:rPr>
                <w:sz w:val="18"/>
                <w:szCs w:val="18"/>
              </w:rPr>
              <w:t>Hög (</w:t>
            </w:r>
            <w:r w:rsidR="00B922DC">
              <w:rPr>
                <w:sz w:val="18"/>
                <w:szCs w:val="18"/>
              </w:rPr>
              <w:t>4 års data, 26 områden</w:t>
            </w:r>
            <w:r>
              <w:rPr>
                <w:sz w:val="18"/>
                <w:szCs w:val="18"/>
              </w:rPr>
              <w:t>)</w:t>
            </w:r>
          </w:p>
        </w:tc>
      </w:tr>
      <w:tr w:rsidR="00475B09" w14:paraId="4D72AAC5" w14:textId="77777777" w:rsidTr="00FB7728">
        <w:tc>
          <w:tcPr>
            <w:tcW w:w="704" w:type="dxa"/>
            <w:vMerge/>
            <w:vAlign w:val="center"/>
          </w:tcPr>
          <w:p w14:paraId="213CF5CF" w14:textId="77777777" w:rsidR="00475B09" w:rsidRDefault="00475B09" w:rsidP="00D05BBE">
            <w:pPr>
              <w:tabs>
                <w:tab w:val="clear" w:pos="5041"/>
              </w:tabs>
              <w:spacing w:after="0"/>
            </w:pPr>
          </w:p>
        </w:tc>
        <w:tc>
          <w:tcPr>
            <w:tcW w:w="2304" w:type="dxa"/>
            <w:vAlign w:val="center"/>
          </w:tcPr>
          <w:p w14:paraId="3AAED852" w14:textId="281FADF8"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Bottenhavet, Höga kusten, yttre kustvatten</w:t>
            </w:r>
            <w:r w:rsidR="00706061">
              <w:rPr>
                <w:rFonts w:asciiTheme="minorHAnsi" w:hAnsiTheme="minorHAnsi"/>
                <w:sz w:val="18"/>
                <w:szCs w:val="18"/>
              </w:rPr>
              <w:t xml:space="preserve"> (19)</w:t>
            </w:r>
          </w:p>
        </w:tc>
        <w:tc>
          <w:tcPr>
            <w:tcW w:w="1537" w:type="dxa"/>
            <w:vAlign w:val="center"/>
          </w:tcPr>
          <w:p w14:paraId="60AD9EA0" w14:textId="77777777" w:rsidR="00475B09" w:rsidRPr="00CE6559" w:rsidRDefault="00475B09" w:rsidP="00D05BBE">
            <w:pPr>
              <w:tabs>
                <w:tab w:val="clear" w:pos="5041"/>
              </w:tabs>
              <w:spacing w:after="0"/>
              <w:rPr>
                <w:sz w:val="18"/>
                <w:szCs w:val="18"/>
              </w:rPr>
            </w:pPr>
          </w:p>
        </w:tc>
        <w:tc>
          <w:tcPr>
            <w:tcW w:w="1496" w:type="dxa"/>
            <w:vAlign w:val="center"/>
          </w:tcPr>
          <w:p w14:paraId="7FAB3BFC" w14:textId="36D0199C" w:rsidR="00475B09" w:rsidRPr="00CE6559" w:rsidRDefault="00FA7540" w:rsidP="00D05BBE">
            <w:pPr>
              <w:tabs>
                <w:tab w:val="clear" w:pos="5041"/>
              </w:tabs>
              <w:spacing w:after="0"/>
              <w:rPr>
                <w:sz w:val="18"/>
                <w:szCs w:val="18"/>
              </w:rPr>
            </w:pPr>
            <w:r>
              <w:rPr>
                <w:sz w:val="18"/>
                <w:szCs w:val="18"/>
              </w:rPr>
              <w:t>0</w:t>
            </w:r>
            <w:r w:rsidR="00673069">
              <w:rPr>
                <w:sz w:val="18"/>
                <w:szCs w:val="18"/>
              </w:rPr>
              <w:t>.5</w:t>
            </w:r>
            <w:r w:rsidR="0067501E">
              <w:rPr>
                <w:sz w:val="18"/>
                <w:szCs w:val="18"/>
              </w:rPr>
              <w:t xml:space="preserve"> </w:t>
            </w:r>
            <w:r>
              <w:rPr>
                <w:sz w:val="18"/>
                <w:szCs w:val="18"/>
              </w:rPr>
              <w:t>%</w:t>
            </w:r>
            <w:r w:rsidR="00673069">
              <w:rPr>
                <w:sz w:val="18"/>
                <w:szCs w:val="18"/>
              </w:rPr>
              <w:t xml:space="preserve"> (SE 0.1)</w:t>
            </w:r>
          </w:p>
        </w:tc>
        <w:tc>
          <w:tcPr>
            <w:tcW w:w="1538" w:type="dxa"/>
          </w:tcPr>
          <w:p w14:paraId="672926E9" w14:textId="77777777" w:rsidR="00475B09" w:rsidRPr="00CE6559" w:rsidRDefault="00475B09" w:rsidP="00D05BBE">
            <w:pPr>
              <w:tabs>
                <w:tab w:val="clear" w:pos="5041"/>
              </w:tabs>
              <w:spacing w:after="0"/>
              <w:rPr>
                <w:sz w:val="18"/>
                <w:szCs w:val="18"/>
              </w:rPr>
            </w:pPr>
          </w:p>
        </w:tc>
        <w:tc>
          <w:tcPr>
            <w:tcW w:w="0" w:type="auto"/>
            <w:vAlign w:val="center"/>
          </w:tcPr>
          <w:p w14:paraId="30C695EE" w14:textId="4FF602A4" w:rsidR="00475B09" w:rsidRPr="00CE6559" w:rsidRDefault="00673069" w:rsidP="00D05BBE">
            <w:pPr>
              <w:tabs>
                <w:tab w:val="clear" w:pos="5041"/>
              </w:tabs>
              <w:spacing w:after="0"/>
              <w:rPr>
                <w:sz w:val="18"/>
                <w:szCs w:val="18"/>
              </w:rPr>
            </w:pPr>
            <w:r>
              <w:rPr>
                <w:sz w:val="18"/>
                <w:szCs w:val="18"/>
              </w:rPr>
              <w:t>Hög (</w:t>
            </w:r>
            <w:r w:rsidR="00B922DC">
              <w:rPr>
                <w:sz w:val="18"/>
                <w:szCs w:val="18"/>
              </w:rPr>
              <w:t>6 års data, 30 områden</w:t>
            </w:r>
            <w:r>
              <w:rPr>
                <w:sz w:val="18"/>
                <w:szCs w:val="18"/>
              </w:rPr>
              <w:t>)</w:t>
            </w:r>
          </w:p>
        </w:tc>
      </w:tr>
      <w:tr w:rsidR="00475B09" w14:paraId="7852CF1B" w14:textId="77777777" w:rsidTr="00FB7728">
        <w:tc>
          <w:tcPr>
            <w:tcW w:w="704" w:type="dxa"/>
            <w:vMerge/>
            <w:vAlign w:val="center"/>
          </w:tcPr>
          <w:p w14:paraId="430E2334" w14:textId="77777777" w:rsidR="00475B09" w:rsidRDefault="00475B09" w:rsidP="00D05BBE">
            <w:pPr>
              <w:tabs>
                <w:tab w:val="clear" w:pos="5041"/>
              </w:tabs>
              <w:spacing w:after="0"/>
            </w:pPr>
          </w:p>
        </w:tc>
        <w:tc>
          <w:tcPr>
            <w:tcW w:w="2304" w:type="dxa"/>
            <w:vAlign w:val="center"/>
          </w:tcPr>
          <w:p w14:paraId="1069615A" w14:textId="6261D5F6"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Kvarkens inre kustvatten</w:t>
            </w:r>
            <w:r w:rsidR="00706061">
              <w:rPr>
                <w:rFonts w:asciiTheme="minorHAnsi" w:hAnsiTheme="minorHAnsi"/>
                <w:sz w:val="18"/>
                <w:szCs w:val="18"/>
              </w:rPr>
              <w:t xml:space="preserve"> (20)</w:t>
            </w:r>
          </w:p>
        </w:tc>
        <w:tc>
          <w:tcPr>
            <w:tcW w:w="1537" w:type="dxa"/>
            <w:vAlign w:val="center"/>
          </w:tcPr>
          <w:p w14:paraId="35C87CE8" w14:textId="77777777" w:rsidR="00475B09" w:rsidRPr="00CE6559" w:rsidRDefault="00475B09" w:rsidP="00D05BBE">
            <w:pPr>
              <w:tabs>
                <w:tab w:val="clear" w:pos="5041"/>
              </w:tabs>
              <w:spacing w:after="0"/>
              <w:rPr>
                <w:sz w:val="18"/>
                <w:szCs w:val="18"/>
              </w:rPr>
            </w:pPr>
          </w:p>
        </w:tc>
        <w:tc>
          <w:tcPr>
            <w:tcW w:w="1496" w:type="dxa"/>
            <w:vAlign w:val="center"/>
          </w:tcPr>
          <w:p w14:paraId="676CA77F" w14:textId="6873385B" w:rsidR="00475B09" w:rsidRPr="00CE6559" w:rsidRDefault="00FA7540" w:rsidP="00D05BBE">
            <w:pPr>
              <w:tabs>
                <w:tab w:val="clear" w:pos="5041"/>
              </w:tabs>
              <w:spacing w:after="0"/>
              <w:rPr>
                <w:sz w:val="18"/>
                <w:szCs w:val="18"/>
              </w:rPr>
            </w:pPr>
            <w:r>
              <w:rPr>
                <w:sz w:val="18"/>
                <w:szCs w:val="18"/>
              </w:rPr>
              <w:t>17</w:t>
            </w:r>
            <w:r w:rsidR="0067501E">
              <w:rPr>
                <w:sz w:val="18"/>
                <w:szCs w:val="18"/>
              </w:rPr>
              <w:t xml:space="preserve"> </w:t>
            </w:r>
            <w:r>
              <w:rPr>
                <w:sz w:val="18"/>
                <w:szCs w:val="18"/>
              </w:rPr>
              <w:t>%</w:t>
            </w:r>
            <w:r w:rsidR="00673069">
              <w:rPr>
                <w:sz w:val="18"/>
                <w:szCs w:val="18"/>
              </w:rPr>
              <w:t xml:space="preserve"> (SE 4.3)</w:t>
            </w:r>
          </w:p>
        </w:tc>
        <w:tc>
          <w:tcPr>
            <w:tcW w:w="1538" w:type="dxa"/>
          </w:tcPr>
          <w:p w14:paraId="4E629D76" w14:textId="77777777" w:rsidR="00475B09" w:rsidRPr="00CE6559" w:rsidRDefault="00475B09" w:rsidP="00D05BBE">
            <w:pPr>
              <w:tabs>
                <w:tab w:val="clear" w:pos="5041"/>
              </w:tabs>
              <w:spacing w:after="0"/>
              <w:rPr>
                <w:sz w:val="18"/>
                <w:szCs w:val="18"/>
              </w:rPr>
            </w:pPr>
          </w:p>
        </w:tc>
        <w:tc>
          <w:tcPr>
            <w:tcW w:w="0" w:type="auto"/>
            <w:vAlign w:val="center"/>
          </w:tcPr>
          <w:p w14:paraId="383F880B" w14:textId="6E7BE366" w:rsidR="00475B09" w:rsidRPr="00CE6559" w:rsidRDefault="00673069" w:rsidP="00D05BBE">
            <w:pPr>
              <w:tabs>
                <w:tab w:val="clear" w:pos="5041"/>
              </w:tabs>
              <w:spacing w:after="0"/>
              <w:rPr>
                <w:sz w:val="18"/>
                <w:szCs w:val="18"/>
              </w:rPr>
            </w:pPr>
            <w:r>
              <w:rPr>
                <w:sz w:val="18"/>
                <w:szCs w:val="18"/>
              </w:rPr>
              <w:t>Låg (</w:t>
            </w:r>
            <w:r w:rsidR="00B922DC">
              <w:rPr>
                <w:sz w:val="18"/>
                <w:szCs w:val="18"/>
              </w:rPr>
              <w:t>3 års data, 4 områden</w:t>
            </w:r>
            <w:r>
              <w:rPr>
                <w:sz w:val="18"/>
                <w:szCs w:val="18"/>
              </w:rPr>
              <w:t>)</w:t>
            </w:r>
          </w:p>
        </w:tc>
      </w:tr>
      <w:tr w:rsidR="00475B09" w14:paraId="3D135356" w14:textId="77777777" w:rsidTr="00FB7728">
        <w:tc>
          <w:tcPr>
            <w:tcW w:w="704" w:type="dxa"/>
            <w:vMerge/>
            <w:vAlign w:val="center"/>
          </w:tcPr>
          <w:p w14:paraId="1BE03918" w14:textId="77777777" w:rsidR="00475B09" w:rsidRDefault="00475B09" w:rsidP="00D05BBE">
            <w:pPr>
              <w:tabs>
                <w:tab w:val="clear" w:pos="5041"/>
              </w:tabs>
              <w:spacing w:after="0"/>
            </w:pPr>
          </w:p>
        </w:tc>
        <w:tc>
          <w:tcPr>
            <w:tcW w:w="2304" w:type="dxa"/>
            <w:vAlign w:val="center"/>
          </w:tcPr>
          <w:p w14:paraId="03FB11FB" w14:textId="5E5A3A86"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Kvarkens yttre kustvatten</w:t>
            </w:r>
            <w:r w:rsidR="00706061">
              <w:rPr>
                <w:rFonts w:asciiTheme="minorHAnsi" w:hAnsiTheme="minorHAnsi"/>
                <w:sz w:val="18"/>
                <w:szCs w:val="18"/>
              </w:rPr>
              <w:t xml:space="preserve"> (21)</w:t>
            </w:r>
          </w:p>
        </w:tc>
        <w:tc>
          <w:tcPr>
            <w:tcW w:w="1537" w:type="dxa"/>
            <w:vAlign w:val="center"/>
          </w:tcPr>
          <w:p w14:paraId="51ED8FDE" w14:textId="77777777" w:rsidR="00475B09" w:rsidRPr="00CE6559" w:rsidRDefault="00475B09" w:rsidP="00D05BBE">
            <w:pPr>
              <w:tabs>
                <w:tab w:val="clear" w:pos="5041"/>
              </w:tabs>
              <w:spacing w:after="0"/>
              <w:rPr>
                <w:sz w:val="18"/>
                <w:szCs w:val="18"/>
              </w:rPr>
            </w:pPr>
          </w:p>
        </w:tc>
        <w:tc>
          <w:tcPr>
            <w:tcW w:w="1496" w:type="dxa"/>
            <w:vAlign w:val="center"/>
          </w:tcPr>
          <w:p w14:paraId="21B50EA4" w14:textId="4531F8A1" w:rsidR="00475B09" w:rsidRPr="00CE6559" w:rsidRDefault="00FA7540" w:rsidP="00D05BBE">
            <w:pPr>
              <w:tabs>
                <w:tab w:val="clear" w:pos="5041"/>
              </w:tabs>
              <w:spacing w:after="0"/>
              <w:rPr>
                <w:sz w:val="18"/>
                <w:szCs w:val="18"/>
              </w:rPr>
            </w:pPr>
            <w:r>
              <w:rPr>
                <w:sz w:val="18"/>
                <w:szCs w:val="18"/>
              </w:rPr>
              <w:t>0</w:t>
            </w:r>
            <w:r w:rsidR="00673069">
              <w:rPr>
                <w:sz w:val="18"/>
                <w:szCs w:val="18"/>
              </w:rPr>
              <w:t>.5</w:t>
            </w:r>
            <w:r w:rsidR="0067501E">
              <w:rPr>
                <w:sz w:val="18"/>
                <w:szCs w:val="18"/>
              </w:rPr>
              <w:t xml:space="preserve"> </w:t>
            </w:r>
            <w:r>
              <w:rPr>
                <w:sz w:val="18"/>
                <w:szCs w:val="18"/>
              </w:rPr>
              <w:t>%</w:t>
            </w:r>
            <w:r w:rsidR="00673069">
              <w:rPr>
                <w:sz w:val="18"/>
                <w:szCs w:val="18"/>
              </w:rPr>
              <w:t xml:space="preserve"> (SE 0.3)</w:t>
            </w:r>
          </w:p>
        </w:tc>
        <w:tc>
          <w:tcPr>
            <w:tcW w:w="1538" w:type="dxa"/>
          </w:tcPr>
          <w:p w14:paraId="39FF7EFF" w14:textId="77777777" w:rsidR="00475B09" w:rsidRPr="00CE6559" w:rsidRDefault="00475B09" w:rsidP="00D05BBE">
            <w:pPr>
              <w:tabs>
                <w:tab w:val="clear" w:pos="5041"/>
              </w:tabs>
              <w:spacing w:after="0"/>
              <w:rPr>
                <w:sz w:val="18"/>
                <w:szCs w:val="18"/>
              </w:rPr>
            </w:pPr>
          </w:p>
        </w:tc>
        <w:tc>
          <w:tcPr>
            <w:tcW w:w="0" w:type="auto"/>
            <w:vAlign w:val="center"/>
          </w:tcPr>
          <w:p w14:paraId="19B7D92D" w14:textId="37ED4E4C" w:rsidR="00475B09" w:rsidRPr="00CE6559" w:rsidRDefault="00673069" w:rsidP="00D05BBE">
            <w:pPr>
              <w:tabs>
                <w:tab w:val="clear" w:pos="5041"/>
              </w:tabs>
              <w:spacing w:after="0"/>
              <w:rPr>
                <w:sz w:val="18"/>
                <w:szCs w:val="18"/>
              </w:rPr>
            </w:pPr>
            <w:r>
              <w:rPr>
                <w:sz w:val="18"/>
                <w:szCs w:val="18"/>
              </w:rPr>
              <w:t>Låg (</w:t>
            </w:r>
            <w:r w:rsidR="00B922DC">
              <w:rPr>
                <w:sz w:val="18"/>
                <w:szCs w:val="18"/>
              </w:rPr>
              <w:t>4 års data, 17 områden</w:t>
            </w:r>
            <w:r>
              <w:rPr>
                <w:sz w:val="18"/>
                <w:szCs w:val="18"/>
              </w:rPr>
              <w:t>)</w:t>
            </w:r>
          </w:p>
        </w:tc>
      </w:tr>
      <w:tr w:rsidR="00475B09" w14:paraId="001F743B" w14:textId="77777777" w:rsidTr="00FB7728">
        <w:tc>
          <w:tcPr>
            <w:tcW w:w="704" w:type="dxa"/>
            <w:vMerge/>
            <w:vAlign w:val="center"/>
          </w:tcPr>
          <w:p w14:paraId="2970E8BA" w14:textId="77777777" w:rsidR="00475B09" w:rsidRDefault="00475B09" w:rsidP="00D05BBE">
            <w:pPr>
              <w:tabs>
                <w:tab w:val="clear" w:pos="5041"/>
              </w:tabs>
              <w:spacing w:after="0"/>
            </w:pPr>
          </w:p>
        </w:tc>
        <w:tc>
          <w:tcPr>
            <w:tcW w:w="2304" w:type="dxa"/>
            <w:vAlign w:val="center"/>
          </w:tcPr>
          <w:p w14:paraId="6B9D0348" w14:textId="4683FFB2"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Bottenviken, inre kustvatten</w:t>
            </w:r>
            <w:r w:rsidR="00706061">
              <w:rPr>
                <w:rFonts w:asciiTheme="minorHAnsi" w:hAnsiTheme="minorHAnsi"/>
                <w:sz w:val="18"/>
                <w:szCs w:val="18"/>
              </w:rPr>
              <w:t xml:space="preserve"> (22)</w:t>
            </w:r>
          </w:p>
        </w:tc>
        <w:tc>
          <w:tcPr>
            <w:tcW w:w="1537" w:type="dxa"/>
            <w:vAlign w:val="center"/>
          </w:tcPr>
          <w:p w14:paraId="0193C796" w14:textId="77777777" w:rsidR="00475B09" w:rsidRPr="00CE6559" w:rsidRDefault="00475B09" w:rsidP="00D05BBE">
            <w:pPr>
              <w:tabs>
                <w:tab w:val="clear" w:pos="5041"/>
              </w:tabs>
              <w:spacing w:after="0"/>
              <w:rPr>
                <w:sz w:val="18"/>
                <w:szCs w:val="18"/>
              </w:rPr>
            </w:pPr>
          </w:p>
        </w:tc>
        <w:tc>
          <w:tcPr>
            <w:tcW w:w="1496" w:type="dxa"/>
            <w:vAlign w:val="center"/>
          </w:tcPr>
          <w:p w14:paraId="1D5C84A9" w14:textId="291C0332" w:rsidR="00475B09" w:rsidRPr="00CE6559" w:rsidRDefault="00FA7540" w:rsidP="00D05BBE">
            <w:pPr>
              <w:tabs>
                <w:tab w:val="clear" w:pos="5041"/>
              </w:tabs>
              <w:spacing w:after="0"/>
              <w:rPr>
                <w:sz w:val="18"/>
                <w:szCs w:val="18"/>
              </w:rPr>
            </w:pPr>
            <w:r>
              <w:rPr>
                <w:sz w:val="18"/>
                <w:szCs w:val="18"/>
              </w:rPr>
              <w:t>20</w:t>
            </w:r>
            <w:r w:rsidR="0067501E">
              <w:rPr>
                <w:sz w:val="18"/>
                <w:szCs w:val="18"/>
              </w:rPr>
              <w:t xml:space="preserve"> </w:t>
            </w:r>
            <w:r>
              <w:rPr>
                <w:sz w:val="18"/>
                <w:szCs w:val="18"/>
              </w:rPr>
              <w:t>%</w:t>
            </w:r>
            <w:r w:rsidR="00673069">
              <w:rPr>
                <w:sz w:val="18"/>
                <w:szCs w:val="18"/>
              </w:rPr>
              <w:t xml:space="preserve"> (SE 4.4)</w:t>
            </w:r>
          </w:p>
        </w:tc>
        <w:tc>
          <w:tcPr>
            <w:tcW w:w="1538" w:type="dxa"/>
          </w:tcPr>
          <w:p w14:paraId="0159FF99" w14:textId="77777777" w:rsidR="00475B09" w:rsidRPr="00CE6559" w:rsidRDefault="00475B09" w:rsidP="00D05BBE">
            <w:pPr>
              <w:tabs>
                <w:tab w:val="clear" w:pos="5041"/>
              </w:tabs>
              <w:spacing w:after="0"/>
              <w:rPr>
                <w:sz w:val="18"/>
                <w:szCs w:val="18"/>
              </w:rPr>
            </w:pPr>
          </w:p>
        </w:tc>
        <w:tc>
          <w:tcPr>
            <w:tcW w:w="0" w:type="auto"/>
            <w:vAlign w:val="center"/>
          </w:tcPr>
          <w:p w14:paraId="74AF3209" w14:textId="57787041" w:rsidR="00475B09" w:rsidRPr="00CE6559" w:rsidRDefault="00673069" w:rsidP="00D05BBE">
            <w:pPr>
              <w:tabs>
                <w:tab w:val="clear" w:pos="5041"/>
              </w:tabs>
              <w:spacing w:after="0"/>
              <w:rPr>
                <w:sz w:val="18"/>
                <w:szCs w:val="18"/>
              </w:rPr>
            </w:pPr>
            <w:r>
              <w:rPr>
                <w:sz w:val="18"/>
                <w:szCs w:val="18"/>
              </w:rPr>
              <w:t>Låg (</w:t>
            </w:r>
            <w:r w:rsidR="00B922DC">
              <w:rPr>
                <w:sz w:val="18"/>
                <w:szCs w:val="18"/>
              </w:rPr>
              <w:t>3 års data, 11 områden</w:t>
            </w:r>
            <w:r>
              <w:rPr>
                <w:sz w:val="18"/>
                <w:szCs w:val="18"/>
              </w:rPr>
              <w:t>)</w:t>
            </w:r>
          </w:p>
        </w:tc>
      </w:tr>
      <w:tr w:rsidR="00475B09" w14:paraId="0C962666" w14:textId="77777777" w:rsidTr="00FB7728">
        <w:tc>
          <w:tcPr>
            <w:tcW w:w="704" w:type="dxa"/>
            <w:vMerge/>
            <w:vAlign w:val="center"/>
          </w:tcPr>
          <w:p w14:paraId="51BAA086" w14:textId="77777777" w:rsidR="00475B09" w:rsidRDefault="00475B09" w:rsidP="00D05BBE">
            <w:pPr>
              <w:tabs>
                <w:tab w:val="clear" w:pos="5041"/>
              </w:tabs>
              <w:spacing w:after="0"/>
            </w:pPr>
          </w:p>
        </w:tc>
        <w:tc>
          <w:tcPr>
            <w:tcW w:w="2304" w:type="dxa"/>
            <w:vAlign w:val="center"/>
          </w:tcPr>
          <w:p w14:paraId="7FAD0B25" w14:textId="50F52169"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Bottenviken, yttre kustvatten</w:t>
            </w:r>
            <w:r w:rsidR="00706061">
              <w:rPr>
                <w:rFonts w:asciiTheme="minorHAnsi" w:hAnsiTheme="minorHAnsi"/>
                <w:sz w:val="18"/>
                <w:szCs w:val="18"/>
              </w:rPr>
              <w:t xml:space="preserve"> (23)</w:t>
            </w:r>
          </w:p>
        </w:tc>
        <w:tc>
          <w:tcPr>
            <w:tcW w:w="1537" w:type="dxa"/>
            <w:vAlign w:val="center"/>
          </w:tcPr>
          <w:p w14:paraId="2C918A32" w14:textId="77777777" w:rsidR="00475B09" w:rsidRPr="00CE6559" w:rsidRDefault="00475B09" w:rsidP="00D05BBE">
            <w:pPr>
              <w:tabs>
                <w:tab w:val="clear" w:pos="5041"/>
              </w:tabs>
              <w:spacing w:after="0"/>
              <w:rPr>
                <w:sz w:val="18"/>
                <w:szCs w:val="18"/>
              </w:rPr>
            </w:pPr>
          </w:p>
        </w:tc>
        <w:tc>
          <w:tcPr>
            <w:tcW w:w="1496" w:type="dxa"/>
            <w:vAlign w:val="center"/>
          </w:tcPr>
          <w:p w14:paraId="666F6E76" w14:textId="238366EA" w:rsidR="00475B09" w:rsidRPr="00CE6559" w:rsidRDefault="00FA7540" w:rsidP="00D05BBE">
            <w:pPr>
              <w:tabs>
                <w:tab w:val="clear" w:pos="5041"/>
              </w:tabs>
              <w:spacing w:after="0"/>
              <w:rPr>
                <w:sz w:val="18"/>
                <w:szCs w:val="18"/>
              </w:rPr>
            </w:pPr>
            <w:r>
              <w:rPr>
                <w:sz w:val="18"/>
                <w:szCs w:val="18"/>
              </w:rPr>
              <w:t>0</w:t>
            </w:r>
            <w:r w:rsidR="0067501E">
              <w:rPr>
                <w:sz w:val="18"/>
                <w:szCs w:val="18"/>
              </w:rPr>
              <w:t xml:space="preserve"> </w:t>
            </w:r>
            <w:r>
              <w:rPr>
                <w:sz w:val="18"/>
                <w:szCs w:val="18"/>
              </w:rPr>
              <w:t>%</w:t>
            </w:r>
            <w:r w:rsidR="00673069">
              <w:rPr>
                <w:sz w:val="18"/>
                <w:szCs w:val="18"/>
              </w:rPr>
              <w:t xml:space="preserve"> (SE -)</w:t>
            </w:r>
          </w:p>
        </w:tc>
        <w:tc>
          <w:tcPr>
            <w:tcW w:w="1538" w:type="dxa"/>
          </w:tcPr>
          <w:p w14:paraId="5BED9DF3" w14:textId="77777777" w:rsidR="00475B09" w:rsidRPr="00CE6559" w:rsidRDefault="00475B09" w:rsidP="00D05BBE">
            <w:pPr>
              <w:tabs>
                <w:tab w:val="clear" w:pos="5041"/>
              </w:tabs>
              <w:spacing w:after="0"/>
              <w:rPr>
                <w:sz w:val="18"/>
                <w:szCs w:val="18"/>
              </w:rPr>
            </w:pPr>
          </w:p>
        </w:tc>
        <w:tc>
          <w:tcPr>
            <w:tcW w:w="0" w:type="auto"/>
            <w:vAlign w:val="center"/>
          </w:tcPr>
          <w:p w14:paraId="45D1617F" w14:textId="75789940" w:rsidR="00475B09" w:rsidRPr="00CE6559" w:rsidRDefault="00673069" w:rsidP="00D05BBE">
            <w:pPr>
              <w:tabs>
                <w:tab w:val="clear" w:pos="5041"/>
              </w:tabs>
              <w:spacing w:after="0"/>
              <w:rPr>
                <w:sz w:val="18"/>
                <w:szCs w:val="18"/>
              </w:rPr>
            </w:pPr>
            <w:r>
              <w:rPr>
                <w:sz w:val="18"/>
                <w:szCs w:val="18"/>
              </w:rPr>
              <w:t>Låg (</w:t>
            </w:r>
            <w:r w:rsidR="00B922DC">
              <w:rPr>
                <w:sz w:val="18"/>
                <w:szCs w:val="18"/>
              </w:rPr>
              <w:t>3 års data, 4 områden</w:t>
            </w:r>
            <w:r>
              <w:rPr>
                <w:sz w:val="18"/>
                <w:szCs w:val="18"/>
              </w:rPr>
              <w:t>)</w:t>
            </w:r>
          </w:p>
        </w:tc>
      </w:tr>
      <w:tr w:rsidR="00475B09" w14:paraId="30526457" w14:textId="77777777" w:rsidTr="001C5EFB">
        <w:tc>
          <w:tcPr>
            <w:tcW w:w="0" w:type="auto"/>
            <w:gridSpan w:val="6"/>
          </w:tcPr>
          <w:p w14:paraId="774BC1B0" w14:textId="6816CFE9" w:rsidR="00475B09" w:rsidRPr="00CE6559" w:rsidRDefault="00AB4D2C" w:rsidP="00D05BBE">
            <w:pPr>
              <w:tabs>
                <w:tab w:val="clear" w:pos="5041"/>
              </w:tabs>
              <w:spacing w:after="0"/>
              <w:rPr>
                <w:sz w:val="18"/>
                <w:szCs w:val="18"/>
              </w:rPr>
            </w:pPr>
            <w:r>
              <w:rPr>
                <w:sz w:val="18"/>
                <w:szCs w:val="18"/>
              </w:rPr>
              <w:t xml:space="preserve">Notera att observerade värden och bedömningen är preliminära. </w:t>
            </w:r>
          </w:p>
        </w:tc>
      </w:tr>
    </w:tbl>
    <w:p w14:paraId="4A8E1A30" w14:textId="77777777" w:rsidR="00475B09" w:rsidRDefault="00475B09">
      <w:pPr>
        <w:tabs>
          <w:tab w:val="clear" w:pos="5041"/>
        </w:tabs>
        <w:spacing w:after="0"/>
        <w:rPr>
          <w:rFonts w:ascii="Arial" w:eastAsiaTheme="majorEastAsia" w:hAnsi="Arial" w:cstheme="majorBidi"/>
          <w:b/>
          <w:bCs/>
          <w:sz w:val="22"/>
          <w:szCs w:val="22"/>
          <w:lang w:eastAsia="en-US"/>
        </w:rPr>
      </w:pPr>
      <w:r>
        <w:br w:type="page"/>
      </w:r>
    </w:p>
    <w:p w14:paraId="488F7DF3" w14:textId="77777777" w:rsidR="0070387B" w:rsidRDefault="0070387B" w:rsidP="00AF7D4F">
      <w:pPr>
        <w:pStyle w:val="Rubrik3"/>
      </w:pPr>
      <w:r>
        <w:lastRenderedPageBreak/>
        <w:t>Sektion 2. Detaljerad information.</w:t>
      </w:r>
    </w:p>
    <w:p w14:paraId="796E0DA2" w14:textId="42A26985" w:rsidR="0070387B" w:rsidRPr="00A85EC6" w:rsidRDefault="0070387B" w:rsidP="0009349B">
      <w:pPr>
        <w:pStyle w:val="Brdtext"/>
        <w:rPr>
          <w:b/>
        </w:rPr>
      </w:pPr>
      <w:r w:rsidRPr="00A85EC6">
        <w:rPr>
          <w:b/>
        </w:rPr>
        <w:t xml:space="preserve">2.1. </w:t>
      </w:r>
      <w:r w:rsidR="00F0386D" w:rsidRPr="00A85EC6">
        <w:rPr>
          <w:b/>
        </w:rPr>
        <w:t>I</w:t>
      </w:r>
      <w:r w:rsidR="00F87DD4" w:rsidRPr="00A85EC6">
        <w:rPr>
          <w:b/>
        </w:rPr>
        <w:t>ntrodu</w:t>
      </w:r>
      <w:r w:rsidR="00AF7D4F" w:rsidRPr="00A85EC6">
        <w:rPr>
          <w:b/>
        </w:rPr>
        <w:t>k</w:t>
      </w:r>
      <w:r w:rsidR="00F87DD4" w:rsidRPr="00A85EC6">
        <w:rPr>
          <w:b/>
        </w:rPr>
        <w:t>tion</w:t>
      </w:r>
    </w:p>
    <w:p w14:paraId="668F4549" w14:textId="305AC196" w:rsidR="00844086" w:rsidRDefault="00BC5472" w:rsidP="00BC5472">
      <w:pPr>
        <w:pStyle w:val="Brdtext"/>
      </w:pPr>
      <w:r>
        <w:t>Fisken på kusten är viktig både ur ett socioekonomiskt och ekologiskt perspektiv</w:t>
      </w:r>
      <w:r w:rsidR="00AF7D4F">
        <w:t>,</w:t>
      </w:r>
      <w:r w:rsidR="007367A6">
        <w:t xml:space="preserve"> och k</w:t>
      </w:r>
      <w:r>
        <w:t>ustfisksamhället bidrar med ett flertal ekosystemtjänster</w:t>
      </w:r>
      <w:r w:rsidR="00AF7D4F">
        <w:t xml:space="preserve"> (</w:t>
      </w:r>
      <w:r w:rsidR="00AF7D4F">
        <w:fldChar w:fldCharType="begin"/>
      </w:r>
      <w:r w:rsidR="00AF7D4F">
        <w:instrText xml:space="preserve"> ADDIN ZOTERO_ITEM CSL_CITATION {"citationID":"48a4dogm","properties":{"formattedCitation":"{\\rtf (Eriksson et al. 2009, \\uc0\\u214{}stman et al. 2016)}","plainCitation":"(Eriksson et al. 2009, Östman et al. 2016)"},"citationItems":[{"id":2344,"uris":["http://zotero.org/users/local/LOrUhVSw/items/M4PWKV2N"],"uri":["http://zotero.org/users/local/LOrUhVSw/items/M4PWKV2N"],"itemData":{"id":2344,"type":"article-journal","title":"Declines in predatory fish promote bloom-forming macroalgae","container-title":"Ecological Applications","page":"1975-1988","volume":"19","issue":"8","abstract":"In the Baltic Sea, increased dominance of ephemeral and bloom-forming algae is presently attributed to increased nutrient loads. Simultaneously, coastal predatory fish are in strong decline. Using field data from nine areas covering a 700-km coastline, we examined whether formation of macroalgal blooms could be linked to the composition of the fish community. We then tested whether predator or nutrient availability could explain the field patterns in two small-scale field experiments, by comparing joint effects on algal net production from nutrient enrichment with agricultural fertilizer and exclusion of larger predatory fish with cages. We also manipulated the presence of invertebrate grazers. The abundance of piscivorous fish had a strong negative correlation with the large-scale distribution of bloom-forming macroalgae. Areas with depleted top-predator communities displayed massive increases in their prey, small-bodied fish, and high covers of ephemeral algae. Combining the results from the two experiments showed that excluding larger piscivorous fish: (1) increased the abundance of small-bodied predatory fish; (2) changed the size distribution of the dominating grazers, decreasing the smaller gastropod scrapers; and (3) increased the net production of ephemeral macroalgae. Effects of removing top predators and nutrient enrichment were similar and additive, together increasing the abundance of ephemeral algae many times. Predator effects depended on invertebrate grazers; in  the absence of invertebrates there were no significant effects of predator exclusion on algal production. Our results provide strong support for regional declines of larger predatory fish in the Baltic Sea promoting algal production by decreasing invertebrate grazer control. This highlights the importance of trophic interactions for ecosystem responses to eutrophication. The view emerges that to achieve management goals for water quality, we need to consider the interplay between top-down and bottom-up processes in future ecosystem management of marine resources.","DOI":"10.1890/08-0964.1","shortTitle":"Declines in predatory fish promote bloom-forming macroalgae","author":[{"family":"Eriksson","given":"B. K."},{"family":"Ljunggren","given":"L."},{"family":"Sandström","given":"A."},{"family":"Johansson","given":"G."},{"family":"Mattila","given":"J."},{"family":"Rubach","given":"A."},{"family":"Råberg","given":"S."},{"family":"Snickars","given":"M."}],"issued":{"date-parts":[["2009"]]}}},{"id":1757,"uris":["http://zotero.org/users/local/LOrUhVSw/items/AAAA73U9"],"uri":["http://zotero.org/users/local/LOrUhVSw/items/AAAA73U9"],"itemData":{"id":1757,"type":"article-journal","title":"Top-down control as important as nutrient enrichment for eutrophication effects in North Atlantic coastal ecosystems","container-title":"Journal of Applied Ecology","page":"1138-1147","volume":"53","issue":"4","source":"Wiley Online Library","abstract":"* Seagrass and seaweed habitats constitute hotspots for diversity and ecosystem services in coastal ecosystems. These habitats are subject to anthropogenic pressures, of which eutrophication is one major stressor. Eutrophication favours fast-growing ephemeral algae over perennial macroalgae and seagrasses, causing habitat degradation. However, changes in top-down control, caused by, for example, overfishing, may also have negative impacts on such habitats by decreasing grazer control of ephemeral algae. Meanwhile, systematic analyses estimating top-down effects of predator manipulations across a wide range of studies are missing, limiting the potential use of top-down control measures in coastal management.\n\n\n* Here, we review the literature on experiments that test top-down and bottom-up controls in seagrass Zostera marina and seaweed Fucus spp. food webs in the North Atlantic. Using meta-analysis and meta-regression, we compare effect sizes of consumer and nutrient manipulations on primary producers, grazers and mesopredators.\n\n\n* Presence of mesopredators on average doubled the biomass of ephemeral algae through trophic cascades, mainly mediated via negative effects on amphipods and isopods. Of the grazers, gastropods had twice as strong a negative effect on ephemeral algae as amphipods/isopods, but responded weakly to both predators and fertilization. In accordance with theory, top-down effects became stronger with eutrophication.\n\n\n* Across studies, top-down effects on ephemeral algae at all trophic levels are on par with eutrophication effects. However, the few studies manipulating piscivorous fish make estimates of their top-down effects uncertain.\n\n\n* Synthesis and applications. Consistently strong top-down effects in coastal ecosystems call for an integrated ecosystem perspective. Management should consider measures to improve stocks of predatory fish and reduce mesopredators for restoration and conservation of essential seagrass and seaweed habitats, thereby increasing the long-term viability of ecosystem services from coastal habitats.","DOI":"10.1111/1365-2664.12654","ISSN":"1365-2664","journalAbbreviation":"J Appl Ecol","language":"en","author":[{"family":"Östman","given":"Örjan"},{"family":"Eklöf","given":"Johan"},{"family":"Eriksson","given":"Britas Klemens"},{"family":"Olsson","given":"Jens"},{"family":"Moksnes","given":"Per-Olav"},{"family":"Bergström","given":"Ulf"}],"issued":{"date-parts":[["2016",8,1]]}}}],"schema":"https://github.com/citation-style-language/schema/raw/master/csl-citation.json"} </w:instrText>
      </w:r>
      <w:r w:rsidR="00AF7D4F">
        <w:fldChar w:fldCharType="separate"/>
      </w:r>
      <w:r w:rsidR="00AF7D4F" w:rsidRPr="009E1B1D">
        <w:rPr>
          <w:rFonts w:cs="Times New Roman"/>
          <w:szCs w:val="24"/>
        </w:rPr>
        <w:t xml:space="preserve">Eriksson </w:t>
      </w:r>
      <w:r w:rsidR="00EE1A5E">
        <w:rPr>
          <w:rFonts w:cs="Times New Roman"/>
          <w:szCs w:val="24"/>
        </w:rPr>
        <w:t>m fl</w:t>
      </w:r>
      <w:r w:rsidR="00AF7D4F" w:rsidRPr="009E1B1D">
        <w:rPr>
          <w:rFonts w:cs="Times New Roman"/>
          <w:szCs w:val="24"/>
        </w:rPr>
        <w:t xml:space="preserve"> 2009, </w:t>
      </w:r>
      <w:r w:rsidR="00224156">
        <w:rPr>
          <w:rFonts w:cs="Times New Roman"/>
          <w:szCs w:val="24"/>
        </w:rPr>
        <w:t>Bryhn m fl 2015</w:t>
      </w:r>
      <w:r w:rsidR="00AF7D4F">
        <w:rPr>
          <w:rFonts w:cs="Times New Roman"/>
          <w:szCs w:val="24"/>
        </w:rPr>
        <w:t xml:space="preserve">; </w:t>
      </w:r>
      <w:r w:rsidR="00AF7D4F" w:rsidRPr="009E1B1D">
        <w:rPr>
          <w:rFonts w:cs="Times New Roman"/>
          <w:szCs w:val="24"/>
        </w:rPr>
        <w:t xml:space="preserve">Östman </w:t>
      </w:r>
      <w:r w:rsidR="00EE1A5E">
        <w:rPr>
          <w:rFonts w:cs="Times New Roman"/>
          <w:szCs w:val="24"/>
        </w:rPr>
        <w:t>m fl</w:t>
      </w:r>
      <w:r w:rsidR="00AF7D4F" w:rsidRPr="009E1B1D">
        <w:rPr>
          <w:rFonts w:cs="Times New Roman"/>
          <w:szCs w:val="24"/>
        </w:rPr>
        <w:t xml:space="preserve"> 2016)</w:t>
      </w:r>
      <w:r w:rsidR="00AF7D4F">
        <w:fldChar w:fldCharType="end"/>
      </w:r>
      <w:r w:rsidR="007367A6">
        <w:t>.</w:t>
      </w:r>
      <w:r>
        <w:t xml:space="preserve"> </w:t>
      </w:r>
      <w:r w:rsidR="007367A6">
        <w:t>D</w:t>
      </w:r>
      <w:r>
        <w:t xml:space="preserve">els fås mat via både yrkesfisket </w:t>
      </w:r>
      <w:r w:rsidR="00673069">
        <w:t xml:space="preserve">och </w:t>
      </w:r>
      <w:r>
        <w:t xml:space="preserve">fritidsfisket, </w:t>
      </w:r>
      <w:r w:rsidR="0038462B">
        <w:t xml:space="preserve">där det senare genom att utgöra en av de viktigaste fritidssysselsättningarna </w:t>
      </w:r>
      <w:r>
        <w:t>även bidrar med kulturella tjänster</w:t>
      </w:r>
      <w:r w:rsidR="00571F4E">
        <w:t xml:space="preserve"> till </w:t>
      </w:r>
      <w:r w:rsidR="0038462B">
        <w:t>ett stort antal</w:t>
      </w:r>
      <w:r w:rsidR="00571F4E">
        <w:t xml:space="preserve"> människor i Sverige</w:t>
      </w:r>
      <w:r w:rsidR="00673069">
        <w:t xml:space="preserve"> (Gundersen m fl 2017)</w:t>
      </w:r>
      <w:r w:rsidR="007367A6">
        <w:t xml:space="preserve">. Dessutom </w:t>
      </w:r>
      <w:r>
        <w:t>utför fisken i sig indirekta tjänster</w:t>
      </w:r>
      <w:r w:rsidR="007367A6">
        <w:t xml:space="preserve"> i ekosystemen,</w:t>
      </w:r>
      <w:r>
        <w:t xml:space="preserve"> </w:t>
      </w:r>
      <w:r w:rsidR="0038462B">
        <w:t xml:space="preserve">framför allt genom </w:t>
      </w:r>
      <w:r>
        <w:t>rovfiskarnas reglerande roll i födoväven</w:t>
      </w:r>
      <w:r w:rsidR="0038462B">
        <w:t>, med positiva effekter på kusthabitatens kvalitet</w:t>
      </w:r>
      <w:r>
        <w:t xml:space="preserve"> </w:t>
      </w:r>
      <w:r w:rsidR="00907235">
        <w:fldChar w:fldCharType="begin"/>
      </w:r>
      <w:r w:rsidR="009E1B1D">
        <w:instrText xml:space="preserve"> ADDIN ZOTERO_ITEM CSL_CITATION {"citationID":"48a4dogm","properties":{"formattedCitation":"{\\rtf (Eriksson et al. 2009, \\uc0\\u214{}stman et al. 2016)}","plainCitation":"(Eriksson et al. 2009, Östman et al. 2016)"},"citationItems":[{"id":2344,"uris":["http://zotero.org/users/local/LOrUhVSw/items/M4PWKV2N"],"uri":["http://zotero.org/users/local/LOrUhVSw/items/M4PWKV2N"],"itemData":{"id":2344,"type":"article-journal","title":"Declines in predatory fish promote bloom-forming macroalgae","container-title":"Ecological Applications","page":"1975-1988","volume":"19","issue":"8","abstract":"In the Baltic Sea, increased dominance of ephemeral and bloom-forming algae is presently attributed to increased nutrient loads. Simultaneously, coastal predatory fish are in strong decline. Using field data from nine areas covering a 700-km coastline, we examined whether formation of macroalgal blooms could be linked to the composition of the fish community. We then tested whether predator or nutrient availability could explain the field patterns in two small-scale field experiments, by comparing joint effects on algal net production from nutrient enrichment with agricultural fertilizer and exclusion of larger predatory fish with cages. We also manipulated the presence of invertebrate grazers. The abundance of piscivorous fish had a strong negative correlation with the large-scale distribution of bloom-forming macroalgae. Areas with depleted top-predator communities displayed massive increases in their prey, small-bodied fish, and high covers of ephemeral algae. Combining the results from the two experiments showed that excluding larger piscivorous fish: (1) increased the abundance of small-bodied predatory fish; (2) changed the size distribution of the dominating grazers, decreasing the smaller gastropod scrapers; and (3) increased the net production of ephemeral macroalgae. Effects of removing top predators and nutrient enrichment were similar and additive, together increasing the abundance of ephemeral algae many times. Predator effects depended on invertebrate grazers; in  the absence of invertebrates there were no significant effects of predator exclusion on algal production. Our results provide strong support for regional declines of larger predatory fish in the Baltic Sea promoting algal production by decreasing invertebrate grazer control. This highlights the importance of trophic interactions for ecosystem responses to eutrophication. The view emerges that to achieve management goals for water quality, we need to consider the interplay between top-down and bottom-up processes in future ecosystem management of marine resources.","DOI":"10.1890/08-0964.1","shortTitle":"Declines in predatory fish promote bloom-forming macroalgae","author":[{"family":"Eriksson","given":"B. K."},{"family":"Ljunggren","given":"L."},{"family":"Sandström","given":"A."},{"family":"Johansson","given":"G."},{"family":"Mattila","given":"J."},{"family":"Rubach","given":"A."},{"family":"Råberg","given":"S."},{"family":"Snickars","given":"M."}],"issued":{"date-parts":[["2009"]]}}},{"id":1757,"uris":["http://zotero.org/users/local/LOrUhVSw/items/AAAA73U9"],"uri":["http://zotero.org/users/local/LOrUhVSw/items/AAAA73U9"],"itemData":{"id":1757,"type":"article-journal","title":"Top-down control as important as nutrient enrichment for eutrophication effects in North Atlantic coastal ecosystems","container-title":"Journal of Applied Ecology","page":"1138-1147","volume":"53","issue":"4","source":"Wiley Online Library","abstract":"* Seagrass and seaweed habitats constitute hotspots for diversity and ecosystem services in coastal ecosystems. These habitats are subject to anthropogenic pressures, of which eutrophication is one major stressor. Eutrophication favours fast-growing ephemeral algae over perennial macroalgae and seagrasses, causing habitat degradation. However, changes in top-down control, caused by, for example, overfishing, may also have negative impacts on such habitats by decreasing grazer control of ephemeral algae. Meanwhile, systematic analyses estimating top-down effects of predator manipulations across a wide range of studies are missing, limiting the potential use of top-down control measures in coastal management.\n\n\n* Here, we review the literature on experiments that test top-down and bottom-up controls in seagrass Zostera marina and seaweed Fucus spp. food webs in the North Atlantic. Using meta-analysis and meta-regression, we compare effect sizes of consumer and nutrient manipulations on primary producers, grazers and mesopredators.\n\n\n* Presence of mesopredators on average doubled the biomass of ephemeral algae through trophic cascades, mainly mediated via negative effects on amphipods and isopods. Of the grazers, gastropods had twice as strong a negative effect on ephemeral algae as amphipods/isopods, but responded weakly to both predators and fertilization. In accordance with theory, top-down effects became stronger with eutrophication.\n\n\n* Across studies, top-down effects on ephemeral algae at all trophic levels are on par with eutrophication effects. However, the few studies manipulating piscivorous fish make estimates of their top-down effects uncertain.\n\n\n* Synthesis and applications. Consistently strong top-down effects in coastal ecosystems call for an integrated ecosystem perspective. Management should consider measures to improve stocks of predatory fish and reduce mesopredators for restoration and conservation of essential seagrass and seaweed habitats, thereby increasing the long-term viability of ecosystem services from coastal habitats.","DOI":"10.1111/1365-2664.12654","ISSN":"1365-2664","journalAbbreviation":"J Appl Ecol","language":"en","author":[{"family":"Östman","given":"Örjan"},{"family":"Eklöf","given":"Johan"},{"family":"Eriksson","given":"Britas Klemens"},{"family":"Olsson","given":"Jens"},{"family":"Moksnes","given":"Per-Olav"},{"family":"Bergström","given":"Ulf"}],"issued":{"date-parts":[["2016",8,1]]}}}],"schema":"https://github.com/citation-style-language/schema/raw/master/csl-citation.json"} </w:instrText>
      </w:r>
      <w:r w:rsidR="00907235">
        <w:fldChar w:fldCharType="separate"/>
      </w:r>
      <w:r w:rsidR="009E1B1D" w:rsidRPr="009E1B1D">
        <w:rPr>
          <w:rFonts w:cs="Times New Roman"/>
          <w:szCs w:val="24"/>
        </w:rPr>
        <w:t xml:space="preserve">(Eriksson </w:t>
      </w:r>
      <w:r w:rsidR="00EE1A5E">
        <w:rPr>
          <w:rFonts w:cs="Times New Roman"/>
          <w:szCs w:val="24"/>
        </w:rPr>
        <w:t>m fl</w:t>
      </w:r>
      <w:r w:rsidR="009E1B1D" w:rsidRPr="009E1B1D">
        <w:rPr>
          <w:rFonts w:cs="Times New Roman"/>
          <w:szCs w:val="24"/>
        </w:rPr>
        <w:t xml:space="preserve"> 2009, Östman </w:t>
      </w:r>
      <w:r w:rsidR="00EE1A5E">
        <w:rPr>
          <w:rFonts w:cs="Times New Roman"/>
          <w:szCs w:val="24"/>
        </w:rPr>
        <w:t>m fl</w:t>
      </w:r>
      <w:r w:rsidR="009E1B1D" w:rsidRPr="009E1B1D">
        <w:rPr>
          <w:rFonts w:cs="Times New Roman"/>
          <w:szCs w:val="24"/>
        </w:rPr>
        <w:t xml:space="preserve"> 2016)</w:t>
      </w:r>
      <w:r w:rsidR="00907235">
        <w:fldChar w:fldCharType="end"/>
      </w:r>
      <w:r w:rsidR="007367A6">
        <w:t xml:space="preserve">. </w:t>
      </w:r>
    </w:p>
    <w:p w14:paraId="0E72CA07" w14:textId="4F9AEB61" w:rsidR="007367A6" w:rsidRDefault="007367A6" w:rsidP="00BC5472">
      <w:pPr>
        <w:pStyle w:val="Brdtext"/>
      </w:pPr>
      <w:r>
        <w:t xml:space="preserve">Flertalet arter i kustfisksamhället </w:t>
      </w:r>
      <w:r w:rsidR="00587E60">
        <w:t xml:space="preserve">i Östersjön </w:t>
      </w:r>
      <w:r>
        <w:t xml:space="preserve">är beroende av varma, vågskyddade och vegetationsklädda </w:t>
      </w:r>
      <w:r w:rsidR="00EE1A5E">
        <w:t xml:space="preserve">vikar </w:t>
      </w:r>
      <w:r>
        <w:t>som kan bidra med både skydd och föda</w:t>
      </w:r>
      <w:r w:rsidR="00BE231E">
        <w:t xml:space="preserve"> under det första levnadsåret</w:t>
      </w:r>
      <w:r>
        <w:t xml:space="preserve"> </w:t>
      </w:r>
      <w:r>
        <w:fldChar w:fldCharType="begin"/>
      </w:r>
      <w:r>
        <w:instrText xml:space="preserve"> ADDIN ZOTERO_ITEM CSL_CITATION {"citationID":"X8U9L2LF","properties":{"formattedCitation":"(Snickars et al. 2009, Sundblad et al. 2011)","plainCitation":"(Snickars et al. 2009, Sundblad et al. 2011)"},"citationItems":[{"id":2733,"uris":["http://zotero.org/users/local/LOrUhVSw/items/XZKK2G3E"],"uri":["http://zotero.org/users/local/LOrUhVSw/items/XZKK2G3E"],"itemData":{"id":2733,"type":"article-journal","title":"Fish assemblages in coastal lagoons in land-uplift succession: The relative importance of local and regional environmental gradients","container-title":"Estuarine, Coastal and Shelf Science","page":"247-256","volume":"81","issue":"2","abstract":"The assemblages of young-of-the-year fish were studied in coastal lagoons in an archipelago with post-glacial land-uplift, which affects environmental gradients at local and regional scale, i.e. lagoon habitat isolation and archipelago position, respectively. The categorisation of 40 undisturbed lagoons into nine habitat types based on habitat isolation and archipelago position was supported by clear relationships with spring temperature and total fish abundance. Rutilus rutilus, breams (Abramis/Blicca sp.) and Perca fluviatilis were the most abundant and frequently occurring species. The fish assemblage differed among the nine habitat types. Rutilus rutilus, P. fluviatilis and breams were discriminating species in the majority of habitat types with low physical harshness, whereas Alburnus alburnus and Gasterosteus aculeatus increased their contributions in habitat types with high physical harshness. Rutilus rutilus and breams were thus common in lagoons with high habitat isolation situated in the inner archipelago. These lagoons were characterised by warm water and high vegetation coverage. Gasterosteus aculeatus was restricted to lagoons with low habitat isolation and exposure and low vegetation coverage, situated in the outer archipelago. Perca fluviatilis had the widest distribution of all species. The coverage of two macrophytes, Potamogeton perfoliatus and Zannichellia palustris, and salinity matched best the distance among habitat types. These habitat characteristics, as well as the fish abundances and assemblages differed most across the habitat types in the outer and mid archipelago zones and in the lowest habitat isolation. These patterns suggest that the structuring effect of habitat isolation increases along the archipelago gradient as differences between local and regional conditions increase. In the inner archipelago, overall low physical harshness induces homogeneous conditions and the habitat isolation is less important here than in the other zones. We suggest that this difference in the relative importance of the two gradients depending on the level of respective gradient ultimately forms these heterogeneous coastal habitats in a successional landscape. Rutilus rutilus and P. fluviatilis were responsible for large parts of the assemblage patterns. Although sympatric due to similar habitat requirements, differences in dispersal capability, competitive ability and predation vulnerability may add explanation to detected differences in distribution and abundance in these two species in an open system. Our results also stress the structuring role of vegetation in terms of total coverage and species composition, as these two aspects of macrophyte diversity may act as complementary habitat modifiers across gradients of physical harshness.","shortTitle":"Fish assemblages in coastal lagoons in land-uplift succession: The relative importance of local and regional environmental gradients","author":[{"family":"Snickars","given":"M."},{"family":"Sandström","given":"A."},{"family":"Lappalainen","given":"A."},{"family":"Mattila","given":"J."},{"family":"Rosqvist","given":"K."},{"family":"Urho","given":"L."}],"issued":{"date-parts":[["2009"]]}}},{"id":3131,"uris":["http://zotero.org/users/local/LOrUhVSw/items/JGVWUZAV"],"uri":["http://zotero.org/users/local/LOrUhVSw/items/JGVWUZAV"],"itemData":{"id":3131,"type":"article-journal","title":"Ecological coherence of marine protected area networks: a spatial assessment using species distribution models","container-title":"Journal of Applied Ecology","page":"112-120","volume":"48","issue":"1","abstract":"1. The juvenile stages of fish are often dependent on specific habitat types for their survival. Protecting\nthese habitats may be crucial for maintaining strong adult stocks. The Natura 2000 network of\nthe European Union offers protection of marine habitats that are essential for the recruitment of\nmany fish species. By protecting these critical habitats the network may be important for maintaining\nthe stocks of these fish species.\n2. We present a spatially explicit, GIS-based, assessment of two important components of the ecological\ncoherence of Marine Protected Area (MPA) networks: representativity and connectivity.\nRepresentativity can be measured as the proportion of each conservation feature that is protected,\nwhereas connectivity assesses the spatial configuration of the network. We apply these analyses to\nstudy the ecological coherence of the Natura 2000 network in a 30 000-km2 archipelago in the Baltic\nSea, with respect to a coastal fish assemblage and associated habitats. The analyses are based on fish\ndistribution maps that have been constructed by statistically relating life stage specific occurrence to\nenvironmental variables, and thereafter making spatial predictions based on maps of the environmental\nvariables.\n3. The map-based analyses show that both the representativity and the connectivity of the network\nare poor with respect to the studied fish species. In total, 3.5% (11 km2) of the assemblage recruitment\nhabitat was protected and 48% of the potentially connected habitats were included in the\nMPAnetwork.\n4. The assessment explicitly identified geographical areas, visually communicated using maps,\nwhere the network should be improved to ensure ecological coherence.\n5. Synthesis and applications. Many MPA networks around the world, such as the Natura\n2000 network in Europe, have recently come into effect. Establishment of the networks has\noften been governed by opportunity rather than by strict ecological analyses, primarily\nbecause distribution maps of species and habitats have been unavailable. Map-based assessments\nof the strengths and weaknesses of evolving MPA networks, such as the one presented\nhere, are needed in adaptive management. They can provide an efficient tool for visualising\nand communicating the results to stakeholders and policy makers in the process of working\ntowards ecological coherence.","DOI":"10.1111/j.1365-2664.2010.01892.x","shortTitle":"Ecological coherence of marine protected area networks: a spatial assessment using species distribution models","author":[{"family":"Sundblad","given":"G."},{"family":"Bergström","given":"U."},{"family":"Sandström","given":"A."}],"issued":{"date-parts":[["2011"]]}}}],"schema":"https://github.com/citation-style-language/schema/raw/master/csl-citation.json"} </w:instrText>
      </w:r>
      <w:r>
        <w:fldChar w:fldCharType="separate"/>
      </w:r>
      <w:r w:rsidRPr="007367A6">
        <w:t xml:space="preserve">(Snickars </w:t>
      </w:r>
      <w:r w:rsidR="00EE1A5E">
        <w:t>m fl</w:t>
      </w:r>
      <w:r w:rsidRPr="007367A6">
        <w:t xml:space="preserve"> 2009, Sundblad </w:t>
      </w:r>
      <w:r w:rsidR="00EE1A5E">
        <w:t>m fl</w:t>
      </w:r>
      <w:r w:rsidRPr="007367A6">
        <w:t xml:space="preserve"> 2011)</w:t>
      </w:r>
      <w:r>
        <w:fldChar w:fldCharType="end"/>
      </w:r>
      <w:r>
        <w:t xml:space="preserve">. Denna typ av områden kan dock återfinnas i begränsad mängd i skärgårdarna och storleken på de vuxna bestånden </w:t>
      </w:r>
      <w:r w:rsidR="00571F4E">
        <w:t>verkar då kunna</w:t>
      </w:r>
      <w:r>
        <w:t xml:space="preserve"> begränsas av tillgången till lämpliga rekryteringsmiljöer </w:t>
      </w:r>
      <w:r>
        <w:fldChar w:fldCharType="begin"/>
      </w:r>
      <w:r>
        <w:instrText xml:space="preserve"> ADDIN ZOTERO_ITEM CSL_CITATION {"citationID":"aigev4a4r5","properties":{"formattedCitation":"(Sundblad et al. 2014)","plainCitation":"(Sundblad et al. 2014)"},"citationItems":[{"id":3087,"uris":["http://zotero.org/users/local/LOrUhVSw/items/67PI5P4J"],"uri":["http://zotero.org/users/local/LOrUhVSw/items/67PI5P4J"],"itemData":{"id":3087,"type":"article-journal","title":"Nursery habitat availability limits adult stock sizes of predatory coastal fish","container-title":"ICES Journal of Marine Science","page":"672-680","volume":"71","issue":"3","abstract":"Habitat protection is a strategy often proposed in fisheries management to help maintain viable populations of exploited species. Yet, quantifying the importance of habitat availability for population sizes is difficult, as the precise distribution of essential habitats is poorly known. To quantify the contribution from coastal nursery habitats to exploited fish population sizes, we related adult density to the amount of nursery habitat available for 12 populations of the two dominant predatory fish species in a 40 000-km2 archipelago area of the Baltic Sea. Habitat distribution was mapped using three conceptually different techniques, Maxent, generalized additive models, and random forest, using spawning and 0-group point samples. Adult densities were estimated from gillnet surveys. Regressions demonstrated no evident effect from fishing, whereas habitat availability had a positive effect, explaining almost half of the variation in population sizes of both species. This result shows that a substantial proportion of the potential production of adult fish can be estimated by mapping essential nursery habitats distribution. Responses were non-linear, indicating that habitat protection has largest effects where there is little available habitat. By demonstrating the importance of habitat limitation of two exploited fish species, we provide quantitative support to the benefits of habitat protection for fisheries.","DOI":"10.1093/icesjms/fst056","shortTitle":"Nursery habitat availability limits adult stock sizes of predatory coastal fish","author":[{"family":"Sundblad","given":"Göran"},{"family":"Bergström","given":"Ulf"},{"family":"Sandström","given":"Alfred"},{"family":"Eklöv","given":"Peter"}],"issued":{"date-parts":[["2014",4,1]]}}}],"schema":"https://github.com/citation-style-language/schema/raw/master/csl-citation.json"} </w:instrText>
      </w:r>
      <w:r>
        <w:fldChar w:fldCharType="separate"/>
      </w:r>
      <w:r w:rsidRPr="007367A6">
        <w:t xml:space="preserve">(Sundblad </w:t>
      </w:r>
      <w:r w:rsidR="00EE1A5E">
        <w:t>m fl</w:t>
      </w:r>
      <w:r w:rsidRPr="007367A6">
        <w:t xml:space="preserve"> 2014)</w:t>
      </w:r>
      <w:r>
        <w:fldChar w:fldCharType="end"/>
      </w:r>
      <w:r>
        <w:t xml:space="preserve">. </w:t>
      </w:r>
    </w:p>
    <w:p w14:paraId="5A220554" w14:textId="5B36B438" w:rsidR="00D6238A" w:rsidRDefault="007367A6" w:rsidP="007367A6">
      <w:pPr>
        <w:pStyle w:val="Brdtext"/>
      </w:pPr>
      <w:r>
        <w:t xml:space="preserve">Samtidigt utsätts dessa miljöer för </w:t>
      </w:r>
      <w:r w:rsidR="00D267FA">
        <w:t xml:space="preserve">olika typer av </w:t>
      </w:r>
      <w:r w:rsidR="007F28D5">
        <w:t>påverkan</w:t>
      </w:r>
      <w:r w:rsidR="00EE1A5E">
        <w:t xml:space="preserve"> (Kraufvelin m fl 2016)</w:t>
      </w:r>
      <w:r>
        <w:t>. Strandexploatering och båttrafik har ökat sedan 1960-talet</w:t>
      </w:r>
      <w:r w:rsidR="005D062B">
        <w:t>,</w:t>
      </w:r>
      <w:r>
        <w:t xml:space="preserve"> och undersökningar har</w:t>
      </w:r>
      <w:r w:rsidR="00102D8E">
        <w:t xml:space="preserve"> visat att uppemot 40 % av livsmiljöerna </w:t>
      </w:r>
      <w:r w:rsidR="005D062B">
        <w:t xml:space="preserve">kan vara </w:t>
      </w:r>
      <w:r w:rsidR="00102D8E">
        <w:t>exploaterade till en viss grad</w:t>
      </w:r>
      <w:r w:rsidR="005D062B">
        <w:t xml:space="preserve"> </w:t>
      </w:r>
      <w:r w:rsidR="00812505">
        <w:t>i delar av Stockholms skärgå</w:t>
      </w:r>
      <w:r w:rsidR="00224156">
        <w:t>r</w:t>
      </w:r>
      <w:r w:rsidR="00812505">
        <w:t>d</w:t>
      </w:r>
      <w:r w:rsidR="00102D8E">
        <w:t xml:space="preserve">, och att </w:t>
      </w:r>
      <w:r w:rsidR="00812505">
        <w:t xml:space="preserve">exploateringstakten här </w:t>
      </w:r>
      <w:r w:rsidR="00102D8E">
        <w:t xml:space="preserve">kan vara upp till 1 % per år </w:t>
      </w:r>
      <w:r w:rsidR="00102D8E">
        <w:fldChar w:fldCharType="begin"/>
      </w:r>
      <w:r w:rsidR="00102D8E">
        <w:instrText xml:space="preserve"> ADDIN ZOTERO_ITEM CSL_CITATION {"citationID":"a36tmhsjb4","properties":{"formattedCitation":"{\\rtf (Sundblad and Bergstr\\uc0\\u246{}m 2014)}","plainCitation":"(Sundblad and Bergström 2014)"},"citationItems":[{"id":3274,"uris":["http://zotero.org/users/local/LOrUhVSw/items/AA6M5KPP"],"uri":["http://zotero.org/users/local/LOrUhVSw/items/AA6M5KPP"],"itemData":{"id":3274,"type":"article-journal","title":"Shoreline development and degradation of coastal fish reproduction habitats","container-title":"Ambio","page":"1020-1028","volume":"43","abstract":"Coastal development has severely affected habitats and biodiversity during the last century, but quantitative estimates of the impacts are usually lacking. We utilize predictive habitat modeling and mapping of human pressures to estimate the cumulative long-term effects of coastal development in relation to fish habitats. Based on aerial photographs since the 1960s, shoreline development rates were estimated in the Stockholm archipelago in the Baltic Sea. By combining shoreline development rates with spatial predictions of fish reproduction habitats, we estimated annual habitat degradation rates for three of the most common coastal fish species, northern pike (Esox lucius), Eurasian perch (Perca fluviatilis) and roach (Rutilus rutilus). The results showed that shoreline constructions were concentrated to the reproduction habitats of these species. The estimated degradation rates, where a degraded habitat was defined as having ≥3 constructions per 100 m shoreline, were on average 0.5 % of available habitats per year and about 1 % in areas close to larger population centers. Approximately 40 % of available habitats were already degraded in 2005. These results provide an example of how many small construction projects over time may have a vast impact on coastal fish populations.","DOI":"10.1007/s13280-014-0522-y","ISSN":"0044-7447","shortTitle":"Shoreline development and degradation of coastal fish reproduction habitats","author":[{"family":"Sundblad","given":"Göran"},{"family":"Bergström","given":"Ulf"}],"issued":{"date-parts":[["2014"]]}}}],"schema":"https://github.com/citation-style-language/schema/raw/master/csl-citation.json"} </w:instrText>
      </w:r>
      <w:r w:rsidR="00102D8E">
        <w:fldChar w:fldCharType="separate"/>
      </w:r>
      <w:r w:rsidR="00102D8E" w:rsidRPr="00102D8E">
        <w:rPr>
          <w:rFonts w:cs="Times New Roman"/>
          <w:szCs w:val="24"/>
        </w:rPr>
        <w:t xml:space="preserve">(Sundblad </w:t>
      </w:r>
      <w:r w:rsidR="00694611">
        <w:rPr>
          <w:rFonts w:cs="Times New Roman"/>
          <w:szCs w:val="24"/>
        </w:rPr>
        <w:t>och</w:t>
      </w:r>
      <w:r w:rsidR="00102D8E" w:rsidRPr="00102D8E">
        <w:rPr>
          <w:rFonts w:cs="Times New Roman"/>
          <w:szCs w:val="24"/>
        </w:rPr>
        <w:t xml:space="preserve"> Bergström 2014)</w:t>
      </w:r>
      <w:r w:rsidR="00102D8E">
        <w:fldChar w:fldCharType="end"/>
      </w:r>
      <w:r w:rsidR="00102D8E">
        <w:t xml:space="preserve">. </w:t>
      </w:r>
      <w:r w:rsidR="00690DCD">
        <w:t xml:space="preserve">Vikar i anslutning till farleder och vikar som nyttjas som marinor har </w:t>
      </w:r>
      <w:r w:rsidR="00812505">
        <w:t xml:space="preserve">även </w:t>
      </w:r>
      <w:r w:rsidR="00690DCD">
        <w:t xml:space="preserve">en annan vegetationssammansättning och mindre av de fiskar som är beroende av vegetationen under något av sina tidiga livsstadier än jämförbara referensvikar </w:t>
      </w:r>
      <w:r w:rsidR="00690DCD">
        <w:fldChar w:fldCharType="begin"/>
      </w:r>
      <w:r w:rsidR="00690DCD">
        <w:instrText xml:space="preserve"> ADDIN ZOTERO_ITEM CSL_CITATION {"citationID":"a1bn1f7ods0","properties":{"formattedCitation":"{\\rtf (Eriksson et al. 2004, Sandstr\\uc0\\u246{}m et al. 2005)}","plainCitation":"(Eriksson et al. 2004, Sandström et al. 2005)"},"citationItems":[{"id":2437,"uris":["http://zotero.org/users/local/LOrUhVSw/items/EQEN4EUV"],"uri":["http://zotero.org/users/local/LOrUhVSw/items/EQEN4EUV"],"itemData":{"id":2437,"type":"article-journal","title":"Effects of boating activities on aquatic vegetation in the Stockholm archipelago, Baltic Sea","container-title":"Estuarine, Coastal and Shelf Science","page":"339-349","volume":"61","abstract":"The aquatic vegetation in 44 similar shallow and sheltered inlets exposed to different kinds of disturbances by boating was\nstudied in a rocky archipelago in the Baltic Sea. The results indicate that both recreational boating activities and traffic by medium\nsized ferryboats may cause significant changes in community composition and have significant negative effects on species richness\nand the development of the macrophytic vegetation at greater depth. Changes in inlet morphology by dredging and increases in\nresuspension and turbidity by wave-action from boats were most probably the major factors contributing to the demonstrated\ndifferences in the vegetation between inlets. In inlets used as harbours for private boats (marinas) or adjacent to ferryboat routes,\nvegetation cover and species richness declined significantly more with depth than in reference inlets not exposed to disturbance by\nboating activities. In marinas, turbidity was significantly higher than in reference inlets. Accordingly, a canonical correspondence\nanalysis showed that the abundance of species sensitive to poor light conditions, such as Chara spp. and Ruppia spp. were negatively\ncorrelated with marinas while Myriophyllum spicatum and Ceratophyllum demersum that are common in nutrient rich turbid habitats\nwere positively correlated with marinas. Mechanical disturbance by propellers may also have contributed to the results, disfavouring\nPotamogeton pectinatus compared to similar caulescent species in marinas. Chara tomentosa and Najas marina that are exposure\nsensitive mud thriving species were negatively correlated with inlets adjacent to ferryboat routes, while the macroalga Fucus\nvesiculosus that is dependent on clean substrate for successful recruitment was positively correlated with inlets adjacent to ferryboat\nroutes. It is important to explore further the effects of boating activities in these habitat types, since the studied inlets sustain a high\ndiversity of both plants and invertebrates and provide highly significant recruitment areas for coastal fish in the Baltic Sea.","shortTitle":"Effects of boating activities on aquatic vegetation in the Stockholm archipelago, Baltic Sea","author":[{"family":"Eriksson","given":"B. K."},{"family":"Sandström","given":"A."},{"family":"Isæus","given":"M."},{"family":"Schreiber","given":"H."},{"family":"Karås","given":"P."}],"issued":{"date-parts":[["2004"]]}}},{"id":340,"uris":["http://zotero.org/users/local/LOrUhVSw/items/T462RSQ5"],"uri":["http://zotero.org/users/local/LOrUhVSw/items/T462RSQ5"],"itemData":{"id":340,"type":"article-journal","title":"Boating and navigation activities influence the recruitment of fish in a Baltic Sea archipelago area","container-title":"Ambio","page":"125-130","volume":"34","issue":"2","abstract":"We studied the effects of boating and navigation activities on the recruitment of coastal fish in the Stockholm archipelago in the NW Baltic proper. The impacts were quantified by sampling metamorphosed young-of-the-year (Y-O-Y)  fish in inlets adjacent to i) routes for medium-sized passenger ferries; ii) berths (small marinas) with small boats; and iii) references. Species with high preference for vegetation were negatively influenced by boating and navigation activities and species with low preference positively influenced. Pike (Esox lucius) Y-O-Y were  significantly more abundant in reference areas, while bleak (Alburnus alburnus) were more abundant in dredged marinas. No statistically significant patterns were identified for perch (Perca fluviatilis) although there was a trend of low abundance along ferry routes. Many species of nearshore fishes are dependent on submerged vegetation as spawning and larval substrate, structural refuge and feeding habitat. Our results suggest that the negative effects from boating and navigation activities on the coverage and height of vegetation, especially on species of Chara and Potamogeton spp., may contribute to changes in the Y-O-Y fish community.","shortTitle":"Boating and navigation activities influence the recruitment of fish in a Baltic Sea archipelago area","author":[{"family":"Sandström","given":"A."},{"family":"Eriksson","given":"B. K."},{"family":"Karås","given":"P."},{"family":"Isæus","given":"M."},{"family":"Schreiber","given":"H."}],"issued":{"date-parts":[["2005"]]}}}],"schema":"https://github.com/citation-style-language/schema/raw/master/csl-citation.json"} </w:instrText>
      </w:r>
      <w:r w:rsidR="00690DCD">
        <w:fldChar w:fldCharType="separate"/>
      </w:r>
      <w:r w:rsidR="00690DCD" w:rsidRPr="00690DCD">
        <w:rPr>
          <w:rFonts w:cs="Times New Roman"/>
          <w:szCs w:val="24"/>
        </w:rPr>
        <w:t xml:space="preserve">(Eriksson </w:t>
      </w:r>
      <w:r w:rsidR="00EE1A5E">
        <w:rPr>
          <w:rFonts w:cs="Times New Roman"/>
          <w:szCs w:val="24"/>
        </w:rPr>
        <w:t>m fl</w:t>
      </w:r>
      <w:r w:rsidR="00690DCD" w:rsidRPr="00690DCD">
        <w:rPr>
          <w:rFonts w:cs="Times New Roman"/>
          <w:szCs w:val="24"/>
        </w:rPr>
        <w:t xml:space="preserve"> 2004, Sandström </w:t>
      </w:r>
      <w:r w:rsidR="00EE1A5E">
        <w:rPr>
          <w:rFonts w:cs="Times New Roman"/>
          <w:szCs w:val="24"/>
        </w:rPr>
        <w:t>m fl</w:t>
      </w:r>
      <w:r w:rsidR="00690DCD" w:rsidRPr="00690DCD">
        <w:rPr>
          <w:rFonts w:cs="Times New Roman"/>
          <w:szCs w:val="24"/>
        </w:rPr>
        <w:t xml:space="preserve"> 2005)</w:t>
      </w:r>
      <w:r w:rsidR="00690DCD">
        <w:fldChar w:fldCharType="end"/>
      </w:r>
      <w:r w:rsidR="00690DCD">
        <w:t xml:space="preserve">. </w:t>
      </w:r>
      <w:r w:rsidR="00102D8E">
        <w:t>Mer storskaliga förändringar som övergödning och klimateffekter kan också ha en påverkan</w:t>
      </w:r>
      <w:r w:rsidR="00224156">
        <w:t xml:space="preserve"> på</w:t>
      </w:r>
      <w:r w:rsidR="00812505">
        <w:t xml:space="preserve"> livsmiljöerna</w:t>
      </w:r>
      <w:r w:rsidR="00102D8E">
        <w:t xml:space="preserve">. </w:t>
      </w:r>
      <w:r w:rsidR="00113AD4">
        <w:t>Framför allt n</w:t>
      </w:r>
      <w:r w:rsidR="00D6238A">
        <w:t xml:space="preserve">äringsstatus är kopplad till förändringar i Östersjöns kustnära ekosystem </w:t>
      </w:r>
      <w:r w:rsidR="00D6238A">
        <w:fldChar w:fldCharType="begin"/>
      </w:r>
      <w:r w:rsidR="00D6238A">
        <w:instrText xml:space="preserve"> ADDIN ZOTERO_ITEM CSL_CITATION {"citationID":"a2cf3kk5uhe","properties":{"formattedCitation":"(Olsson et al. 2015)","plainCitation":"(Olsson et al. 2015)"},"citationItems":[{"id":1975,"uris":["http://zotero.org/users/local/LOrUhVSw/items/UKSJ23IJ"],"uri":["http://zotero.org/users/local/LOrUhVSw/items/UKSJ23IJ"],"itemData":{"id":1975,"type":"article-journal","title":"Temporal development of coastal ecosystems in the Baltic Sea over the past two decades","container-title":"ICES Journal of Marine Science: Journal du Conseil","abstract":"Coastal areas are among the most biologically productive aquatic systems worldwide, but face strong and variable anthropogenic pressures. Few studies have, however, addressed the temporal development of coastal ecosystems in an integrated context. This study represents an assessment of the development over time in 13 coastal ecosystems in the Baltic Sea region during the past two decades. The study covers between two to six trophic levels per system and time-series dating back to the early 1990s. We applied multivariate analyses to assess the temporal development of biological ecosystem components and relate these to potential driving variables associated with changes in climate, hydrology, nutrient status, and fishing pressure. Our results show that structural change often occurred with similar timing in the assessed coastal systems. Moreover, in 10 of the 13 systems, a directional development of the ecosystem components was observed. The variables representing key ecosystem components generally differed across systems, due to natural differences and limitation to available data. As a result of this, the correlation between the temporal development of the biological components in each area and the driving variables assessed was to some extent area-specific. However, change in nutrient status was a common denominator of the variables most often associated with changes in the assessed systems. Our results, additionally, indicate existing strengths as well as future challenges in the capacity of currently available monitoring data to support integrated assessments and the implementation of an integrated ecosystem-based approach to the management of the Baltic Sea coastal ecosystems.","URL":"http://icesjms.oxfordjournals.org/content/early/2015/08/11/icesjms.fsv143.abstract","DOI":"10.1093/icesjms/fsv143","shortTitle":"Temporal development of coastal ecosystems in the Baltic Sea over the past two decades","author":[{"family":"Olsson","given":"Jens"},{"family":"Tomczak","given":"Maciej T."},{"family":"Ojaveer","given":"Henn"},{"family":"Gårdmark","given":"Anna"},{"family":"Põllumäe","given":"Arno"},{"family":"Müller-Karulis","given":"Bärbel"},{"family":"Ustups","given":"Didzis"},{"family":"Dinesen","given":"Grete E."},{"family":"Peltonen","given":"Heikki"},{"family":"Putnis","given":"Ivars"},{"family":"Szymanek","given":"Lena"},{"family":"Simm","given":"Mart"},{"family":"Heikinheimo","given":"Outi"},{"family":"Gasyukov","given":"Pavel"},{"family":"Axe","given":"Philip"},{"family":"Bergström","given":"Lena"}],"issued":{"date-parts":[["2015",8,12]]}}}],"schema":"https://github.com/citation-style-language/schema/raw/master/csl-citation.json"} </w:instrText>
      </w:r>
      <w:r w:rsidR="00D6238A">
        <w:fldChar w:fldCharType="separate"/>
      </w:r>
      <w:r w:rsidR="00D6238A" w:rsidRPr="00D6238A">
        <w:t xml:space="preserve">(Olsson </w:t>
      </w:r>
      <w:r w:rsidR="00EE1A5E">
        <w:t>m fl</w:t>
      </w:r>
      <w:r w:rsidR="00D6238A" w:rsidRPr="00D6238A">
        <w:t xml:space="preserve"> 2015)</w:t>
      </w:r>
      <w:r w:rsidR="00D6238A">
        <w:fldChar w:fldCharType="end"/>
      </w:r>
      <w:r w:rsidR="00D6238A">
        <w:t>, och f</w:t>
      </w:r>
      <w:r w:rsidR="00102D8E">
        <w:t xml:space="preserve">örändringar i siktdjup, den primära indikatorn för övergödning i Östersjöns aktionsplan, förväntas </w:t>
      </w:r>
      <w:r w:rsidR="00D6238A">
        <w:t xml:space="preserve">gynna vissa arter och missgynna andra genom sin påverkan på utbredningen av rekryteringsmiljöer </w:t>
      </w:r>
      <w:r w:rsidR="00102D8E">
        <w:fldChar w:fldCharType="begin"/>
      </w:r>
      <w:r w:rsidR="00102D8E">
        <w:instrText xml:space="preserve"> ADDIN ZOTERO_ITEM CSL_CITATION {"citationID":"arr8vr1dr3","properties":{"formattedCitation":"{\\rtf (Bergstr\\uc0\\u246{}m et al. 2013)}","plainCitation":"(Bergström et al. 2013)"},"citationItems":[{"id":786,"uris":["http://zotero.org/users/local/LOrUhVSw/items/FVP4NJPN"],"uri":["http://zotero.org/users/local/LOrUhVSw/items/FVP4NJPN"],"itemData":{"id":786,"type":"article-journal","title":"Evaluating eutrophication management scenarios in the Baltic Sea using species distribution modelling","container-title":"Journal of Applied Ecology","page":"680-690","volume":"50","issue":"3","source":"Wiley Online Library","abstract":"*\nEutrophication is severely affecting species distributions and ecosystem functioning in coastal areas. Targets for eutrophication reduction have been set in the Baltic Sea Action Plan (BSAP) using Secchi depth, a measure of water transparency, as the main status indicator. Despite the high economic costs involved, the potential effects of this political decision on key species and habitats have not been assessed.\n\n\n\n*\nIn a case study including species central to coastal ecosystem functioning, we modelled the effects of changing Secchi depth on the distribution of bladderwrack Fucus vesiculosus and eelgrass Zostera marina vegetation as well as recruitment areas of the main predatory fish species, perch Perca fluviatilis and pikeperch Sander lucioperca. Specifically, we explored the effects of changing Secchi depth on species distributions under a set of scenarios based on the BSAP, using three fundamentally different modelling techniques: maximum entropy, generalized additive and random forest modelling.\n\n\n\n*\nImproved Secchi depth (reduced eutrophication) was predicted to cause a substantial increase in the distribution of bladderwrack, while the distribution of eelgrass remained largely unaffected. For the fish, a large increase in perch recruitment areas was predicted and a concurrent decrease in recruitment areas of pikeperch. These changes are likely to have effects on biodiversity and ecosystem services.\n\n\n\n*\nThe three modelling methods exposed differences in the quantitative predictions for species with a weaker coupling to Secchi depth. Qualitatively, however, the results were consistent for all species.\n\n\n\n*\nSynthesis and applications. We show how ecological effects of environmental policies can be evaluated in an explicit spatial context using species distribution modelling. The model-specific responses to changes in eutrophication status emphasize the importance of using ensemble modelling for exploring how species distributions may respond to alternative management regimes. A pronounced difference in response between species suggests that eutrophication mitigation will have consequences for ecosystem functioning, and thus ecosystem goods and services, by inducing changes in the simple food webs of the Baltic Sea. These model predictions form a basis for spatially explicit cost-benefit estimates under different scenarios, providing valuable information for both decision-makers and the wider society.","DOI":"10.1111/1365-2664.12083","ISSN":"1365-2664","journalAbbreviation":"J Appl Ecol","language":"en","author":[{"family":"Bergström","given":"Ulf"},{"family":"Sundblad","given":"Göran"},{"family":"Downie","given":"Anna-Leena"},{"family":"Snickars","given":"Martin"},{"family":"Boström","given":"Christoffer"},{"family":"Lindegarth","given":"Mats"}],"issued":{"date-parts":[["2013",6,1]]}}}],"schema":"https://github.com/citation-style-language/schema/raw/master/csl-citation.json"} </w:instrText>
      </w:r>
      <w:r w:rsidR="00102D8E">
        <w:fldChar w:fldCharType="separate"/>
      </w:r>
      <w:r w:rsidR="00102D8E" w:rsidRPr="00102D8E">
        <w:rPr>
          <w:rFonts w:cs="Times New Roman"/>
          <w:szCs w:val="24"/>
        </w:rPr>
        <w:t xml:space="preserve">(Bergström </w:t>
      </w:r>
      <w:r w:rsidR="00EE1A5E">
        <w:rPr>
          <w:rFonts w:cs="Times New Roman"/>
          <w:szCs w:val="24"/>
        </w:rPr>
        <w:t>m fl</w:t>
      </w:r>
      <w:r w:rsidR="00102D8E" w:rsidRPr="00102D8E">
        <w:rPr>
          <w:rFonts w:cs="Times New Roman"/>
          <w:szCs w:val="24"/>
        </w:rPr>
        <w:t xml:space="preserve"> 2013)</w:t>
      </w:r>
      <w:r w:rsidR="00102D8E">
        <w:fldChar w:fldCharType="end"/>
      </w:r>
      <w:r w:rsidR="00102D8E">
        <w:t xml:space="preserve">. </w:t>
      </w:r>
      <w:r w:rsidR="00D6238A">
        <w:t xml:space="preserve">Klimateffekter i Östersjön </w:t>
      </w:r>
      <w:r w:rsidR="00922243">
        <w:t xml:space="preserve">förväntas innebära förändringar i både </w:t>
      </w:r>
      <w:r w:rsidR="00D6238A">
        <w:t xml:space="preserve">temperatur och salthalt </w:t>
      </w:r>
      <w:r w:rsidR="00CF4B51">
        <w:fldChar w:fldCharType="begin"/>
      </w:r>
      <w:r w:rsidR="00CF4B51">
        <w:instrText xml:space="preserve"> ADDIN ZOTERO_ITEM CSL_CITATION {"citationID":"a2k9msejfgp","properties":{"formattedCitation":"(Meier 2006)","plainCitation":"(Meier 2006)"},"citationItems":[{"id":3429,"uris":["http://zotero.org/users/local/LOrUhVSw/items/E56X925R"],"uri":["http://zotero.org/users/local/LOrUhVSw/items/E56X925R"],"itemData":{"id":3429,"type":"article-journal","title":"Baltic Sea climate in the late twenty-first century: a dynamical downscaling approach using two global models and two emission scenarios","container-title":"Climate Dynamics","page":"39-68","volume":"27","issue":"1","source":"link.springer.com","abstract":"A regional ocean circulation model was used to project Baltic Sea climate at the end of the twenty-first century. A set of four scenario simulations was performed utilizing two global models and two forcing scenarios. To reduce model biases and to spin up future salinity the so-called Δ-change approach was applied. Using a regional coupled atmosphere–ocean model 30-year climatological monthly mean changes of atmospheric surface data and river discharge into the Baltic Sea were calculated from previously conducted time slice experiments. These changes were added to reconstructed atmospheric surface fields and runoff for the period 1903–1998. The total freshwater supply (runoff and net precipitation) is projected to increase between 0 and 21%. Due to increased westerlies in winter the annual mean wind speed will be between 2 and 13% larger compared to present climate. Both changes will cause a reduction of the average salinity of the Baltic Sea between 8 and 50%. Although salinity in the entire Baltic might be significantly lower at the end of the twenty-first century, deep water ventilation will very likely only slightly change. The largest change is projected for the secondary maximum of sea water age within the halocline. Further, the average temperature will increase between 1.9 and 3.2°C. The temperature response to atmospheric changes lags several months. Future annual maximum sea ice extent will decrease between 46 and 77% in accordance to earlier studies. However, in contrast to earlier results in the warmest scenario simulation one ice-free winter out of 96 seasons was found. Although wind speed changes are uniform, extreme sea levels may increase more than the mean sea level. In two out of four projections significant changes of 100-year surge heights were found.","DOI":"10.1007/s00382-006-0124-x","ISSN":"0930-7575, 1432-0894","shortTitle":"Baltic Sea climate in the late twenty-first century","journalAbbreviation":"Clim Dyn","language":"en","author":[{"family":"Meier","given":"H. E. Markus"}],"issued":{"date-parts":[["2006",7,1]]}}}],"schema":"https://github.com/citation-style-language/schema/raw/master/csl-citation.json"} </w:instrText>
      </w:r>
      <w:r w:rsidR="00CF4B51">
        <w:fldChar w:fldCharType="separate"/>
      </w:r>
      <w:r w:rsidR="00CF4B51" w:rsidRPr="00CF4B51">
        <w:t>(Meier 2006)</w:t>
      </w:r>
      <w:r w:rsidR="00CF4B51">
        <w:fldChar w:fldCharType="end"/>
      </w:r>
      <w:r w:rsidR="00D6238A">
        <w:t xml:space="preserve">. </w:t>
      </w:r>
      <w:r w:rsidR="00CF4B51">
        <w:t xml:space="preserve">En ökad temperatur och minskad salthalt skulle i teorin gynna de arter </w:t>
      </w:r>
      <w:r w:rsidR="001C24F7">
        <w:t xml:space="preserve">vars rekryteringshabitat beskrivs av indikatorn i detta faktablad, </w:t>
      </w:r>
      <w:r w:rsidR="00CF4B51">
        <w:t xml:space="preserve">men att förutsäga effekterna är svårt </w:t>
      </w:r>
      <w:r w:rsidR="00CF4B51">
        <w:fldChar w:fldCharType="begin"/>
      </w:r>
      <w:r w:rsidR="00CF4B51">
        <w:instrText xml:space="preserve"> ADDIN ZOTERO_ITEM CSL_CITATION {"citationID":"a2lcqa1s5fr","properties":{"formattedCitation":"{\\rtf (H\\uc0\\u228{}rm\\uc0\\u228{} et al. 2008)}","plainCitation":"(Härmä et al. 2008)"},"citationItems":[{"id":2206,"uris":["http://zotero.org/users/local/LOrUhVSw/items/3UA9RP4X"],"uri":["http://zotero.org/users/local/LOrUhVSw/items/3UA9RP4X"],"itemData":{"id":2206,"type":"article-journal","title":"Reproduction areas of roach (Rutilus rutilus) in the northern Baltic Sea: potential effects of climate change","container-title":"Canadian Journal of Fisheries and Aquatic Sciences","page":"2678-2688","volume":"65","abstract":"The roach (Rutilus rutilus) is a common freshwater fish species in the brackish coastal areas of the northern\nBaltic Sea. In this study, surveys of roach larvae were carried out at reed-belt shores encompassing the entire archipelago\nzone in the northwestern Gulf of Finland. A logistic regression model was constructed and then used to spatially predict\nand map potential roach reproduction areas using a geographic information system (GIS). The results indicate that low\nspring salinity (&lt;4%) is the most important factor determining the success of roach reproduction. Reed-belt shores in the\ninner archipelago with large freshwater inputs in the spring constitute the key reproduction areas. Spring runoff peaks\ncaused by melting snow together with the effects of ice cover on the spreading of freshwater runoff enable roach to reproduce\nrelatively far from river mouths. Nevertheless, 68% of the reed-belt shores in the study area are presently beyond the\n4% salinity limit and thus unsuitable for reproduction. In the future, climate change is predicted to reduce the salinity of\nthe Baltic Sea, but the potential climate change impacts on roach are partly contradictory. The most likely outcome, however,\nis a spatial increase in the extent of roach reproduction areas in the northern Baltic Sea.","shortTitle":"Reproduction areas of roach (Rutilus rutilus) in the northern Baltic Sea: potential effects of climate change","author":[{"family":"Härmä","given":"M."},{"family":"Lappalainen","given":"A."},{"family":"Urho","given":"L."}],"issued":{"date-parts":[["2008"]]}}}],"schema":"https://github.com/citation-style-language/schema/raw/master/csl-citation.json"} </w:instrText>
      </w:r>
      <w:r w:rsidR="00CF4B51">
        <w:fldChar w:fldCharType="separate"/>
      </w:r>
      <w:r w:rsidR="00CF4B51" w:rsidRPr="00CF4B51">
        <w:rPr>
          <w:rFonts w:cs="Times New Roman"/>
          <w:szCs w:val="24"/>
        </w:rPr>
        <w:t xml:space="preserve">(Härmä </w:t>
      </w:r>
      <w:r w:rsidR="00EE1A5E">
        <w:rPr>
          <w:rFonts w:cs="Times New Roman"/>
          <w:szCs w:val="24"/>
        </w:rPr>
        <w:t>m fl</w:t>
      </w:r>
      <w:r w:rsidR="00CF4B51" w:rsidRPr="00CF4B51">
        <w:rPr>
          <w:rFonts w:cs="Times New Roman"/>
          <w:szCs w:val="24"/>
        </w:rPr>
        <w:t xml:space="preserve"> 2008)</w:t>
      </w:r>
      <w:r w:rsidR="00CF4B51">
        <w:fldChar w:fldCharType="end"/>
      </w:r>
      <w:r w:rsidR="00CF4B51">
        <w:t>. T</w:t>
      </w:r>
      <w:r w:rsidR="00583995">
        <w:t xml:space="preserve">emperatur och salthalt </w:t>
      </w:r>
      <w:r w:rsidR="00CF4B51">
        <w:t xml:space="preserve">är oavsett eventuella förändringar av stor betydelse för </w:t>
      </w:r>
      <w:r w:rsidR="001C24F7">
        <w:t xml:space="preserve">unga livsstadier av </w:t>
      </w:r>
      <w:r w:rsidR="00CF4B51">
        <w:t>kustfisk</w:t>
      </w:r>
      <w:r w:rsidR="00BE231E">
        <w:t xml:space="preserve"> </w:t>
      </w:r>
      <w:r w:rsidR="00BE231E">
        <w:fldChar w:fldCharType="begin"/>
      </w:r>
      <w:r w:rsidR="009E1B1D">
        <w:instrText xml:space="preserve"> ADDIN ZOTERO_ITEM CSL_CITATION {"citationID":"MmDcVSFg","properties":{"formattedCitation":"{\\rtf (Sandstr\\uc0\\u246{}m et al. 1995, Snickars et al. 2009)}","plainCitation":"(Sandström et al. 1995, Snickars et al. 2009)"},"citationItems":[{"id":94,"uris":["http://zotero.org/users/local/LOrUhVSw/items/ZFABF99I"],"uri":["http://zotero.org/users/local/LOrUhVSw/items/ZFABF99I"],"itemData":{"id":94,"type":"article-journal","title":"Effects of temperature on life history variables in perch","container-title":"Journal of Fish Biology","page":"652-670","volume":"47","issue":"4","abstract":"Population structure, recruitment, mortality, life expectancy, age at maturity, gonad development, fecundity, net reproductive rate and energy storage were studied in a perch population exposed to thermal discharge. The experiment was conducted during 1978-1990 in an artificial enclosure at a nuclear power plant on the Baltic Sea coast. Abundance increased after the plant started operating, although the proportion of larger perch dropped to a low level. Recruitment improved, but adult mortality increased. This effect was accentuated as the fishes matured very early and at a very small size, reducing their ability to support a growing gonad in high winter temperatures. During the spawning period, condition dropped to very low levels accompanied by increased mortality. Surviving fish delayed the next spawning by one or more years and reduced their fecundity. Body condition thus improved in large perch at the end of the study period. Life-time fecundity was reduced, and reproductive performance shifted to younger ages.","ISSN":"1095-8649","shortTitle":"Effects of temperature on life history variables in perch","author":[{"family":"Sandström","given":"O."},{"family":"Neuman","given":"E."},{"family":"Thoresson","given":"G."}],"issued":{"date-parts":[["1995"]]}}},{"id":2733,"uris":["http://zotero.org/users/local/LOrUhVSw/items/XZKK2G3E"],"uri":["http://zotero.org/users/local/LOrUhVSw/items/XZKK2G3E"],"itemData":{"id":2733,"type":"article-journal","title":"Fish assemblages in coastal lagoons in land-uplift succession: The relative importance of local and regional environmental gradients","container-title":"Estuarine, Coastal and Shelf Science","page":"247-256","volume":"81","issue":"2","abstract":"The assemblages of young-of-the-year fish were studied in coastal lagoons in an archipelago with post-glacial land-uplift, which affects environmental gradients at local and regional scale, i.e. lagoon habitat isolation and archipelago position, respectively. The categorisation of 40 undisturbed lagoons into nine habitat types based on habitat isolation and archipelago position was supported by clear relationships with spring temperature and total fish abundance. Rutilus rutilus, breams (Abramis/Blicca sp.) and Perca fluviatilis were the most abundant and frequently occurring species. The fish assemblage differed among the nine habitat types. Rutilus rutilus, P. fluviatilis and breams were discriminating species in the majority of habitat types with low physical harshness, whereas Alburnus alburnus and Gasterosteus aculeatus increased their contributions in habitat types with high physical harshness. Rutilus rutilus and breams were thus common in lagoons with high habitat isolation situated in the inner archipelago. These lagoons were characterised by warm water and high vegetation coverage. Gasterosteus aculeatus was restricted to lagoons with low habitat isolation and exposure and low vegetation coverage, situated in the outer archipelago. Perca fluviatilis had the widest distribution of all species. The coverage of two macrophytes, Potamogeton perfoliatus and Zannichellia palustris, and salinity matched best the distance among habitat types. These habitat characteristics, as well as the fish abundances and assemblages differed most across the habitat types in the outer and mid archipelago zones and in the lowest habitat isolation. These patterns suggest that the structuring effect of habitat isolation increases along the archipelago gradient as differences between local and regional conditions increase. In the inner archipelago, overall low physical harshness induces homogeneous conditions and the habitat isolation is less important here than in the other zones. We suggest that this difference in the relative importance of the two gradients depending on the level of respective gradient ultimately forms these heterogeneous coastal habitats in a successional landscape. Rutilus rutilus and P. fluviatilis were responsible for large parts of the assemblage patterns. Although sympatric due to similar habitat requirements, differences in dispersal capability, competitive ability and predation vulnerability may add explanation to detected differences in distribution and abundance in these two species in an open system. Our results also stress the structuring role of vegetation in terms of total coverage and species composition, as these two aspects of macrophyte diversity may act as complementary habitat modifiers across gradients of physical harshness.","shortTitle":"Fish assemblages in coastal lagoons in land-uplift succession: The relative importance of local and regional environmental gradients","author":[{"family":"Snickars","given":"M."},{"family":"Sandström","given":"A."},{"family":"Lappalainen","given":"A."},{"family":"Mattila","given":"J."},{"family":"Rosqvist","given":"K."},{"family":"Urho","given":"L."}],"issued":{"date-parts":[["2009"]]}}}],"schema":"https://github.com/citation-style-language/schema/raw/master/csl-citation.json"} </w:instrText>
      </w:r>
      <w:r w:rsidR="00BE231E">
        <w:fldChar w:fldCharType="separate"/>
      </w:r>
      <w:r w:rsidR="009E1B1D" w:rsidRPr="009E1B1D">
        <w:rPr>
          <w:rFonts w:cs="Times New Roman"/>
          <w:szCs w:val="24"/>
        </w:rPr>
        <w:t xml:space="preserve">(Sandström </w:t>
      </w:r>
      <w:r w:rsidR="00EE1A5E">
        <w:rPr>
          <w:rFonts w:cs="Times New Roman"/>
          <w:szCs w:val="24"/>
        </w:rPr>
        <w:t>m fl</w:t>
      </w:r>
      <w:r w:rsidR="009E1B1D" w:rsidRPr="009E1B1D">
        <w:rPr>
          <w:rFonts w:cs="Times New Roman"/>
          <w:szCs w:val="24"/>
        </w:rPr>
        <w:t xml:space="preserve"> 1995, Snickars </w:t>
      </w:r>
      <w:r w:rsidR="00EE1A5E">
        <w:rPr>
          <w:rFonts w:cs="Times New Roman"/>
          <w:szCs w:val="24"/>
        </w:rPr>
        <w:t>m fl</w:t>
      </w:r>
      <w:r w:rsidR="009E1B1D" w:rsidRPr="009E1B1D">
        <w:rPr>
          <w:rFonts w:cs="Times New Roman"/>
          <w:szCs w:val="24"/>
        </w:rPr>
        <w:t xml:space="preserve"> 2009)</w:t>
      </w:r>
      <w:r w:rsidR="00BE231E">
        <w:fldChar w:fldCharType="end"/>
      </w:r>
      <w:r w:rsidR="00CF4B51">
        <w:t xml:space="preserve"> och dessa variabler</w:t>
      </w:r>
      <w:r w:rsidR="00571F4E">
        <w:t>, i likhet med strandexploatering</w:t>
      </w:r>
      <w:r w:rsidR="009E1B1D">
        <w:t xml:space="preserve"> och siktdjup</w:t>
      </w:r>
      <w:r w:rsidR="00571F4E">
        <w:t>,</w:t>
      </w:r>
      <w:r w:rsidR="00CF4B51">
        <w:t xml:space="preserve"> bör </w:t>
      </w:r>
      <w:r w:rsidR="001C24F7">
        <w:t xml:space="preserve">i framtiden </w:t>
      </w:r>
      <w:r w:rsidR="00CF4B51">
        <w:t>beaktas vid statusbedömningar av kustfiskens rekryteringsmiljöer.</w:t>
      </w:r>
      <w:r w:rsidR="00583995">
        <w:t xml:space="preserve"> </w:t>
      </w:r>
    </w:p>
    <w:p w14:paraId="35DAD030" w14:textId="24C1638C" w:rsidR="001E6964" w:rsidRDefault="00D267FA" w:rsidP="00690DCD">
      <w:pPr>
        <w:pStyle w:val="Brdtext"/>
      </w:pPr>
      <w:r>
        <w:t xml:space="preserve">Kunskap om </w:t>
      </w:r>
      <w:r w:rsidR="00BA0426">
        <w:t>liv</w:t>
      </w:r>
      <w:r w:rsidR="00EF0F8F">
        <w:t xml:space="preserve">smiljöers </w:t>
      </w:r>
      <w:r w:rsidR="00BC1698">
        <w:t>status</w:t>
      </w:r>
      <w:r>
        <w:t xml:space="preserve"> </w:t>
      </w:r>
      <w:r w:rsidR="00CF4B51">
        <w:t xml:space="preserve">och de faktorer som inverkar på utbredningen har flera användningsområden. </w:t>
      </w:r>
      <w:r w:rsidR="00BC1698">
        <w:t>Dels kan det b</w:t>
      </w:r>
      <w:r w:rsidR="00CF4B51">
        <w:t xml:space="preserve">idra till att förklara </w:t>
      </w:r>
      <w:r w:rsidR="007F28D5">
        <w:t>statusen hos</w:t>
      </w:r>
      <w:r w:rsidR="00BC1698">
        <w:t xml:space="preserve"> </w:t>
      </w:r>
      <w:r w:rsidR="00EF0F8F">
        <w:t xml:space="preserve">den </w:t>
      </w:r>
      <w:r w:rsidR="00BC1698">
        <w:t xml:space="preserve">vuxna </w:t>
      </w:r>
      <w:r w:rsidR="00EF0F8F">
        <w:t>fisk</w:t>
      </w:r>
      <w:r w:rsidR="00BC1698">
        <w:t>populatione</w:t>
      </w:r>
      <w:r w:rsidR="00EF0F8F">
        <w:t>n</w:t>
      </w:r>
      <w:r w:rsidR="00BC1698">
        <w:t xml:space="preserve"> </w:t>
      </w:r>
      <w:r w:rsidR="009E1B1D">
        <w:fldChar w:fldCharType="begin"/>
      </w:r>
      <w:r w:rsidR="009E1B1D">
        <w:instrText xml:space="preserve"> ADDIN ZOTERO_ITEM CSL_CITATION {"citationID":"a1dao32hsdn","properties":{"formattedCitation":"(Sundblad et al. 2014)","plainCitation":"(Sundblad et al. 2014)"},"citationItems":[{"id":3087,"uris":["http://zotero.org/users/local/LOrUhVSw/items/67PI5P4J"],"uri":["http://zotero.org/users/local/LOrUhVSw/items/67PI5P4J"],"itemData":{"id":3087,"type":"article-journal","title":"Nursery habitat availability limits adult stock sizes of predatory coastal fish","container-title":"ICES Journal of Marine Science","page":"672-680","volume":"71","issue":"3","abstract":"Habitat protection is a strategy often proposed in fisheries management to help maintain viable populations of exploited species. Yet, quantifying the importance of habitat availability for population sizes is difficult, as the precise distribution of essential habitats is poorly known. To quantify the contribution from coastal nursery habitats to exploited fish population sizes, we related adult density to the amount of nursery habitat available for 12 populations of the two dominant predatory fish species in a 40 000-km2 archipelago area of the Baltic Sea. Habitat distribution was mapped using three conceptually different techniques, Maxent, generalized additive models, and random forest, using spawning and 0-group point samples. Adult densities were estimated from gillnet surveys. Regressions demonstrated no evident effect from fishing, whereas habitat availability had a positive effect, explaining almost half of the variation in population sizes of both species. This result shows that a substantial proportion of the potential production of adult fish can be estimated by mapping essential nursery habitats distribution. Responses were non-linear, indicating that habitat protection has largest effects where there is little available habitat. By demonstrating the importance of habitat limitation of two exploited fish species, we provide quantitative support to the benefits of habitat protection for fisheries.","DOI":"10.1093/icesjms/fst056","shortTitle":"Nursery habitat availability limits adult stock sizes of predatory coastal fish","author":[{"family":"Sundblad","given":"Göran"},{"family":"Bergström","given":"Ulf"},{"family":"Sandström","given":"Alfred"},{"family":"Eklöv","given":"Peter"}],"issued":{"date-parts":[["2014",4,1]]}}}],"schema":"https://github.com/citation-style-language/schema/raw/master/csl-citation.json"} </w:instrText>
      </w:r>
      <w:r w:rsidR="009E1B1D">
        <w:fldChar w:fldCharType="separate"/>
      </w:r>
      <w:r w:rsidR="009E1B1D" w:rsidRPr="009E1B1D">
        <w:t xml:space="preserve">(Sundblad </w:t>
      </w:r>
      <w:r w:rsidR="00EE1A5E">
        <w:t>m fl</w:t>
      </w:r>
      <w:r w:rsidR="009E1B1D" w:rsidRPr="009E1B1D">
        <w:t xml:space="preserve"> 2014)</w:t>
      </w:r>
      <w:r w:rsidR="009E1B1D">
        <w:fldChar w:fldCharType="end"/>
      </w:r>
      <w:r w:rsidR="00BC1698">
        <w:t>, och t</w:t>
      </w:r>
      <w:r w:rsidR="001E6964">
        <w:t xml:space="preserve">illsammans med annan </w:t>
      </w:r>
      <w:r w:rsidR="00436F13">
        <w:t>övervakning</w:t>
      </w:r>
      <w:r w:rsidR="001E6964">
        <w:t xml:space="preserve"> kan eventuella </w:t>
      </w:r>
      <w:r w:rsidR="00BC1698">
        <w:t>andra miljö</w:t>
      </w:r>
      <w:r w:rsidR="001E6964">
        <w:t>förändringar bättre förstås</w:t>
      </w:r>
      <w:r w:rsidR="00BC1698">
        <w:t xml:space="preserve">, </w:t>
      </w:r>
      <w:r w:rsidR="00571F4E">
        <w:t xml:space="preserve">exempelvis </w:t>
      </w:r>
      <w:r w:rsidR="00BC1698">
        <w:t>genom olika typer av ekosystemanalyser</w:t>
      </w:r>
      <w:r w:rsidR="009E1B1D">
        <w:t xml:space="preserve"> </w:t>
      </w:r>
      <w:r w:rsidR="009E1B1D">
        <w:fldChar w:fldCharType="begin"/>
      </w:r>
      <w:r w:rsidR="009E1B1D">
        <w:instrText xml:space="preserve"> ADDIN ZOTERO_ITEM CSL_CITATION {"citationID":"a2muati0v77","properties":{"formattedCitation":"(Ljunggren et al. 2010)","plainCitation":"(Ljunggren et al. 2010)"},"citationItems":[{"id":2411,"uris":["http://zotero.org/users/local/LOrUhVSw/items/TBNGJACN"],"uri":["http://zotero.org/users/local/LOrUhVSw/items/TBNGJACN"],"itemData":{"id":2411,"type":"article-journal","title":"Recruitment failure of coastal predatory fish in the Baltic Sea coincident with an offshore ecosystem regime shift","container-title":"ICES Journal of Marine Science","page":"1587-1595","volume":"67","abstract":"The dominant coastal predatory fish in the southwestern Baltic Sea, perch and pike, have decreased markedly in abundance during the past decade. An investigation into their recruitment at 135 coastal sites showed that both species suffered from recruitment failures, mainly in open coastal areas. A detailed study of 15 sites showed that areas with recruitment problems were also notable for mortality of early-stage larvae at the onset of exogenous food-intake. At those sites, zooplankton abundance predicted 83 and 34% of the variation in young of the year perch and pike, respectively, suggesting that the declines were caused by recruitment failure attributable to zooplankton food limitation. Incidences of recruitment failure match in time an offshore trophic cascade that generated massive increases in planktivorous sprat and decreases in zooplankton biomass in the early 1990s. Therefore, sprat biomass explained 53% of the variation in perch recruitment from 1994 to 2007 at an open coastal site, where three-spined stickleback also increased exponentially after 2002. The results indicate that the dramatic change in the offshore ecosystem may have propagated to the coast causing declines of the dominating coastal predators perch and pike followed by an increase in the abundance of small-bodied fish.","DOI":"10.1093/icesjms/fsq109","shortTitle":"Recruitment failure of coastal predatory fish in the Baltic Sea coincident with an offshore ecosystem regime shift","author":[{"family":"Ljunggren","given":"L."},{"family":"Sandström","given":"A."},{"family":"Bergström","given":"U."},{"family":"Mattila","given":"J."},{"family":"Lappalainen","given":"A."},{"family":"Johansson","given":"G."},{"family":"Sundblad","given":"G."},{"family":"Casini","given":"M."},{"family":"Kaljuste","given":"O."},{"family":"Eriksson","given":"B. K."}],"issued":{"date-parts":[["2010"]]}}}],"schema":"https://github.com/citation-style-language/schema/raw/master/csl-citation.json"} </w:instrText>
      </w:r>
      <w:r w:rsidR="009E1B1D">
        <w:fldChar w:fldCharType="separate"/>
      </w:r>
      <w:r w:rsidR="009E1B1D" w:rsidRPr="009E1B1D">
        <w:t xml:space="preserve">(Ljunggren </w:t>
      </w:r>
      <w:r w:rsidR="00EE1A5E">
        <w:t>m fl</w:t>
      </w:r>
      <w:r w:rsidR="009E1B1D" w:rsidRPr="009E1B1D">
        <w:t xml:space="preserve"> 2010)</w:t>
      </w:r>
      <w:r w:rsidR="009E1B1D">
        <w:fldChar w:fldCharType="end"/>
      </w:r>
      <w:r w:rsidR="00BC1698">
        <w:t xml:space="preserve">. </w:t>
      </w:r>
      <w:r w:rsidR="00690DCD">
        <w:t xml:space="preserve">Utbredningen av fungerande </w:t>
      </w:r>
      <w:r w:rsidR="00EF0F8F">
        <w:t xml:space="preserve">rekryteringshabitat för kustfisk </w:t>
      </w:r>
      <w:r w:rsidR="00690DCD">
        <w:t xml:space="preserve">indikerar också att livsmiljön i stort har en god status. </w:t>
      </w:r>
      <w:r w:rsidR="00BC1698">
        <w:t xml:space="preserve">Givet att </w:t>
      </w:r>
      <w:r w:rsidR="00EF0F8F">
        <w:t xml:space="preserve">dessa </w:t>
      </w:r>
      <w:r w:rsidR="00BC1698">
        <w:t xml:space="preserve">miljöer kan vara sparsamt förekommande med en begränsande effekt på populationsstorlekarna, samtidigt som trycket på </w:t>
      </w:r>
      <w:r w:rsidR="001040C4">
        <w:t>dem</w:t>
      </w:r>
      <w:r w:rsidR="00BC1698">
        <w:t xml:space="preserve"> är högt, är det av vikt att följa utvecklingen för statusen hos kustfiskens </w:t>
      </w:r>
      <w:r w:rsidR="00EF0F8F">
        <w:t>rekryteringshabitat</w:t>
      </w:r>
      <w:r w:rsidR="00BA0426">
        <w:t>, både med avseende på utbredning och kvalitet</w:t>
      </w:r>
      <w:r w:rsidR="00BC1698">
        <w:t xml:space="preserve">. </w:t>
      </w:r>
    </w:p>
    <w:p w14:paraId="33898FEF" w14:textId="3532BD59" w:rsidR="00BC1698" w:rsidRDefault="00571F4E" w:rsidP="0009349B">
      <w:pPr>
        <w:pStyle w:val="Brdtext"/>
      </w:pPr>
      <w:r>
        <w:lastRenderedPageBreak/>
        <w:t xml:space="preserve">Av denna anledning har vi inlett </w:t>
      </w:r>
      <w:r w:rsidR="00436F13">
        <w:t>arbete</w:t>
      </w:r>
      <w:r w:rsidR="00BC1698">
        <w:t>t</w:t>
      </w:r>
      <w:r w:rsidR="00436F13">
        <w:t xml:space="preserve"> </w:t>
      </w:r>
      <w:r w:rsidR="00BC1698">
        <w:t>med att kvalitativt beskriva</w:t>
      </w:r>
      <w:r w:rsidR="00436F13">
        <w:t xml:space="preserve"> utbredningen av livsmiljöer i dagsläget. </w:t>
      </w:r>
      <w:r w:rsidR="00BC1698">
        <w:t xml:space="preserve">Den framtagna indikatorn är ännu preliminär, </w:t>
      </w:r>
      <w:r w:rsidR="0084448C">
        <w:t xml:space="preserve">och bygger på rumsliga GIS-analyser av begränsande miljövariabler. </w:t>
      </w:r>
    </w:p>
    <w:p w14:paraId="42B8E3A1" w14:textId="77777777" w:rsidR="00844086" w:rsidRDefault="00844086" w:rsidP="0009349B">
      <w:pPr>
        <w:pStyle w:val="Brdtext"/>
      </w:pPr>
    </w:p>
    <w:p w14:paraId="0E0DF7D1" w14:textId="40247913" w:rsidR="0070387B" w:rsidRPr="00A85EC6" w:rsidRDefault="0070387B" w:rsidP="0009349B">
      <w:pPr>
        <w:pStyle w:val="Brdtext"/>
        <w:rPr>
          <w:b/>
        </w:rPr>
      </w:pPr>
      <w:r w:rsidRPr="00A85EC6">
        <w:rPr>
          <w:b/>
        </w:rPr>
        <w:t xml:space="preserve">2.2. </w:t>
      </w:r>
      <w:r w:rsidR="00F87DD4" w:rsidRPr="00A85EC6">
        <w:rPr>
          <w:b/>
        </w:rPr>
        <w:t xml:space="preserve">Material </w:t>
      </w:r>
      <w:r w:rsidR="00177513" w:rsidRPr="00A85EC6">
        <w:rPr>
          <w:b/>
        </w:rPr>
        <w:t>och metoder</w:t>
      </w:r>
      <w:r w:rsidR="00F87DD4" w:rsidRPr="00A85EC6">
        <w:rPr>
          <w:b/>
        </w:rPr>
        <w:t xml:space="preserve">. </w:t>
      </w:r>
    </w:p>
    <w:p w14:paraId="653E107D" w14:textId="0DBD2D59" w:rsidR="004D7BF0" w:rsidRPr="00A85EC6" w:rsidRDefault="00B466E2" w:rsidP="0009349B">
      <w:pPr>
        <w:pStyle w:val="Brdtext"/>
        <w:rPr>
          <w:u w:val="single"/>
        </w:rPr>
      </w:pPr>
      <w:r w:rsidRPr="00A85EC6">
        <w:rPr>
          <w:u w:val="single"/>
        </w:rPr>
        <w:t>Övervakningsmetod</w:t>
      </w:r>
    </w:p>
    <w:p w14:paraId="28C19D5E" w14:textId="26BEEEF3" w:rsidR="00BA0426" w:rsidRPr="00BA0426" w:rsidRDefault="00BA0426" w:rsidP="0009349B">
      <w:pPr>
        <w:pStyle w:val="Brdtext"/>
        <w:rPr>
          <w:b/>
        </w:rPr>
      </w:pPr>
      <w:r>
        <w:t>Genom att nyttja observerade yngelförekomster längs olika miljögradienter kan kartor över miljögradienterna användas för att ringa in områden potentiellt nyttjade som rekryteringsmiljöer.</w:t>
      </w:r>
    </w:p>
    <w:p w14:paraId="5498920A" w14:textId="0E674F67" w:rsidR="005E2A7E" w:rsidRDefault="00FE01C4" w:rsidP="00525303">
      <w:pPr>
        <w:pStyle w:val="Brdtext"/>
      </w:pPr>
      <w:r>
        <w:t>I</w:t>
      </w:r>
      <w:r w:rsidR="00715D77">
        <w:t xml:space="preserve">ndikatorn </w:t>
      </w:r>
      <w:r w:rsidR="00BA0426">
        <w:rPr>
          <w:rFonts w:eastAsia="Times New Roman"/>
          <w:i/>
          <w:color w:val="000000"/>
          <w:sz w:val="21"/>
          <w:szCs w:val="21"/>
        </w:rPr>
        <w:t>p</w:t>
      </w:r>
      <w:r w:rsidR="00BA0426" w:rsidRPr="00BA0426">
        <w:rPr>
          <w:rFonts w:eastAsia="Times New Roman"/>
          <w:i/>
          <w:color w:val="000000"/>
          <w:sz w:val="21"/>
          <w:szCs w:val="21"/>
        </w:rPr>
        <w:t>otentiellt rekryteringshabitat för kustfisk i Östersjön</w:t>
      </w:r>
      <w:r w:rsidR="00715D77">
        <w:t xml:space="preserve"> har </w:t>
      </w:r>
      <w:r>
        <w:t xml:space="preserve">beräknats på basen av data från yngelinventeringar, tillgängliga i </w:t>
      </w:r>
      <w:r w:rsidR="00715D77">
        <w:t xml:space="preserve">databas </w:t>
      </w:r>
      <w:r w:rsidR="001204B5">
        <w:t>hos SLU Aqua</w:t>
      </w:r>
      <w:r w:rsidR="00715D77">
        <w:t xml:space="preserve">. </w:t>
      </w:r>
      <w:r w:rsidR="00603965">
        <w:t xml:space="preserve">Databasen innehåller inventeringar utförda i ett antal olika syften, inklusive långsiktig </w:t>
      </w:r>
      <w:r w:rsidR="007225FC">
        <w:t>övervakning (</w:t>
      </w:r>
      <w:r>
        <w:t xml:space="preserve">framför allt från </w:t>
      </w:r>
      <w:r w:rsidR="007225FC">
        <w:t>recipientkontrollprogram</w:t>
      </w:r>
      <w:r w:rsidR="00603965">
        <w:t xml:space="preserve">), </w:t>
      </w:r>
      <w:r w:rsidR="00690DCD">
        <w:t xml:space="preserve">specifika inventeringstillfällen som underlag för exempelvis </w:t>
      </w:r>
      <w:r w:rsidR="00603965">
        <w:t xml:space="preserve">naturvärdesbedömningar, samt olika forskningsprojekt. </w:t>
      </w:r>
      <w:r w:rsidR="001040C4">
        <w:t>Arbete pågår med att föra över data till den nationella kustfiskdatabasen KUL</w:t>
      </w:r>
      <w:r w:rsidR="00553AFD">
        <w:t xml:space="preserve"> (www.slu/kul.se)</w:t>
      </w:r>
      <w:r w:rsidR="001040C4">
        <w:t xml:space="preserve">. </w:t>
      </w:r>
      <w:r w:rsidR="00446E7D">
        <w:t>D</w:t>
      </w:r>
      <w:r w:rsidR="00603965">
        <w:t>atabasen i</w:t>
      </w:r>
      <w:r w:rsidR="00446E7D">
        <w:t>n</w:t>
      </w:r>
      <w:r w:rsidR="00CA0653">
        <w:t>ne</w:t>
      </w:r>
      <w:r w:rsidR="00446E7D">
        <w:t>håller</w:t>
      </w:r>
      <w:r w:rsidR="00603965">
        <w:t xml:space="preserve"> dagsläget nä</w:t>
      </w:r>
      <w:r w:rsidR="00446E7D">
        <w:t>rmare</w:t>
      </w:r>
      <w:r w:rsidR="00603965">
        <w:t xml:space="preserve"> 20 000 prov</w:t>
      </w:r>
      <w:r w:rsidR="00237541">
        <w:t>punkter</w:t>
      </w:r>
      <w:r w:rsidR="00603965">
        <w:t xml:space="preserve"> insamlade med </w:t>
      </w:r>
      <w:r w:rsidR="00237541">
        <w:t xml:space="preserve">små </w:t>
      </w:r>
      <w:r w:rsidR="00603965">
        <w:t>undervattensdetonationer</w:t>
      </w:r>
      <w:r w:rsidR="00525303">
        <w:t xml:space="preserve"> </w:t>
      </w:r>
      <w:r w:rsidR="00525303">
        <w:fldChar w:fldCharType="begin"/>
      </w:r>
      <w:r w:rsidR="00525303">
        <w:instrText xml:space="preserve"> ADDIN ZOTERO_ITEM CSL_CITATION {"citationID":"a2bg5dlmhjb","properties":{"formattedCitation":"(Snickars et al. 2007)","plainCitation":"(Snickars et al. 2007)"},"citationItems":[{"id":484,"uris":["http://zotero.org/users/local/LOrUhVSw/items/TNR4SZVS"],"uri":["http://zotero.org/users/local/LOrUhVSw/items/TNR4SZVS"],"itemData":{"id":484,"type":"article-journal","title":"Evaluation of low impact pressure waves as a quantitative sampling method for small fish in shallow water","container-title":"Journal of Experimental Marine Biology and Ecology","page":"138-147","volume":"343","abstract":"Low impact pressure waves (LIMP) generated by small (&lt;1 g) underwater ignition capsules have been used to qualitatively and\nsemi-quantitatively, as catch per unit effort, sample young-of-the-year (YOY) and juvenile fish in shallow (0–3 m) waters. In order\nto evaluate this method on small fish, four categories, 0+ and 1+ year Eurasian perch, 1+ year roach and 0+ to 1+ year pike, were\nsubjected to the LIMP at distances of 0.5–5 m from the detonation point. At a distance &lt;1 m all specimens were stunned and either\nfloated to the surface or sank to the bottom, whereas almost all were unaffected at distances &gt;3 m. The efficiency radius of the\nLIMP varied between 1.5 and 3.0 m, and the effective area was 7–28 m2 depending on habitat and species. The average effective\narea for the two extensively studied categories (0+ perch and 1+ roach) was 17.9 m2. Both depth and vegetation affected the\neffective area. The smallest area was obtained at &lt;1 m depth with vegetation present, and the largest at 1–2 m depths with no\nvegetation present. Within each fish category, the method sampled fish independently of length suggesting that a size/year-class is\nsampled equally. The proportion of affected fish that sank was large and species-dependent. In addition to the netting of surfaced\nfish, collecting fish from the bottom is recommended for achieving an accurate quantitative estimate. The tested parameters of the\nLIMP, Pmax and Impulse, declined as a function of distance following a negative exponential growth model with a baseline. The\nsimilar-shaped responses among the fish categories suggest that the method works at depths &lt;3 m also in heterogeneous\nenvironments, and that the method can be used to quantitatively estimate abundance of small fish with swim bladders. A model for\nquantitative abundance estimates based on the evaluation is presented","shortTitle":"Evaluation of low impact pressure waves as a quantitative sampling method for small fish in shallow water","author":[{"family":"Snickars","given":"M."},{"family":"Sandström","given":"A."},{"family":"Lappalainen","given":"A."},{"family":"Mattila","given":"J."}],"issued":{"date-parts":[["2007"]]}}}],"schema":"https://github.com/citation-style-language/schema/raw/master/csl-citation.json"} </w:instrText>
      </w:r>
      <w:r w:rsidR="00525303">
        <w:fldChar w:fldCharType="separate"/>
      </w:r>
      <w:r w:rsidR="00525303" w:rsidRPr="00525303">
        <w:t xml:space="preserve">(Snickars </w:t>
      </w:r>
      <w:r w:rsidR="00EE1A5E">
        <w:t>m fl</w:t>
      </w:r>
      <w:r w:rsidR="00525303" w:rsidRPr="00525303">
        <w:t xml:space="preserve"> 2007)</w:t>
      </w:r>
      <w:r w:rsidR="00525303">
        <w:fldChar w:fldCharType="end"/>
      </w:r>
      <w:r w:rsidR="00603965">
        <w:t xml:space="preserve">. </w:t>
      </w:r>
      <w:r w:rsidR="00B466E2">
        <w:t xml:space="preserve">Undervattensdetonationer har använts </w:t>
      </w:r>
      <w:r w:rsidR="00603965">
        <w:t xml:space="preserve">i Sverige </w:t>
      </w:r>
      <w:r w:rsidR="00B466E2">
        <w:t>sedan 1970-talet och utgör en inventeringsmetod lämplig för årsyngel</w:t>
      </w:r>
      <w:r w:rsidR="00603965">
        <w:t xml:space="preserve"> </w:t>
      </w:r>
      <w:r w:rsidR="00237541">
        <w:t>av fisk på kusten</w:t>
      </w:r>
      <w:r w:rsidR="00446E7D">
        <w:t>. M</w:t>
      </w:r>
      <w:r w:rsidR="00237541">
        <w:t xml:space="preserve">etoden </w:t>
      </w:r>
      <w:r w:rsidR="00603965">
        <w:t xml:space="preserve">är användbar i olika typer av habitat, är en kvantitativ och aktiv metod som </w:t>
      </w:r>
      <w:r w:rsidR="005E2A7E">
        <w:t xml:space="preserve">provtar majoriteten av arterna i det </w:t>
      </w:r>
      <w:r w:rsidR="00237541">
        <w:t>bottenlevande kustnära fisk</w:t>
      </w:r>
      <w:r w:rsidR="005E2A7E">
        <w:t>samhället</w:t>
      </w:r>
      <w:r>
        <w:t xml:space="preserve"> </w:t>
      </w:r>
      <w:r w:rsidR="00BA0426">
        <w:t>(Snickars m fl 2007)</w:t>
      </w:r>
      <w:r w:rsidR="00603965">
        <w:t xml:space="preserve">. </w:t>
      </w:r>
      <w:r>
        <w:t xml:space="preserve">Dock påverkas endast </w:t>
      </w:r>
      <w:r w:rsidR="00603965">
        <w:t>fiskar med simblåsa</w:t>
      </w:r>
      <w:r w:rsidR="00446E7D">
        <w:t xml:space="preserve">, </w:t>
      </w:r>
      <w:r>
        <w:t xml:space="preserve">vilket innebär att plattfiskar och kräftdjur </w:t>
      </w:r>
      <w:r w:rsidR="00276DDB">
        <w:t>inte kan provtas. M</w:t>
      </w:r>
      <w:r w:rsidR="0087335E">
        <w:t xml:space="preserve">etoden </w:t>
      </w:r>
      <w:r w:rsidR="00525303">
        <w:t xml:space="preserve">är </w:t>
      </w:r>
      <w:r w:rsidR="00276DDB">
        <w:t xml:space="preserve">även </w:t>
      </w:r>
      <w:r w:rsidR="00525303">
        <w:t>skonsam mot livsmiljön i övrigt</w:t>
      </w:r>
      <w:r w:rsidR="00446E7D">
        <w:t xml:space="preserve">. </w:t>
      </w:r>
      <w:r w:rsidR="00525303">
        <w:t xml:space="preserve">Metodiken finns beskriven i </w:t>
      </w:r>
      <w:r w:rsidR="002E2677">
        <w:t xml:space="preserve">en </w:t>
      </w:r>
      <w:r w:rsidR="008E07D6">
        <w:t>preliminär</w:t>
      </w:r>
      <w:r w:rsidR="00525303">
        <w:t xml:space="preserve"> undersökningstyp för kust och hav</w:t>
      </w:r>
      <w:r w:rsidR="00644C7A">
        <w:t xml:space="preserve"> (Bergström m fl 2017)</w:t>
      </w:r>
      <w:r w:rsidR="00525303">
        <w:t>. För framtagande av indikatorn har all data</w:t>
      </w:r>
      <w:r w:rsidR="00525303" w:rsidRPr="00525303">
        <w:t xml:space="preserve"> </w:t>
      </w:r>
      <w:r w:rsidR="00525303">
        <w:t>insamla</w:t>
      </w:r>
      <w:r w:rsidR="00E16712">
        <w:t>d under åren</w:t>
      </w:r>
      <w:r w:rsidR="00525303">
        <w:t xml:space="preserve"> 2001-2015 använts, </w:t>
      </w:r>
      <w:r w:rsidR="00E16712">
        <w:t xml:space="preserve">oavsett </w:t>
      </w:r>
      <w:r w:rsidR="00525303">
        <w:t xml:space="preserve">sprängstyrka och </w:t>
      </w:r>
      <w:r w:rsidR="00446E7D">
        <w:t>fisk</w:t>
      </w:r>
      <w:r w:rsidR="00525303">
        <w:t>insamlingsmetod (</w:t>
      </w:r>
      <w:r w:rsidR="00446E7D">
        <w:t xml:space="preserve">i vissa fall har </w:t>
      </w:r>
      <w:r w:rsidR="00525303">
        <w:t>snorklare samlat in sjunkande fisk</w:t>
      </w:r>
      <w:r w:rsidR="00446E7D">
        <w:t xml:space="preserve">, ibland </w:t>
      </w:r>
      <w:r w:rsidR="00525303">
        <w:t xml:space="preserve">inte), för att få största möjliga geografiska täckning under en relativt modern period. Yngelinventeringar genomförs under sensommaren (primärt augusti) då de vårlekande </w:t>
      </w:r>
      <w:r w:rsidR="00E16712">
        <w:t>kust</w:t>
      </w:r>
      <w:r w:rsidR="00525303">
        <w:t>fiskarnas yngel</w:t>
      </w:r>
      <w:r w:rsidR="00446E7D">
        <w:t xml:space="preserve"> (</w:t>
      </w:r>
      <w:r w:rsidR="00BA0426">
        <w:t>abborre, gädda och mört</w:t>
      </w:r>
      <w:r w:rsidR="00446E7D">
        <w:t>)</w:t>
      </w:r>
      <w:r w:rsidR="00BA0426">
        <w:t xml:space="preserve"> </w:t>
      </w:r>
      <w:r w:rsidR="00525303">
        <w:t>har uppnått en storlek då de är lättare att artbestämma och vegetationen som många yngel nyttjar är välutvecklad</w:t>
      </w:r>
      <w:r w:rsidR="00276DDB">
        <w:t>, vilket möjliggör en samtidig bedömning av livsmiljöerna som helhet</w:t>
      </w:r>
      <w:r w:rsidR="00525303">
        <w:t xml:space="preserve">. </w:t>
      </w:r>
    </w:p>
    <w:p w14:paraId="69CC57E9" w14:textId="5F557882" w:rsidR="005E2A7E" w:rsidRPr="008F5230" w:rsidRDefault="005E2A7E" w:rsidP="00525303">
      <w:pPr>
        <w:pStyle w:val="Brdtext"/>
        <w:rPr>
          <w:u w:val="single"/>
        </w:rPr>
      </w:pPr>
      <w:r w:rsidRPr="008F5230">
        <w:rPr>
          <w:u w:val="single"/>
        </w:rPr>
        <w:t>Geografisk täckning</w:t>
      </w:r>
    </w:p>
    <w:p w14:paraId="45F7F5AC" w14:textId="116EE70C" w:rsidR="005E2A7E" w:rsidRDefault="005E2A7E" w:rsidP="00B466E2">
      <w:pPr>
        <w:pStyle w:val="Brdtext"/>
      </w:pPr>
      <w:r>
        <w:t>Metoden är tillämpbar längs hela ostkusten (från Blekinge till Norrbotten)</w:t>
      </w:r>
      <w:r w:rsidR="001040C4">
        <w:t xml:space="preserve"> i områden </w:t>
      </w:r>
      <w:r w:rsidR="00F54CDD">
        <w:t xml:space="preserve">grundare än </w:t>
      </w:r>
      <w:r w:rsidR="002E2677">
        <w:t>6 meter</w:t>
      </w:r>
      <w:r w:rsidR="00F54CDD">
        <w:t xml:space="preserve">. </w:t>
      </w:r>
      <w:r w:rsidR="002E2677">
        <w:t xml:space="preserve">Metoden </w:t>
      </w:r>
      <w:r>
        <w:t xml:space="preserve">har utvärderats på västkusten </w:t>
      </w:r>
      <w:r w:rsidR="002E2677">
        <w:t xml:space="preserve">men befintliga inventeringsmetoder </w:t>
      </w:r>
      <w:r w:rsidR="00650E11">
        <w:t xml:space="preserve">för kustfisk </w:t>
      </w:r>
      <w:r w:rsidR="002E2677">
        <w:t xml:space="preserve">bedömdes </w:t>
      </w:r>
      <w:r w:rsidR="00650E11">
        <w:t xml:space="preserve">där vara </w:t>
      </w:r>
      <w:r w:rsidR="002E2677">
        <w:t>mer kostnadseffektiva (</w:t>
      </w:r>
      <w:r w:rsidR="00644C7A">
        <w:t>Bergström m fl 2017</w:t>
      </w:r>
      <w:r w:rsidR="002E2677">
        <w:t>)</w:t>
      </w:r>
      <w:r>
        <w:t xml:space="preserve">. </w:t>
      </w:r>
      <w:r w:rsidR="00BA0426">
        <w:t>Yngelinventeringar från 15 kustvattentyper har inkluderats i denna rapport (se karta och tabell sektion 1).</w:t>
      </w:r>
    </w:p>
    <w:p w14:paraId="389CBDE2" w14:textId="36359CD2" w:rsidR="00B466E2" w:rsidRPr="008F5230" w:rsidRDefault="005E2A7E" w:rsidP="00B466E2">
      <w:pPr>
        <w:pStyle w:val="Brdtext"/>
        <w:rPr>
          <w:u w:val="single"/>
        </w:rPr>
      </w:pPr>
      <w:r w:rsidRPr="008F5230">
        <w:rPr>
          <w:u w:val="single"/>
        </w:rPr>
        <w:t>Bedömningsmetod</w:t>
      </w:r>
    </w:p>
    <w:p w14:paraId="6D952A57" w14:textId="29DA61B9" w:rsidR="001E6964" w:rsidRDefault="00914459" w:rsidP="0009349B">
      <w:pPr>
        <w:pStyle w:val="Brdtext"/>
      </w:pPr>
      <w:r>
        <w:t xml:space="preserve">På basen av ovan nämnda yngelinventeringar användes de observerade förekomsterna av yngel </w:t>
      </w:r>
      <w:r w:rsidR="00CF6C7B">
        <w:t xml:space="preserve">per kustvattentyp. </w:t>
      </w:r>
      <w:r w:rsidR="00EE23DD">
        <w:t>O</w:t>
      </w:r>
      <w:r w:rsidR="00CF6C7B">
        <w:t>bserverade förekomster inom inventerade miljöintervall användes för att avgränsa potentiella rekryteringsmiljöer i GIS. Exempelvis</w:t>
      </w:r>
      <w:r w:rsidR="008C0874">
        <w:t>;</w:t>
      </w:r>
      <w:r w:rsidR="00CF6C7B">
        <w:t xml:space="preserve"> om abborre förekommit mellan noll och fyra meters djup, samt i vågexponeringsintervallet noll till 10 000 m</w:t>
      </w:r>
      <w:r w:rsidR="00CF6C7B" w:rsidRPr="00CF6C7B">
        <w:rPr>
          <w:vertAlign w:val="superscript"/>
        </w:rPr>
        <w:t>2</w:t>
      </w:r>
      <w:r w:rsidR="00CF6C7B">
        <w:t>s</w:t>
      </w:r>
      <w:r w:rsidR="00CF6C7B" w:rsidRPr="00CF6C7B">
        <w:rPr>
          <w:vertAlign w:val="superscript"/>
        </w:rPr>
        <w:t>-1</w:t>
      </w:r>
      <w:r w:rsidR="00CF6C7B">
        <w:t xml:space="preserve"> (skyddade områden) i kustvattentyp A, har GIS-kartor över djup och vågexponering begränsats till dessa värden</w:t>
      </w:r>
      <w:r w:rsidR="00566C10">
        <w:t xml:space="preserve"> i kustvattentyp A</w:t>
      </w:r>
      <w:r w:rsidR="00CF6C7B">
        <w:t>. Slutligen beräknades storleken på det område</w:t>
      </w:r>
      <w:r w:rsidR="00DB46D9">
        <w:t xml:space="preserve"> </w:t>
      </w:r>
      <w:r w:rsidR="008A0505">
        <w:t xml:space="preserve">inom kustvattentypen som karaktäriserades av miljöintervallet </w:t>
      </w:r>
      <w:r w:rsidR="00CF6C7B">
        <w:t xml:space="preserve">och dividerades med </w:t>
      </w:r>
      <w:r w:rsidR="00CF6C7B">
        <w:lastRenderedPageBreak/>
        <w:t xml:space="preserve">kustvattentypens </w:t>
      </w:r>
      <w:r w:rsidR="00DB46D9">
        <w:t xml:space="preserve">totala </w:t>
      </w:r>
      <w:r w:rsidR="00CF6C7B">
        <w:t xml:space="preserve">area för att uttrycka det på en relativ skala jämförbar mellan kustvattentyper. Beräkningarna har gjorts för abborre, gädda och mört, vars rekryteringsmiljöer till stor del överlappar med varandra </w:t>
      </w:r>
      <w:r w:rsidR="00CF6C7B">
        <w:fldChar w:fldCharType="begin"/>
      </w:r>
      <w:r w:rsidR="00CF6C7B">
        <w:instrText xml:space="preserve"> ADDIN ZOTERO_ITEM CSL_CITATION {"citationID":"aigbe7ca8u","properties":{"formattedCitation":"(Snickars et al. 2009, Sundblad et al. 2011)","plainCitation":"(Snickars et al. 2009, Sundblad et al. 2011)"},"citationItems":[{"id":2733,"uris":["http://zotero.org/users/local/LOrUhVSw/items/XZKK2G3E"],"uri":["http://zotero.org/users/local/LOrUhVSw/items/XZKK2G3E"],"itemData":{"id":2733,"type":"article-journal","title":"Fish assemblages in coastal lagoons in land-uplift succession: The relative importance of local and regional environmental gradients","container-title":"Estuarine, Coastal and Shelf Science","page":"247-256","volume":"81","issue":"2","abstract":"The assemblages of young-of-the-year fish were studied in coastal lagoons in an archipelago with post-glacial land-uplift, which affects environmental gradients at local and regional scale, i.e. lagoon habitat isolation and archipelago position, respectively. The categorisation of 40 undisturbed lagoons into nine habitat types based on habitat isolation and archipelago position was supported by clear relationships with spring temperature and total fish abundance. Rutilus rutilus, breams (Abramis/Blicca sp.) and Perca fluviatilis were the most abundant and frequently occurring species. The fish assemblage differed among the nine habitat types. Rutilus rutilus, P. fluviatilis and breams were discriminating species in the majority of habitat types with low physical harshness, whereas Alburnus alburnus and Gasterosteus aculeatus increased their contributions in habitat types with high physical harshness. Rutilus rutilus and breams were thus common in lagoons with high habitat isolation situated in the inner archipelago. These lagoons were characterised by warm water and high vegetation coverage. Gasterosteus aculeatus was restricted to lagoons with low habitat isolation and exposure and low vegetation coverage, situated in the outer archipelago. Perca fluviatilis had the widest distribution of all species. The coverage of two macrophytes, Potamogeton perfoliatus and Zannichellia palustris, and salinity matched best the distance among habitat types. These habitat characteristics, as well as the fish abundances and assemblages differed most across the habitat types in the outer and mid archipelago zones and in the lowest habitat isolation. These patterns suggest that the structuring effect of habitat isolation increases along the archipelago gradient as differences between local and regional conditions increase. In the inner archipelago, overall low physical harshness induces homogeneous conditions and the habitat isolation is less important here than in the other zones. We suggest that this difference in the relative importance of the two gradients depending on the level of respective gradient ultimately forms these heterogeneous coastal habitats in a successional landscape. Rutilus rutilus and P. fluviatilis were responsible for large parts of the assemblage patterns. Although sympatric due to similar habitat requirements, differences in dispersal capability, competitive ability and predation vulnerability may add explanation to detected differences in distribution and abundance in these two species in an open system. Our results also stress the structuring role of vegetation in terms of total coverage and species composition, as these two aspects of macrophyte diversity may act as complementary habitat modifiers across gradients of physical harshness.","shortTitle":"Fish assemblages in coastal lagoons in land-uplift succession: The relative importance of local and regional environmental gradients","author":[{"family":"Snickars","given":"M."},{"family":"Sandström","given":"A."},{"family":"Lappalainen","given":"A."},{"family":"Mattila","given":"J."},{"family":"Rosqvist","given":"K."},{"family":"Urho","given":"L."}],"issued":{"date-parts":[["2009"]]}}},{"id":3131,"uris":["http://zotero.org/users/local/LOrUhVSw/items/JGVWUZAV"],"uri":["http://zotero.org/users/local/LOrUhVSw/items/JGVWUZAV"],"itemData":{"id":3131,"type":"article-journal","title":"Ecological coherence of marine protected area networks: a spatial assessment using species distribution models","container-title":"Journal of Applied Ecology","page":"112-120","volume":"48","issue":"1","abstract":"1. The juvenile stages of fish are often dependent on specific habitat types for their survival. Protecting\nthese habitats may be crucial for maintaining strong adult stocks. The Natura 2000 network of\nthe European Union offers protection of marine habitats that are essential for the recruitment of\nmany fish species. By protecting these critical habitats the network may be important for maintaining\nthe stocks of these fish species.\n2. We present a spatially explicit, GIS-based, assessment of two important components of the ecological\ncoherence of Marine Protected Area (MPA) networks: representativity and connectivity.\nRepresentativity can be measured as the proportion of each conservation feature that is protected,\nwhereas connectivity assesses the spatial configuration of the network. We apply these analyses to\nstudy the ecological coherence of the Natura 2000 network in a 30 000-km2 archipelago in the Baltic\nSea, with respect to a coastal fish assemblage and associated habitats. The analyses are based on fish\ndistribution maps that have been constructed by statistically relating life stage specific occurrence to\nenvironmental variables, and thereafter making spatial predictions based on maps of the environmental\nvariables.\n3. The map-based analyses show that both the representativity and the connectivity of the network\nare poor with respect to the studied fish species. In total, 3.5% (11 km2) of the assemblage recruitment\nhabitat was protected and 48% of the potentially connected habitats were included in the\nMPAnetwork.\n4. The assessment explicitly identified geographical areas, visually communicated using maps,\nwhere the network should be improved to ensure ecological coherence.\n5. Synthesis and applications. Many MPA networks around the world, such as the Natura\n2000 network in Europe, have recently come into effect. Establishment of the networks has\noften been governed by opportunity rather than by strict ecological analyses, primarily\nbecause distribution maps of species and habitats have been unavailable. Map-based assessments\nof the strengths and weaknesses of evolving MPA networks, such as the one presented\nhere, are needed in adaptive management. They can provide an efficient tool for visualising\nand communicating the results to stakeholders and policy makers in the process of working\ntowards ecological coherence.","DOI":"10.1111/j.1365-2664.2010.01892.x","shortTitle":"Ecological coherence of marine protected area networks: a spatial assessment using species distribution models","author":[{"family":"Sundblad","given":"G."},{"family":"Bergström","given":"U."},{"family":"Sandström","given":"A."}],"issued":{"date-parts":[["2011"]]}}}],"schema":"https://github.com/citation-style-language/schema/raw/master/csl-citation.json"} </w:instrText>
      </w:r>
      <w:r w:rsidR="00CF6C7B">
        <w:fldChar w:fldCharType="separate"/>
      </w:r>
      <w:r w:rsidR="00CF6C7B" w:rsidRPr="00CF6C7B">
        <w:t xml:space="preserve">(Snickars </w:t>
      </w:r>
      <w:r w:rsidR="00EE1A5E">
        <w:t>m fl</w:t>
      </w:r>
      <w:r w:rsidR="00CF6C7B" w:rsidRPr="00CF6C7B">
        <w:t xml:space="preserve"> 2009, Sundblad </w:t>
      </w:r>
      <w:r w:rsidR="00EE1A5E">
        <w:t>m fl</w:t>
      </w:r>
      <w:r w:rsidR="00CF6C7B" w:rsidRPr="00CF6C7B">
        <w:t xml:space="preserve"> 2011)</w:t>
      </w:r>
      <w:r w:rsidR="00CF6C7B">
        <w:fldChar w:fldCharType="end"/>
      </w:r>
      <w:r w:rsidR="00CF6C7B">
        <w:t xml:space="preserve">. Skillnader mellan arterna har använts för att beräkna osäkerheten i skattningen, vilket innebär att indikatorn indikerar mängden gemensamt habitat för två viktiga rovfiskar och mört (som paraplyart för flertalet cyprinider), samt osäkerheten i skattningen av det gemensamma habitatet. </w:t>
      </w:r>
    </w:p>
    <w:p w14:paraId="48E8B90F" w14:textId="4FB28AB6" w:rsidR="00F87DD4" w:rsidRPr="00674F21" w:rsidRDefault="0070387B" w:rsidP="00F87DD4">
      <w:pPr>
        <w:pStyle w:val="Brdtext"/>
        <w:rPr>
          <w:b/>
        </w:rPr>
      </w:pPr>
      <w:r w:rsidRPr="00674F21">
        <w:rPr>
          <w:b/>
        </w:rPr>
        <w:t xml:space="preserve">2.3. </w:t>
      </w:r>
      <w:r w:rsidR="00F87DD4" w:rsidRPr="00674F21">
        <w:rPr>
          <w:b/>
        </w:rPr>
        <w:t>Result</w:t>
      </w:r>
      <w:r w:rsidR="00977295" w:rsidRPr="00674F21">
        <w:rPr>
          <w:b/>
        </w:rPr>
        <w:t>at</w:t>
      </w:r>
      <w:r w:rsidR="00F87DD4" w:rsidRPr="00674F21">
        <w:rPr>
          <w:b/>
        </w:rPr>
        <w:t xml:space="preserve">. </w:t>
      </w:r>
    </w:p>
    <w:p w14:paraId="15CB99CB" w14:textId="16C5A51B" w:rsidR="00C03D44" w:rsidRDefault="0022504F" w:rsidP="00C03D44">
      <w:pPr>
        <w:pStyle w:val="Brdtext"/>
      </w:pPr>
      <w:r>
        <w:t xml:space="preserve">Baserat på </w:t>
      </w:r>
      <w:r w:rsidR="007D6AB4">
        <w:t xml:space="preserve">information om </w:t>
      </w:r>
      <w:r>
        <w:t>vattendjup och vågexponering har k</w:t>
      </w:r>
      <w:r w:rsidR="00C03D44">
        <w:t>ustvatten i inner- och mellanskärgårdar mer potentiell</w:t>
      </w:r>
      <w:r w:rsidR="0097746A">
        <w:t>a</w:t>
      </w:r>
      <w:r w:rsidR="00C03D44">
        <w:t xml:space="preserve"> rekryterings</w:t>
      </w:r>
      <w:r w:rsidR="0097746A">
        <w:t>habitat</w:t>
      </w:r>
      <w:r w:rsidR="00C03D44">
        <w:t xml:space="preserve"> än kustvatten i ytterskärgårdar (Fig. 1</w:t>
      </w:r>
      <w:r w:rsidR="0067501E">
        <w:t xml:space="preserve"> </w:t>
      </w:r>
      <w:r w:rsidR="009779A0">
        <w:t>&amp; 2</w:t>
      </w:r>
      <w:r w:rsidR="00C03D44">
        <w:t>). Överlag var det stor samstämmighet mellan kustvattentyper i inner- och mellanskärgårdarna respektive mellan kustvatten i ytterskärgårdarna</w:t>
      </w:r>
      <w:r w:rsidR="00724EAD">
        <w:t xml:space="preserve"> i mängden potentiella</w:t>
      </w:r>
      <w:r w:rsidR="003852A1">
        <w:t xml:space="preserve"> habitat</w:t>
      </w:r>
      <w:r w:rsidR="00C03D44">
        <w:t xml:space="preserve">. Både </w:t>
      </w:r>
      <w:r w:rsidR="00553AFD">
        <w:t xml:space="preserve">de </w:t>
      </w:r>
      <w:r w:rsidR="00C03D44">
        <w:t xml:space="preserve">inre och yttre kustvattnen i Blekinge skärgårds och Kalmarsunds kustvatten (nr 8. och 9.) </w:t>
      </w:r>
      <w:r w:rsidR="006C4BA3">
        <w:t xml:space="preserve">var de områden som </w:t>
      </w:r>
      <w:r w:rsidR="00C03D44">
        <w:t>avvek mest från övriga områden, med större andelar potentiell livsmiljö</w:t>
      </w:r>
      <w:r w:rsidR="006C4BA3">
        <w:t>. Däremot hade kustvattentypen</w:t>
      </w:r>
      <w:r w:rsidR="00C03D44">
        <w:t xml:space="preserve"> 18. </w:t>
      </w:r>
      <w:r w:rsidR="00C03D44" w:rsidRPr="00674F21">
        <w:rPr>
          <w:i/>
        </w:rPr>
        <w:t>Norra Bottenhavet, Höga kustens inre kustvatten</w:t>
      </w:r>
      <w:r w:rsidR="00C03D44">
        <w:t xml:space="preserve"> en lägre andel potentiell livsmiljö än medelvärdet för alla </w:t>
      </w:r>
      <w:r w:rsidR="00D3105C">
        <w:t xml:space="preserve">andra </w:t>
      </w:r>
      <w:r w:rsidR="00C03D44">
        <w:t>områden</w:t>
      </w:r>
      <w:r w:rsidR="00D3105C">
        <w:t xml:space="preserve"> i innerskärgården</w:t>
      </w:r>
      <w:r w:rsidR="00C03D44">
        <w:t xml:space="preserve">. </w:t>
      </w:r>
      <w:r w:rsidR="00F040CA">
        <w:t xml:space="preserve">Den metod som använts har </w:t>
      </w:r>
      <w:r w:rsidR="000B33F7">
        <w:t xml:space="preserve">dock </w:t>
      </w:r>
      <w:r w:rsidR="00E82E13">
        <w:t>endast beaktat</w:t>
      </w:r>
      <w:r w:rsidR="00F040CA">
        <w:t xml:space="preserve"> djup och vågexponering</w:t>
      </w:r>
      <w:r w:rsidR="000B33F7">
        <w:t>. D</w:t>
      </w:r>
      <w:r w:rsidR="00F040CA">
        <w:t xml:space="preserve">en beräknade utbredningen av livsmiljöer kan </w:t>
      </w:r>
      <w:r w:rsidR="00E82E13">
        <w:t xml:space="preserve">därmed </w:t>
      </w:r>
      <w:r w:rsidR="00F040CA">
        <w:t xml:space="preserve">komma att förändras om fler </w:t>
      </w:r>
      <w:r w:rsidR="00E82E13">
        <w:t>miljövariabler eller påverkans</w:t>
      </w:r>
      <w:r w:rsidR="00F040CA">
        <w:t>faktorer beaktas.</w:t>
      </w:r>
    </w:p>
    <w:p w14:paraId="3649404E" w14:textId="64791F36" w:rsidR="006F5EDC" w:rsidRDefault="006F5EDC" w:rsidP="00F87DD4">
      <w:pPr>
        <w:pStyle w:val="Brdtext"/>
      </w:pPr>
    </w:p>
    <w:p w14:paraId="2EB63385" w14:textId="77777777" w:rsidR="00E57FDF" w:rsidRDefault="00E57FDF" w:rsidP="00E57FDF">
      <w:pPr>
        <w:tabs>
          <w:tab w:val="clear" w:pos="5041"/>
        </w:tabs>
        <w:spacing w:after="0"/>
        <w:jc w:val="both"/>
        <w:rPr>
          <w:noProof/>
        </w:rPr>
      </w:pPr>
      <w:r>
        <w:rPr>
          <w:noProof/>
        </w:rPr>
        <w:drawing>
          <wp:inline distT="0" distB="0" distL="0" distR="0" wp14:anchorId="0F2D1C8E" wp14:editId="6CADA4B9">
            <wp:extent cx="5227093" cy="3091218"/>
            <wp:effectExtent l="0" t="0" r="12065" b="1397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E34079" w14:textId="2E2EE9F6" w:rsidR="00E57FDF" w:rsidRPr="00691ED1" w:rsidRDefault="00E57FDF" w:rsidP="00CE55E3">
      <w:pPr>
        <w:pStyle w:val="Brdtext"/>
        <w:rPr>
          <w:i/>
        </w:rPr>
      </w:pPr>
      <w:r w:rsidRPr="00691ED1">
        <w:t xml:space="preserve">Figur 1. Andel av kustvattentyp </w:t>
      </w:r>
      <w:r w:rsidR="007D6AB4">
        <w:t>som beräknats vara</w:t>
      </w:r>
      <w:r w:rsidRPr="00691ED1">
        <w:t xml:space="preserve"> potentiellt rekryteringsområde för abborre, gädda och mört. Den heldragna linjen är medelvärdet för alla kustvattentyper, den övre streckade linjen är medel av kustvatten i inner- och mellanskärgårdarna (grå staplar), och den nedre prickade linjen är medel av kustvatten i ytterskärgårdar (vita staplar). Osäkerheten i bedömningen visas </w:t>
      </w:r>
      <w:r w:rsidR="00576D4C">
        <w:t>som</w:t>
      </w:r>
      <w:r w:rsidRPr="00691ED1">
        <w:t xml:space="preserve"> standardfel</w:t>
      </w:r>
      <w:r w:rsidR="00576D4C">
        <w:t>et mellan resultat för</w:t>
      </w:r>
      <w:r w:rsidRPr="00691ED1">
        <w:t xml:space="preserve"> de tre arterna. Förklaring till siffrorna: 8</w:t>
      </w:r>
      <w:r w:rsidRPr="00691ED1">
        <w:rPr>
          <w:i/>
        </w:rPr>
        <w:t xml:space="preserve">. Blekinge skärgårds och Kalmarsunds inre kustvatten </w:t>
      </w:r>
      <w:r w:rsidRPr="00691ED1">
        <w:t>9</w:t>
      </w:r>
      <w:r w:rsidRPr="00691ED1">
        <w:rPr>
          <w:i/>
        </w:rPr>
        <w:t xml:space="preserve">. Blekinge skärgård, och Kalmarsunds yttre kustvatten </w:t>
      </w:r>
      <w:r w:rsidRPr="00691ED1">
        <w:t>12s</w:t>
      </w:r>
      <w:r w:rsidRPr="00691ED1">
        <w:rPr>
          <w:i/>
        </w:rPr>
        <w:t xml:space="preserve">. Östergötlands samt Stockholms skärgård, mellankustvatten Södra </w:t>
      </w:r>
      <w:r w:rsidRPr="00691ED1">
        <w:t>14</w:t>
      </w:r>
      <w:r w:rsidRPr="00691ED1">
        <w:rPr>
          <w:i/>
        </w:rPr>
        <w:t xml:space="preserve">. Östergötlands, yttre kustvatten 12n. Östergötlands samt Stockholms skärgård, mellankustvatten Norra </w:t>
      </w:r>
      <w:r w:rsidRPr="00691ED1">
        <w:t>15</w:t>
      </w:r>
      <w:r w:rsidRPr="00691ED1">
        <w:rPr>
          <w:i/>
        </w:rPr>
        <w:t xml:space="preserve">. Stockholms skärgård, yttre kustvatten </w:t>
      </w:r>
      <w:r w:rsidRPr="00691ED1">
        <w:lastRenderedPageBreak/>
        <w:t>16</w:t>
      </w:r>
      <w:r w:rsidRPr="00691ED1">
        <w:rPr>
          <w:i/>
        </w:rPr>
        <w:t xml:space="preserve">. Södra Bottenhavet, inre kustvatten </w:t>
      </w:r>
      <w:r w:rsidRPr="00691ED1">
        <w:t>17</w:t>
      </w:r>
      <w:r w:rsidRPr="00691ED1">
        <w:rPr>
          <w:i/>
        </w:rPr>
        <w:t xml:space="preserve">. Södra Bottenhavet, yttre kustvatten </w:t>
      </w:r>
      <w:r w:rsidRPr="00691ED1">
        <w:t>18</w:t>
      </w:r>
      <w:r w:rsidRPr="00691ED1">
        <w:rPr>
          <w:i/>
        </w:rPr>
        <w:t xml:space="preserve">. Norra Bottenhavet, Höga kustens inre kustvatten </w:t>
      </w:r>
      <w:r w:rsidRPr="00691ED1">
        <w:t>19</w:t>
      </w:r>
      <w:r w:rsidRPr="00691ED1">
        <w:rPr>
          <w:i/>
        </w:rPr>
        <w:t xml:space="preserve">. Norra Bottenhavet, Höga kustens yttre kustvatten </w:t>
      </w:r>
      <w:r w:rsidRPr="00691ED1">
        <w:t>20</w:t>
      </w:r>
      <w:r w:rsidRPr="00691ED1">
        <w:rPr>
          <w:i/>
        </w:rPr>
        <w:t xml:space="preserve">. Norra Kvarkens inre kustvatten </w:t>
      </w:r>
      <w:r w:rsidRPr="00691ED1">
        <w:t>21</w:t>
      </w:r>
      <w:r w:rsidRPr="00691ED1">
        <w:rPr>
          <w:i/>
        </w:rPr>
        <w:t xml:space="preserve">. Norra Kvarkens yttre kustvatten </w:t>
      </w:r>
      <w:r w:rsidRPr="00691ED1">
        <w:t>22</w:t>
      </w:r>
      <w:r w:rsidRPr="00691ED1">
        <w:rPr>
          <w:i/>
        </w:rPr>
        <w:t xml:space="preserve">. Bottenviken, inre kustvatten </w:t>
      </w:r>
      <w:r w:rsidRPr="00691ED1">
        <w:t>23</w:t>
      </w:r>
      <w:r w:rsidRPr="00691ED1">
        <w:rPr>
          <w:i/>
        </w:rPr>
        <w:t xml:space="preserve">. Bottenviken, yttre kustvatten </w:t>
      </w:r>
      <w:r w:rsidRPr="00691ED1">
        <w:t>24</w:t>
      </w:r>
      <w:r w:rsidRPr="00691ED1">
        <w:rPr>
          <w:i/>
        </w:rPr>
        <w:t>. Stockholms inre Skärgård och Hallsfjärden</w:t>
      </w:r>
      <w:r w:rsidR="00CE55E3" w:rsidRPr="00691ED1">
        <w:rPr>
          <w:i/>
        </w:rPr>
        <w:t>.</w:t>
      </w:r>
    </w:p>
    <w:p w14:paraId="48DDD726" w14:textId="6E62D8B3" w:rsidR="006D0133" w:rsidRDefault="00AF64E1" w:rsidP="00CE55E3">
      <w:pPr>
        <w:pStyle w:val="Brdtext"/>
      </w:pPr>
      <w:r>
        <w:rPr>
          <w:noProof/>
          <w:lang w:eastAsia="sv-SE"/>
        </w:rPr>
        <w:drawing>
          <wp:inline distT="0" distB="0" distL="0" distR="0" wp14:anchorId="61204E9A" wp14:editId="2EDFFC2A">
            <wp:extent cx="4211111" cy="595042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 kustfisk Östersjön 170412.jpg"/>
                    <pic:cNvPicPr/>
                  </pic:nvPicPr>
                  <pic:blipFill>
                    <a:blip r:embed="rId10">
                      <a:extLst>
                        <a:ext uri="{28A0092B-C50C-407E-A947-70E740481C1C}">
                          <a14:useLocalDpi xmlns:a14="http://schemas.microsoft.com/office/drawing/2010/main" val="0"/>
                        </a:ext>
                      </a:extLst>
                    </a:blip>
                    <a:stretch>
                      <a:fillRect/>
                    </a:stretch>
                  </pic:blipFill>
                  <pic:spPr>
                    <a:xfrm>
                      <a:off x="0" y="0"/>
                      <a:ext cx="4214627" cy="5955392"/>
                    </a:xfrm>
                    <a:prstGeom prst="rect">
                      <a:avLst/>
                    </a:prstGeom>
                  </pic:spPr>
                </pic:pic>
              </a:graphicData>
            </a:graphic>
          </wp:inline>
        </w:drawing>
      </w:r>
    </w:p>
    <w:p w14:paraId="508918C0" w14:textId="68CA74E2" w:rsidR="009779A0" w:rsidRPr="008B2D3D" w:rsidRDefault="009779A0" w:rsidP="00CE55E3">
      <w:pPr>
        <w:pStyle w:val="Brdtext"/>
      </w:pPr>
      <w:r w:rsidRPr="008B2D3D">
        <w:t>Figur 2</w:t>
      </w:r>
      <w:r w:rsidR="00AF64E1" w:rsidRPr="008B2D3D">
        <w:t>a</w:t>
      </w:r>
      <w:r w:rsidRPr="008B2D3D">
        <w:t xml:space="preserve">. </w:t>
      </w:r>
      <w:r w:rsidR="00CE55E3" w:rsidRPr="008B2D3D">
        <w:t xml:space="preserve">Kartor över andelen potentiellt rekryteringshabitat för kustfisk (abborre, gädda och mört) per bedömningsområde (kustvattentyp). NA (vit) indikerar att ingen prediktion för kustvattentypen är möjlig på grund av avsaknad av provfiskedata. Den första kartan visar hela </w:t>
      </w:r>
      <w:r w:rsidR="00AF64E1" w:rsidRPr="008B2D3D">
        <w:t xml:space="preserve">Östersjön (per kustvattentyp). </w:t>
      </w:r>
      <w:r w:rsidR="00CE55E3" w:rsidRPr="008B2D3D">
        <w:t>Därefter visas två kartor per kustvattentyp i större upplösning för den södra respektive norra delen av Östersjökusten. För detaljerade resultat se figur 1 ovan.</w:t>
      </w:r>
    </w:p>
    <w:p w14:paraId="57F7429E" w14:textId="70DD0C9C" w:rsidR="00AF64E1" w:rsidRDefault="00AF64E1" w:rsidP="00CE55E3">
      <w:pPr>
        <w:pStyle w:val="Brdtext"/>
      </w:pPr>
      <w:r>
        <w:rPr>
          <w:noProof/>
          <w:lang w:eastAsia="sv-SE"/>
        </w:rPr>
        <w:lastRenderedPageBreak/>
        <w:drawing>
          <wp:inline distT="0" distB="0" distL="0" distR="0" wp14:anchorId="6B39AD96" wp14:editId="03F64C60">
            <wp:extent cx="5760720" cy="814006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bitat kustfis Östersjön_Södra 170412.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0065"/>
                    </a:xfrm>
                    <a:prstGeom prst="rect">
                      <a:avLst/>
                    </a:prstGeom>
                  </pic:spPr>
                </pic:pic>
              </a:graphicData>
            </a:graphic>
          </wp:inline>
        </w:drawing>
      </w:r>
    </w:p>
    <w:p w14:paraId="43C37C5E" w14:textId="65BAFF69" w:rsidR="00AF64E1" w:rsidRPr="008B2D3D" w:rsidRDefault="00AF64E1" w:rsidP="00CE55E3">
      <w:pPr>
        <w:pStyle w:val="Brdtext"/>
      </w:pPr>
      <w:r w:rsidRPr="008B2D3D">
        <w:t>Figur 2b. Södra delen av Östersjökusten.</w:t>
      </w:r>
    </w:p>
    <w:p w14:paraId="39F30288" w14:textId="0A49187D" w:rsidR="00AF64E1" w:rsidRDefault="00AF64E1" w:rsidP="00CE55E3">
      <w:pPr>
        <w:pStyle w:val="Brdtext"/>
      </w:pPr>
      <w:r>
        <w:rPr>
          <w:noProof/>
          <w:lang w:eastAsia="sv-SE"/>
        </w:rPr>
        <w:lastRenderedPageBreak/>
        <w:drawing>
          <wp:inline distT="0" distB="0" distL="0" distR="0" wp14:anchorId="313D27F0" wp14:editId="7205B8DF">
            <wp:extent cx="5760720" cy="814006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bitat kustfisk Östersjön_norra_17041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0065"/>
                    </a:xfrm>
                    <a:prstGeom prst="rect">
                      <a:avLst/>
                    </a:prstGeom>
                  </pic:spPr>
                </pic:pic>
              </a:graphicData>
            </a:graphic>
          </wp:inline>
        </w:drawing>
      </w:r>
    </w:p>
    <w:p w14:paraId="60922A30" w14:textId="589BA2A2" w:rsidR="00AF64E1" w:rsidRPr="008B2D3D" w:rsidRDefault="00AF64E1" w:rsidP="00CE55E3">
      <w:pPr>
        <w:pStyle w:val="Brdtext"/>
      </w:pPr>
      <w:r w:rsidRPr="008B2D3D">
        <w:t>Figur 2c. Norra delen av Östersjökusten.</w:t>
      </w:r>
    </w:p>
    <w:p w14:paraId="42D84CF7" w14:textId="77777777" w:rsidR="006F5EDC" w:rsidRDefault="006F5EDC" w:rsidP="007C6A94">
      <w:pPr>
        <w:pStyle w:val="Brdtext"/>
      </w:pPr>
    </w:p>
    <w:p w14:paraId="23104DC4" w14:textId="2E52ADC8" w:rsidR="009E23BB" w:rsidRPr="008B2D3D" w:rsidRDefault="00F87DD4" w:rsidP="007C6A94">
      <w:pPr>
        <w:pStyle w:val="Brdtext"/>
        <w:rPr>
          <w:b/>
        </w:rPr>
      </w:pPr>
      <w:r w:rsidRPr="008B2D3D">
        <w:rPr>
          <w:b/>
        </w:rPr>
        <w:lastRenderedPageBreak/>
        <w:t>2.4. Dis</w:t>
      </w:r>
      <w:r w:rsidR="008A0505" w:rsidRPr="008B2D3D">
        <w:rPr>
          <w:b/>
        </w:rPr>
        <w:t>k</w:t>
      </w:r>
      <w:r w:rsidRPr="008B2D3D">
        <w:rPr>
          <w:b/>
        </w:rPr>
        <w:t xml:space="preserve">ussion. </w:t>
      </w:r>
    </w:p>
    <w:p w14:paraId="27858C5F" w14:textId="54A872D1" w:rsidR="007639F8" w:rsidRDefault="007639F8" w:rsidP="006F5EDC">
      <w:pPr>
        <w:pStyle w:val="Brdtext"/>
      </w:pPr>
      <w:r>
        <w:t>D</w:t>
      </w:r>
      <w:r w:rsidR="00CF72B9">
        <w:t xml:space="preserve">etta faktablad ger en första bild över potentiellt tillgängliga </w:t>
      </w:r>
      <w:r w:rsidR="00695C28">
        <w:t xml:space="preserve">rekryteringshabitat </w:t>
      </w:r>
      <w:r w:rsidR="00CF72B9">
        <w:t xml:space="preserve">för abborre, gädda och mört längs Sveriges ostkust. </w:t>
      </w:r>
      <w:r w:rsidR="00FE418C">
        <w:t xml:space="preserve">Jämfört med ytterskärgårdar visar resultaten på generellt högre andelar potentiellt rekryteringshabitat i kustvattentyper i inner- och mellanskärgårdar, vilket beror på att det där finns mer skyddade grundområden. I områden med stora arealer potentiellt rekryteringshabitat kan man förvänta sig att också hitta </w:t>
      </w:r>
      <w:r w:rsidR="00516800">
        <w:t>mycket fiskyngel</w:t>
      </w:r>
      <w:r w:rsidR="00FE418C">
        <w:t xml:space="preserve"> eftersom den totala produktionsytan då blir större. Denna kartläggning skulle därmed kunna utgöra en baslinje att jämföra den verkliga förekomsten av yngel mot. </w:t>
      </w:r>
    </w:p>
    <w:p w14:paraId="0D785B63" w14:textId="1414E664" w:rsidR="00D94062" w:rsidRDefault="007639F8" w:rsidP="006F5EDC">
      <w:pPr>
        <w:pStyle w:val="Brdtext"/>
      </w:pPr>
      <w:r>
        <w:t>K</w:t>
      </w:r>
      <w:r w:rsidR="00FE418C">
        <w:t xml:space="preserve">artläggningen </w:t>
      </w:r>
      <w:r>
        <w:t xml:space="preserve">visar </w:t>
      </w:r>
      <w:r w:rsidR="00FE418C">
        <w:t>att det är relativt ont om potentiella rekryteringshabitat för varmvattenarter i ytterskärgårdarna</w:t>
      </w:r>
      <w:r w:rsidR="00D61634">
        <w:t>, som ofta är djupare och mer vågexponerade</w:t>
      </w:r>
      <w:r w:rsidR="00FE418C">
        <w:t>. En generell brist på rekryteringsområden innebär att varje enskild rekryteringsmiljö (</w:t>
      </w:r>
      <w:r w:rsidR="00484DE1">
        <w:t>våg</w:t>
      </w:r>
      <w:r w:rsidR="00FE418C">
        <w:t xml:space="preserve">skyddad vik) </w:t>
      </w:r>
      <w:r>
        <w:t xml:space="preserve">i ytterskärgårdarna </w:t>
      </w:r>
      <w:r w:rsidR="00FE418C">
        <w:t xml:space="preserve">spelar en </w:t>
      </w:r>
      <w:r>
        <w:t xml:space="preserve">relativt sett </w:t>
      </w:r>
      <w:r w:rsidR="00FE418C">
        <w:t>större roll för produktion</w:t>
      </w:r>
      <w:r w:rsidR="00D61634">
        <w:t xml:space="preserve">en av fisk. Det är dock inte bara tillgången till rekryteringshabitat som varierar mellan inner- och ytterområden. Även andra miljövariabler samt potentiella påverkansfaktorer varierar geografiskt, och möjligheten att inkludera fler variabler i den fortsatta utvecklingen av indikatorn skulle förbättra </w:t>
      </w:r>
      <w:r w:rsidR="00516800">
        <w:t xml:space="preserve">säkerhet och precision i </w:t>
      </w:r>
      <w:r w:rsidR="00D61634">
        <w:t xml:space="preserve">bedömningen. </w:t>
      </w:r>
    </w:p>
    <w:p w14:paraId="73C810EE" w14:textId="65E87543" w:rsidR="005E61EB" w:rsidRPr="0030627F" w:rsidRDefault="00484DE1" w:rsidP="0030627F">
      <w:pPr>
        <w:pStyle w:val="Brdtext"/>
      </w:pPr>
      <w:r w:rsidRPr="007C2CA4">
        <w:t xml:space="preserve">Preliminära analyser av </w:t>
      </w:r>
      <w:r w:rsidR="00831E59" w:rsidRPr="007C2CA4">
        <w:t>påverkansfaktorer</w:t>
      </w:r>
      <w:r w:rsidR="00E85F72">
        <w:t>na</w:t>
      </w:r>
      <w:r w:rsidR="00831E59" w:rsidRPr="007C2CA4">
        <w:t xml:space="preserve"> </w:t>
      </w:r>
      <w:r w:rsidRPr="007C2CA4">
        <w:t>strandnära exploatering och näringsstatus</w:t>
      </w:r>
      <w:r w:rsidR="00E85F72">
        <w:t xml:space="preserve"> visade en positiv korrelation med utbredningen av potentiella livsmiljöer. Detta är inte förvånande, då </w:t>
      </w:r>
      <w:r w:rsidRPr="007C2CA4">
        <w:t xml:space="preserve">exploateringstrycket är </w:t>
      </w:r>
      <w:r w:rsidR="00E85F72">
        <w:t xml:space="preserve">högre </w:t>
      </w:r>
      <w:r w:rsidRPr="007C2CA4">
        <w:t xml:space="preserve">i </w:t>
      </w:r>
      <w:r w:rsidR="00E85F72">
        <w:t xml:space="preserve">grundare mer vågskyddade områden </w:t>
      </w:r>
      <w:r w:rsidRPr="007C2CA4">
        <w:t>i</w:t>
      </w:r>
      <w:r w:rsidR="00E85F72">
        <w:t xml:space="preserve"> i</w:t>
      </w:r>
      <w:r w:rsidRPr="007C2CA4">
        <w:t>nnerskärgårdarna</w:t>
      </w:r>
      <w:r w:rsidR="00E85F72">
        <w:t>, vilket var vad analysen baserades på. Analysen visade inte huruvida dessa områden faktiskt fungerade som rekryteringsområden, utan endast att det finns en möjlig konflikt, framförallt i innerskärgården, kring användandet av dessa miljöer (Sundblad &amp; Bergström 2014)</w:t>
      </w:r>
      <w:r w:rsidRPr="007C2CA4">
        <w:t xml:space="preserve">. Samtidigt orsakar den relativa bristen på rekryteringsmiljöer i ytterskärgårdsområden en konflikt mellan exploatering och habitatutbredning, eftersom även </w:t>
      </w:r>
      <w:r w:rsidR="00E85F72">
        <w:t xml:space="preserve">fritidsbåtstrafiken </w:t>
      </w:r>
      <w:r w:rsidRPr="007C2CA4">
        <w:t xml:space="preserve">primärt söker sig till </w:t>
      </w:r>
      <w:r w:rsidR="0030627F" w:rsidRPr="007C2CA4">
        <w:t xml:space="preserve">de </w:t>
      </w:r>
      <w:r w:rsidRPr="007C2CA4">
        <w:t>skyddade områden</w:t>
      </w:r>
      <w:r w:rsidR="0030627F" w:rsidRPr="007C2CA4">
        <w:t xml:space="preserve"> som finns där</w:t>
      </w:r>
      <w:r w:rsidRPr="007C2CA4">
        <w:t xml:space="preserve">. </w:t>
      </w:r>
      <w:r w:rsidR="0030627F" w:rsidRPr="007C2CA4">
        <w:t xml:space="preserve">För att bättre integrera effekterna av exploatering i statusbedömningen behöver vi kunskap om hur, och i vilken omfattning, exploatering påverkar kvaliteten och den fiskproducerande funktionen hos habitaten, snarare än deras utbredning. Gällande näringsstatus </w:t>
      </w:r>
      <w:r w:rsidR="00315203">
        <w:t xml:space="preserve">påverkas de samband som ses </w:t>
      </w:r>
      <w:r w:rsidR="0030627F" w:rsidRPr="007C2CA4">
        <w:t xml:space="preserve">framförallt </w:t>
      </w:r>
      <w:r w:rsidR="00E85F72">
        <w:t xml:space="preserve">av </w:t>
      </w:r>
      <w:r w:rsidR="0030627F" w:rsidRPr="007C2CA4">
        <w:t xml:space="preserve">stora regionala skillnader längs ostkusten, med </w:t>
      </w:r>
      <w:r w:rsidR="00C07D65" w:rsidRPr="007C2CA4">
        <w:t>högre</w:t>
      </w:r>
      <w:r w:rsidR="0030627F" w:rsidRPr="007C2CA4">
        <w:t xml:space="preserve"> status </w:t>
      </w:r>
      <w:r w:rsidR="00C07D65" w:rsidRPr="007C2CA4">
        <w:t xml:space="preserve">(lägre näringsbelastning) </w:t>
      </w:r>
      <w:r w:rsidR="0030627F" w:rsidRPr="007C2CA4">
        <w:t>i Bottenhavet och Bottenviken</w:t>
      </w:r>
      <w:r w:rsidR="00E85F72">
        <w:t>.</w:t>
      </w:r>
      <w:r w:rsidR="0030627F" w:rsidRPr="007C2CA4">
        <w:t xml:space="preserve"> De</w:t>
      </w:r>
      <w:r w:rsidR="00C07D65" w:rsidRPr="007C2CA4">
        <w:t xml:space="preserve">ssa regionala skillnader överskuggar </w:t>
      </w:r>
      <w:r w:rsidR="0030627F" w:rsidRPr="007C2CA4">
        <w:t>s</w:t>
      </w:r>
      <w:r w:rsidR="00C07D65" w:rsidRPr="007C2CA4">
        <w:t>killnaderna i habitatutbredning</w:t>
      </w:r>
      <w:r w:rsidR="00315203">
        <w:t xml:space="preserve"> på mer detaljerad nivå</w:t>
      </w:r>
      <w:r w:rsidR="00C07D65" w:rsidRPr="007C2CA4">
        <w:t>. För en mer trovärdig utvärdering av möjliga samband bör man</w:t>
      </w:r>
      <w:r w:rsidR="0030627F" w:rsidRPr="007C2CA4">
        <w:t xml:space="preserve"> beakta betydelsen av siktdjup </w:t>
      </w:r>
      <w:r w:rsidR="00593474" w:rsidRPr="007C2CA4">
        <w:t xml:space="preserve">i modellerna </w:t>
      </w:r>
      <w:r w:rsidR="0030627F" w:rsidRPr="007C2CA4">
        <w:t>för re</w:t>
      </w:r>
      <w:r w:rsidR="00C07D65" w:rsidRPr="007C2CA4">
        <w:t>kryteringsmiljöernas utbredning, något som vi idag saknar data för.</w:t>
      </w:r>
    </w:p>
    <w:p w14:paraId="3062169B" w14:textId="74ADAEC9" w:rsidR="00055130" w:rsidRDefault="00B87490" w:rsidP="00B87490">
      <w:pPr>
        <w:pStyle w:val="Brdtext"/>
      </w:pPr>
      <w:r>
        <w:t xml:space="preserve">För att </w:t>
      </w:r>
      <w:r w:rsidR="00315203">
        <w:t xml:space="preserve">minska </w:t>
      </w:r>
      <w:r>
        <w:t xml:space="preserve">osäkerheter och </w:t>
      </w:r>
      <w:r w:rsidR="00315203">
        <w:t>vidareutveckla</w:t>
      </w:r>
      <w:r w:rsidR="007C2CA4">
        <w:t xml:space="preserve"> indikatorn f</w:t>
      </w:r>
      <w:r w:rsidR="006F0B77">
        <w:t>öreslår vi</w:t>
      </w:r>
      <w:r>
        <w:t xml:space="preserve"> följande </w:t>
      </w:r>
      <w:r w:rsidR="00CF72B9">
        <w:t>steg</w:t>
      </w:r>
      <w:r w:rsidR="00922243">
        <w:t>:</w:t>
      </w:r>
      <w:r w:rsidR="00CF72B9">
        <w:t xml:space="preserve"> </w:t>
      </w:r>
      <w:r w:rsidR="001C1A15">
        <w:t xml:space="preserve">1) </w:t>
      </w:r>
      <w:r w:rsidR="00CF72B9">
        <w:t>GIS-baserade k</w:t>
      </w:r>
      <w:r>
        <w:t xml:space="preserve">artunderlag för temperatur och siktdjup som täcker hela ostkusten </w:t>
      </w:r>
      <w:r w:rsidR="00A4570B">
        <w:t xml:space="preserve">och som </w:t>
      </w:r>
      <w:r>
        <w:t>har en känd precision och lämplig (hög) rumslig upplösning behöver tas fram. Även salinitet kan i det här sammanhanget vara relevant</w:t>
      </w:r>
      <w:r w:rsidR="00EA7E2D">
        <w:t xml:space="preserve"> då det har en betydelse för sammansättningen i yngelsamhället </w:t>
      </w:r>
      <w:r w:rsidR="00EA7E2D">
        <w:fldChar w:fldCharType="begin"/>
      </w:r>
      <w:r w:rsidR="00EA7E2D">
        <w:instrText xml:space="preserve"> ADDIN ZOTERO_ITEM CSL_CITATION {"citationID":"a13p2uii4o6","properties":{"formattedCitation":"(Snickars et al. 2009)","plainCitation":"(Snickars et al. 2009)"},"citationItems":[{"id":2733,"uris":["http://zotero.org/users/local/LOrUhVSw/items/XZKK2G3E"],"uri":["http://zotero.org/users/local/LOrUhVSw/items/XZKK2G3E"],"itemData":{"id":2733,"type":"article-journal","title":"Fish assemblages in coastal lagoons in land-uplift succession: The relative importance of local and regional environmental gradients","container-title":"Estuarine, Coastal and Shelf Science","page":"247-256","volume":"81","issue":"2","abstract":"The assemblages of young-of-the-year fish were studied in coastal lagoons in an archipelago with post-glacial land-uplift, which affects environmental gradients at local and regional scale, i.e. lagoon habitat isolation and archipelago position, respectively. The categorisation of 40 undisturbed lagoons into nine habitat types based on habitat isolation and archipelago position was supported by clear relationships with spring temperature and total fish abundance. Rutilus rutilus, breams (Abramis/Blicca sp.) and Perca fluviatilis were the most abundant and frequently occurring species. The fish assemblage differed among the nine habitat types. Rutilus rutilus, P. fluviatilis and breams were discriminating species in the majority of habitat types with low physical harshness, whereas Alburnus alburnus and Gasterosteus aculeatus increased their contributions in habitat types with high physical harshness. Rutilus rutilus and breams were thus common in lagoons with high habitat isolation situated in the inner archipelago. These lagoons were characterised by warm water and high vegetation coverage. Gasterosteus aculeatus was restricted to lagoons with low habitat isolation and exposure and low vegetation coverage, situated in the outer archipelago. Perca fluviatilis had the widest distribution of all species. The coverage of two macrophytes, Potamogeton perfoliatus and Zannichellia palustris, and salinity matched best the distance among habitat types. These habitat characteristics, as well as the fish abundances and assemblages differed most across the habitat types in the outer and mid archipelago zones and in the lowest habitat isolation. These patterns suggest that the structuring effect of habitat isolation increases along the archipelago gradient as differences between local and regional conditions increase. In the inner archipelago, overall low physical harshness induces homogeneous conditions and the habitat isolation is less important here than in the other zones. We suggest that this difference in the relative importance of the two gradients depending on the level of respective gradient ultimately forms these heterogeneous coastal habitats in a successional landscape. Rutilus rutilus and P. fluviatilis were responsible for large parts of the assemblage patterns. Although sympatric due to similar habitat requirements, differences in dispersal capability, competitive ability and predation vulnerability may add explanation to detected differences in distribution and abundance in these two species in an open system. Our results also stress the structuring role of vegetation in terms of total coverage and species composition, as these two aspects of macrophyte diversity may act as complementary habitat modifiers across gradients of physical harshness.","shortTitle":"Fish assemblages in coastal lagoons in land-uplift succession: The relative importance of local and regional environmental gradients","author":[{"family":"Snickars","given":"M."},{"family":"Sandström","given":"A."},{"family":"Lappalainen","given":"A."},{"family":"Mattila","given":"J."},{"family":"Rosqvist","given":"K."},{"family":"Urho","given":"L."}],"issued":{"date-parts":[["2009"]]}}}],"schema":"https://github.com/citation-style-language/schema/raw/master/csl-citation.json"} </w:instrText>
      </w:r>
      <w:r w:rsidR="00EA7E2D">
        <w:fldChar w:fldCharType="separate"/>
      </w:r>
      <w:r w:rsidR="00EA7E2D" w:rsidRPr="00EA7E2D">
        <w:t xml:space="preserve">(Snickars </w:t>
      </w:r>
      <w:r w:rsidR="00EE1A5E">
        <w:t>m fl</w:t>
      </w:r>
      <w:r w:rsidR="00EA7E2D" w:rsidRPr="00EA7E2D">
        <w:t xml:space="preserve"> 2009)</w:t>
      </w:r>
      <w:r w:rsidR="00EA7E2D">
        <w:fldChar w:fldCharType="end"/>
      </w:r>
      <w:r>
        <w:t xml:space="preserve">. </w:t>
      </w:r>
      <w:r w:rsidR="001C1A15">
        <w:t xml:space="preserve">2) </w:t>
      </w:r>
      <w:r w:rsidR="00CF72B9">
        <w:t>Relationerna mellan</w:t>
      </w:r>
      <w:r w:rsidR="00F4750E">
        <w:t xml:space="preserve"> potentiella påverkansfaktorer och </w:t>
      </w:r>
      <w:r w:rsidR="00CF72B9">
        <w:t>miljövariabler samt täthet och utbredning av yngel behöver analyseras på ett integrerat sätt</w:t>
      </w:r>
      <w:r w:rsidR="00055130">
        <w:t>, så att den relativa betydelsen av olika variabler i olika områden kan beaktas i bedömningen</w:t>
      </w:r>
      <w:r w:rsidR="00EF2732">
        <w:t xml:space="preserve">. </w:t>
      </w:r>
      <w:r w:rsidR="0056337F">
        <w:t xml:space="preserve">3) </w:t>
      </w:r>
      <w:r w:rsidR="00EF2732">
        <w:t xml:space="preserve">Analyserna behöver </w:t>
      </w:r>
      <w:r w:rsidR="00F4750E">
        <w:t xml:space="preserve">troligen </w:t>
      </w:r>
      <w:r w:rsidR="00EF2732">
        <w:t>också beakta externa faktorer</w:t>
      </w:r>
      <w:r w:rsidR="00055130">
        <w:t xml:space="preserve">, </w:t>
      </w:r>
      <w:r w:rsidR="00DF58AB">
        <w:t xml:space="preserve">det vill säga </w:t>
      </w:r>
      <w:r w:rsidR="00F4750E">
        <w:t xml:space="preserve">faktorer </w:t>
      </w:r>
      <w:r w:rsidR="00055130">
        <w:t>som inte är direkt kopplade till rekryteringen i dessa miljöer men som kan ha en stor inverkan</w:t>
      </w:r>
      <w:r w:rsidR="00EF2732">
        <w:t xml:space="preserve"> (</w:t>
      </w:r>
      <w:r w:rsidR="00F4750E">
        <w:t xml:space="preserve">till exempel storspigg och återkopplingsmekanismer i födovävarna, </w:t>
      </w:r>
      <w:r w:rsidR="00EF2732">
        <w:t xml:space="preserve">se </w:t>
      </w:r>
      <w:r w:rsidR="00DF58AB">
        <w:t>nedan</w:t>
      </w:r>
      <w:r w:rsidR="00EF2732">
        <w:t>)</w:t>
      </w:r>
      <w:r w:rsidR="00CF72B9">
        <w:t xml:space="preserve">. </w:t>
      </w:r>
    </w:p>
    <w:p w14:paraId="428C943F" w14:textId="70045592" w:rsidR="00B87490" w:rsidRDefault="00B87490" w:rsidP="00DF58AB">
      <w:pPr>
        <w:pStyle w:val="Brdtext"/>
      </w:pPr>
      <w:r>
        <w:t xml:space="preserve">Med bättre kartunderlag </w:t>
      </w:r>
      <w:r w:rsidR="00A40126">
        <w:t xml:space="preserve">över miljövariabler </w:t>
      </w:r>
      <w:r w:rsidR="00F56AC8">
        <w:t xml:space="preserve">samt en ökad förståelse för hur och när potentiella påverkansfaktorer är relevanta </w:t>
      </w:r>
      <w:r>
        <w:t>ökar möjlighete</w:t>
      </w:r>
      <w:r w:rsidR="00055130">
        <w:t xml:space="preserve">n </w:t>
      </w:r>
      <w:r w:rsidR="00F56AC8">
        <w:t xml:space="preserve">att gå från en beskrivning av potentiellt rekryteringshabitat för kustfisk till en beskrivning av den faktiska (realiserade) </w:t>
      </w:r>
      <w:r w:rsidR="00F56AC8">
        <w:lastRenderedPageBreak/>
        <w:t xml:space="preserve">utbredningen. </w:t>
      </w:r>
      <w:r w:rsidR="00DF58AB">
        <w:t xml:space="preserve">Fler och mer högupplösta miljö- och påverkansvariabler skulle öka möjligheten att kvantifiera påverkan på utbredningen av habitaten, genom att jämföra modeller med och utan påverkansfaktorer </w:t>
      </w:r>
      <w:r w:rsidR="00DF58AB">
        <w:fldChar w:fldCharType="begin"/>
      </w:r>
      <w:r w:rsidR="00DF58AB">
        <w:instrText xml:space="preserve"> ADDIN ZOTERO_ITEM CSL_CITATION {"citationID":"a14ofc28jat","properties":{"formattedCitation":"(Lindegarth et al. 2014)","plainCitation":"(Lindegarth et al. 2014)"},"citationItems":[{"id":1853,"uris":["http://zotero.org/users/local/LOrUhVSw/items/CNTBUZZ9"],"uri":["http://zotero.org/users/local/LOrUhVSw/items/CNTBUZZ9"],"itemData":{"id":1853,"type":"article-journal","title":"Testing the Potential for Predictive Modeling and Mapping and Extending Its Use as a Tool for Evaluating Management Scenarios and Economic Valuation in the Baltic Sea (PREHAB)","container-title":"Ambio","page":"82-93","volume":"43","issue":"1","abstract":"We evaluated performance of species distribution models for predictive mapping, and how models can be used to integrate human pressures into ecological and economic assessments. A selection of 77 biological variables (species, groups of species, and measures of biodiversity) across the Baltic Sea were modeled. Differences among methods, areas, predictor, and response variables were evaluated. Several methods successfully predicted abundance and occurrence of vegetation, invertebrates, fish, and functional aspects of biodiversity. Depth and substrate were among the most important predictors. Models incorporating water clarity were used to predict increasing cover of the brown alga bladderwrack Fucus vesiculosus and increasing reproduction area of perch Perca fluviatilis, but decreasing reproduction areas for pikeperch Sander lucioperca following successful implementation of the Baltic Sea Action Plan. Despite variability in estimated non-market benefits among countries, such changes were highly valued by citizens in the three Baltic countries investigated. We conclude that predictive models are powerful and useful tools for science-based management of the Baltic Sea.","DOI":"10.1007/s13280-013-0479-2","ISSN":"0044-7447","shortTitle":"Testing the Potential for Predictive Modeling and Mapping and Extending Its Use as a Tool for Evaluating Management Scenarios and Economic Valuation in the Baltic Sea (PREHAB)","author":[{"family":"Lindegarth","given":"Mats"},{"family":"Bergström","given":"Ulf"},{"family":"Mattila","given":"Johanna"},{"family":"Olenin","given":"Sergej"},{"family":"Ollikainen","given":"Markku"},{"family":"Downie","given":"Anna-Leena"},{"family":"Sundblad","given":"Göran"},{"family":"Bučas","given":"Martynas"},{"family":"Gullström","given":"Martin"},{"family":"Snickars","given":"Martin"},{"family":"Numers","given":"Mikael"},{"family":"Svensson","given":"J. Robin"},{"family":"Kosenius","given":"Anna-Kaisa"}],"issued":{"date-parts":[["2014"]]}}}],"schema":"https://github.com/citation-style-language/schema/raw/master/csl-citation.json"} </w:instrText>
      </w:r>
      <w:r w:rsidR="00DF58AB">
        <w:fldChar w:fldCharType="separate"/>
      </w:r>
      <w:r w:rsidR="00DF58AB" w:rsidRPr="00B87490">
        <w:t xml:space="preserve">(Lindegarth </w:t>
      </w:r>
      <w:r w:rsidR="00DF58AB">
        <w:t>m fl</w:t>
      </w:r>
      <w:r w:rsidR="00DF58AB" w:rsidRPr="00B87490">
        <w:t xml:space="preserve"> 2014)</w:t>
      </w:r>
      <w:r w:rsidR="00DF58AB">
        <w:fldChar w:fldCharType="end"/>
      </w:r>
      <w:r w:rsidR="00DF58AB">
        <w:t>. Att beakta fler och mer högupplösta</w:t>
      </w:r>
      <w:r w:rsidR="00F4750E">
        <w:t xml:space="preserve"> miljövariabler och påverkansfaktorer </w:t>
      </w:r>
      <w:r w:rsidR="00DF58AB">
        <w:t xml:space="preserve">skulle dessutom ytterligare begränsa den potentiella utbredningen, som nu endast baseras på djup och vågexponering, för att </w:t>
      </w:r>
      <w:r w:rsidR="00F4750E">
        <w:t>slutligen närma sig en beskrivning av den faktiska utbredningen</w:t>
      </w:r>
      <w:r w:rsidR="00DF58AB">
        <w:t>, ett bättre mått på statusen av livsmiljöernas utbredning. D</w:t>
      </w:r>
      <w:r w:rsidR="00F56AC8">
        <w:t xml:space="preserve">e enklare modelleringsmetoder vi använt </w:t>
      </w:r>
      <w:r w:rsidR="005937B9">
        <w:t xml:space="preserve">oss av </w:t>
      </w:r>
      <w:r w:rsidR="00F56AC8">
        <w:t xml:space="preserve">för dessa preliminära bedömningar </w:t>
      </w:r>
      <w:r w:rsidR="00DF58AB">
        <w:t xml:space="preserve">kan dock </w:t>
      </w:r>
      <w:r w:rsidR="00F56AC8">
        <w:t>ses som ett första steg mot</w:t>
      </w:r>
      <w:r w:rsidR="00DF58AB">
        <w:t xml:space="preserve"> en form av baslinje</w:t>
      </w:r>
      <w:r w:rsidR="00F56AC8">
        <w:t xml:space="preserve">. </w:t>
      </w:r>
    </w:p>
    <w:p w14:paraId="37F0383A" w14:textId="27EC22D2" w:rsidR="008A445E" w:rsidRDefault="00295BEA" w:rsidP="00B87490">
      <w:pPr>
        <w:pStyle w:val="Brdtext"/>
      </w:pPr>
      <w:r>
        <w:t>Andra</w:t>
      </w:r>
      <w:r w:rsidR="008A445E">
        <w:t xml:space="preserve"> faktorer som inte har inkluderats i </w:t>
      </w:r>
      <w:r w:rsidR="00580B87">
        <w:t xml:space="preserve">denna bedömning kan </w:t>
      </w:r>
      <w:r>
        <w:t xml:space="preserve">också </w:t>
      </w:r>
      <w:r w:rsidR="00580B87">
        <w:t>påverka</w:t>
      </w:r>
      <w:r w:rsidR="008A445E">
        <w:t xml:space="preserve"> observerade mönster. </w:t>
      </w:r>
      <w:r>
        <w:t>Till exempel</w:t>
      </w:r>
      <w:r w:rsidR="008A445E">
        <w:t xml:space="preserve"> </w:t>
      </w:r>
      <w:r w:rsidR="00345AB1">
        <w:t xml:space="preserve">har förekomsten av </w:t>
      </w:r>
      <w:r w:rsidR="008A445E">
        <w:t>storspigg</w:t>
      </w:r>
      <w:r>
        <w:t xml:space="preserve"> </w:t>
      </w:r>
      <w:r w:rsidR="008A445E">
        <w:t>ökat kraftigt i Östersjön sedan början av 2000-talet</w:t>
      </w:r>
      <w:r>
        <w:t xml:space="preserve"> och kan påverka andra arter</w:t>
      </w:r>
      <w:r w:rsidR="008A445E">
        <w:t xml:space="preserve"> </w:t>
      </w:r>
      <w:r w:rsidR="008A445E">
        <w:fldChar w:fldCharType="begin"/>
      </w:r>
      <w:r w:rsidR="008A445E">
        <w:instrText xml:space="preserve"> ADDIN ZOTERO_ITEM CSL_CITATION {"citationID":"a1tljt02dfu","properties":{"formattedCitation":"{\\rtf (Bergstr\\uc0\\u246{}m et al. 2015)}","plainCitation":"(Bergström et al. 2015)"},"citationItems":[{"id":1131,"uris":["http://zotero.org/users/local/LOrUhVSw/items/VZ5DTG7X"],"uri":["http://zotero.org/users/local/LOrUhVSw/items/VZ5DTG7X"],"itemData":{"id":1131,"type":"article-journal","title":"Stickleback increase in the Baltic Sea - A thorny issue for coastal predatory fish","container-title":"Estuarine, Coastal and Shelf Science","page":"134-142","volume":"163, Part B","abstract":"Abstract In the Baltic Sea, the mesopredator three-spined stickleback (Gasterosteus aculeatus) spends a large part of its life cycle in the open sea, but reproduces in shallow coastal habitats. In coastal waters, it may occur in high abundances, is a potent predator on eggs and larvae of fish, and has been shown to induce trophic cascades with resulting eutrophication symptoms through regulation of invertebrate grazers. Despite its potential significance for the coastal food web, little is known about its life history and population ecology. This paper provides a description of life history traits, migration patterns and spatiotemporal development of the species in the Baltic Sea during the past decades, and tests the hypothesis that stickleback may have a negative impact on populations of coastal predatory fish. Offshore and coastal data during the last 30 years show that stickleback has increased fourfold in the Bothnian Sea, 45-fold in the Central Baltic Sea and sevenfold in the Southern Baltic Sea. The abundances are similar in the two northern basins, and two orders of magnitude lower in the Southern Baltic Sea. The coastward spawning migration of sticklebacks from offshore areas peaks in early May, with most spawners being two years of age at a mean length of 65Â mm. The early juvenile stage is spent at the coast, whereafter sticklebacks perform a seaward feeding migration in early autumn at a size of around 35Â mm. A negative spatial relation between the abundance of stickleback and early life stages of perch and pike at coastal spawning areas was observed in spatial survey data, indicating strong interactions between the species. A negative temporal relationship was observed also between adult perch and stickleback in coastal fish monitoring programmes supporting the hypothesis that stickleback may have negative population level effects on coastal fish predators. The recent increase in stickleback populations in different basins of the Baltic Sea in combination with negative spatiotemporal patterns and previously observed interactions between stickleback and coastal predatory fish suggests that this species may have gained a key role in the coastal food webs of the Baltic Sea. Through its migrations, stickleback may also constitute an important vector linking coastal and open sea ecosystem dynamics.","DOI":"10.1016/j.ecss.2015.06.017","ISSN":"0272-7714","shortTitle":"Stickleback increase in the Baltic Sea - A thorny issue for coastal predatory fish","author":[{"family":"Bergström","given":"Ulf"},{"family":"Olsson","given":"Jens"},{"family":"Casini","given":"Michele"},{"family":"Eriksson","given":"Britas Klemens"},{"family":"Fredriksson","given":"Ronny"},{"family":"Wennhage","given":"Håkan"},{"family":"Appelberg","given":"Magnus"}],"issued":{"date-parts":[["2015"]]}}}],"schema":"https://github.com/citation-style-language/schema/raw/master/csl-citation.json"} </w:instrText>
      </w:r>
      <w:r w:rsidR="008A445E">
        <w:fldChar w:fldCharType="separate"/>
      </w:r>
      <w:r w:rsidR="008A445E" w:rsidRPr="008A445E">
        <w:rPr>
          <w:rFonts w:cs="Times New Roman"/>
          <w:szCs w:val="24"/>
        </w:rPr>
        <w:t xml:space="preserve">(Bergström </w:t>
      </w:r>
      <w:r w:rsidR="00EE1A5E">
        <w:rPr>
          <w:rFonts w:cs="Times New Roman"/>
          <w:szCs w:val="24"/>
        </w:rPr>
        <w:t>m fl</w:t>
      </w:r>
      <w:r w:rsidR="008A445E" w:rsidRPr="008A445E">
        <w:rPr>
          <w:rFonts w:cs="Times New Roman"/>
          <w:szCs w:val="24"/>
        </w:rPr>
        <w:t xml:space="preserve"> 2015)</w:t>
      </w:r>
      <w:r w:rsidR="008A445E">
        <w:fldChar w:fldCharType="end"/>
      </w:r>
      <w:r w:rsidR="00D5562B">
        <w:t>. Storspigg</w:t>
      </w:r>
      <w:r>
        <w:t>en</w:t>
      </w:r>
      <w:r w:rsidR="00D5562B">
        <w:t xml:space="preserve"> spenderar en stor del av sitt liv i utsjön, men a</w:t>
      </w:r>
      <w:r>
        <w:t>nsamlas</w:t>
      </w:r>
      <w:r w:rsidR="00D5562B">
        <w:t xml:space="preserve"> i höga tätheter vid kusten för lek under våren</w:t>
      </w:r>
      <w:r w:rsidR="00053612">
        <w:t xml:space="preserve">. </w:t>
      </w:r>
      <w:r>
        <w:t>Spiggens l</w:t>
      </w:r>
      <w:r w:rsidR="00053612">
        <w:t>ekområden</w:t>
      </w:r>
      <w:r w:rsidR="00D5562B">
        <w:t xml:space="preserve"> och </w:t>
      </w:r>
      <w:r w:rsidR="00053612">
        <w:t xml:space="preserve">ynglens uppväxt </w:t>
      </w:r>
      <w:r w:rsidR="00D5562B">
        <w:t xml:space="preserve">den första sommaren överlappar till stor del med rekryteringsmiljöer för de kustfiskarter </w:t>
      </w:r>
      <w:r>
        <w:t xml:space="preserve">som </w:t>
      </w:r>
      <w:r w:rsidR="00D5562B">
        <w:t>denna indikator fokuserar på, framförallt i ytter</w:t>
      </w:r>
      <w:r w:rsidR="00B92CA0">
        <w:t>skärgården</w:t>
      </w:r>
      <w:r w:rsidR="00053612">
        <w:t>. S</w:t>
      </w:r>
      <w:r>
        <w:t>ambanden är komplexa, eftersom s</w:t>
      </w:r>
      <w:r w:rsidR="00053612">
        <w:t>tor</w:t>
      </w:r>
      <w:r w:rsidR="00D5562B">
        <w:t>spigg kan ä</w:t>
      </w:r>
      <w:r w:rsidR="00053612">
        <w:t xml:space="preserve">ta rovfiskarnas larver </w:t>
      </w:r>
      <w:r w:rsidR="00EA7E2D">
        <w:t>i sådan omfattning</w:t>
      </w:r>
      <w:r w:rsidR="00053612">
        <w:t xml:space="preserve"> att rekryteringen påverkas negativt samtidigt </w:t>
      </w:r>
      <w:r w:rsidR="00E367EC">
        <w:t>som storspigg</w:t>
      </w:r>
      <w:r>
        <w:t>en själv</w:t>
      </w:r>
      <w:r w:rsidR="00E367EC">
        <w:t xml:space="preserve"> utgör ett byte för större abborre</w:t>
      </w:r>
      <w:r w:rsidR="00053612">
        <w:t xml:space="preserve"> </w:t>
      </w:r>
      <w:r w:rsidR="00D5562B">
        <w:fldChar w:fldCharType="begin"/>
      </w:r>
      <w:r w:rsidR="00D5562B">
        <w:instrText xml:space="preserve"> ADDIN ZOTERO_ITEM CSL_CITATION {"citationID":"a2e7bos4prs","properties":{"formattedCitation":"{\\rtf (Bystr\\uc0\\u246{}m et al. 2015)}","plainCitation":"(Byström et al. 2015)"},"citationItems":[{"id":1578,"uris":["http://zotero.org/users/local/LOrUhVSw/items/PEM22V5K"],"uri":["http://zotero.org/users/local/LOrUhVSw/items/PEM22V5K"],"itemData":{"id":1578,"type":"article-journal","title":"Declining coastal piscivore populations in the Baltic Sea: Where and when do sticklebacks matter?","container-title":"Ambio","page":"462-471","volume":"44","issue":"3","abstract":"Intraguild predation interactions make fish communities prone to exhibit alternative stable states with either piscivore or prey fish dominance. In the Baltic Sea, local declines of coastal piscivores like perch (Perca fluviatilis) have been observed to coincide with high densities of sticklebacks (Gasterosteus aculeatus). Mechanisms behind this shift between piscivore and stickleback dominance were studied both experimentally and in field. Results showed that predation by sticklebacks has a strong negative effect on perch larvae survival, but this effect rapidly decreases with increasing perch size, likely due to gape limitations and digestion constraints in sticklebacks. Large spatial and temporal variations in patterns of stickleback migration into perch spawning sites were observed. Whether or not high density of sticklebacks will cause declines in coastal piscivore populations is suggested to depend on the availability of spawning sites in which sticklebacks do not migrate into or arrive late in the reproduction season of coastal piscivores.","DOI":"10.1007/s13280-015-0665-5","ISSN":"0044-7447","shortTitle":"Declining coastal piscivore populations in the Baltic Sea: Where and when do sticklebacks matter?","author":[{"family":"Byström","given":"Pär"},{"family":"Bergström","given":"Ulf"},{"family":"Hjälten","given":"Alexander"},{"family":"Ståhl","given":"Sofie"},{"family":"Jonsson","given":"David"},{"family":"Olsson","given":"Jens"}],"issued":{"date-parts":[["2015"]]}}}],"schema":"https://github.com/citation-style-language/schema/raw/master/csl-citation.json"} </w:instrText>
      </w:r>
      <w:r w:rsidR="00D5562B">
        <w:fldChar w:fldCharType="separate"/>
      </w:r>
      <w:r w:rsidR="00D5562B" w:rsidRPr="00D5562B">
        <w:rPr>
          <w:rFonts w:cs="Times New Roman"/>
          <w:szCs w:val="24"/>
        </w:rPr>
        <w:t xml:space="preserve">(Byström </w:t>
      </w:r>
      <w:r w:rsidR="00EE1A5E">
        <w:rPr>
          <w:rFonts w:cs="Times New Roman"/>
          <w:szCs w:val="24"/>
        </w:rPr>
        <w:t>m fl</w:t>
      </w:r>
      <w:r w:rsidR="00D5562B" w:rsidRPr="00D5562B">
        <w:rPr>
          <w:rFonts w:cs="Times New Roman"/>
          <w:szCs w:val="24"/>
        </w:rPr>
        <w:t xml:space="preserve"> 2015)</w:t>
      </w:r>
      <w:r w:rsidR="00D5562B">
        <w:fldChar w:fldCharType="end"/>
      </w:r>
      <w:r w:rsidR="00D5562B">
        <w:t xml:space="preserve">. </w:t>
      </w:r>
      <w:r w:rsidR="00E367EC">
        <w:t xml:space="preserve">Dessa återkopplingsmekanismer </w:t>
      </w:r>
      <w:r w:rsidR="00534249">
        <w:t xml:space="preserve">skulle kunna påverka förekomsten av </w:t>
      </w:r>
      <w:r w:rsidR="00E861E0">
        <w:t>kust</w:t>
      </w:r>
      <w:r w:rsidR="00534249">
        <w:t>fiskyngel och d</w:t>
      </w:r>
      <w:r w:rsidR="00D5562B">
        <w:t xml:space="preserve">et kan därför </w:t>
      </w:r>
      <w:r w:rsidR="0011602D">
        <w:t>i fr</w:t>
      </w:r>
      <w:r w:rsidR="00742D9F">
        <w:t>am</w:t>
      </w:r>
      <w:r w:rsidR="0011602D">
        <w:t xml:space="preserve">tiden </w:t>
      </w:r>
      <w:r w:rsidR="00D5562B">
        <w:t>vara relevant att utöver statusbedömningar av rekryteringsmiljöernas utbredning/utsträckning</w:t>
      </w:r>
      <w:r w:rsidR="000039B7">
        <w:t xml:space="preserve"> (den föreliggande indikatorn)</w:t>
      </w:r>
      <w:r w:rsidR="00D5562B">
        <w:t xml:space="preserve">, också inkludera mått på livsmiljöernas kvalitet (mätt som yngeltätheter).  </w:t>
      </w:r>
    </w:p>
    <w:p w14:paraId="0E392E6F" w14:textId="58B20429" w:rsidR="00FC6EB3" w:rsidRDefault="00BE5E56" w:rsidP="00D94062">
      <w:pPr>
        <w:pStyle w:val="Brdtext"/>
      </w:pPr>
      <w:r>
        <w:t xml:space="preserve">Det finns i dagsläget ingen motsvarande indikator </w:t>
      </w:r>
      <w:r w:rsidR="00295BEA">
        <w:t xml:space="preserve">inom </w:t>
      </w:r>
      <w:r>
        <w:t>HELCOM</w:t>
      </w:r>
      <w:r w:rsidR="00AC4091">
        <w:t xml:space="preserve"> eller OSPAR</w:t>
      </w:r>
      <w:r w:rsidR="00534249">
        <w:t xml:space="preserve">. </w:t>
      </w:r>
      <w:r w:rsidR="00FC6EB3">
        <w:t>Rekryteringsmiljöerna för fisk överlappar do</w:t>
      </w:r>
      <w:r w:rsidR="00C87ADF">
        <w:t>ck med flera av a</w:t>
      </w:r>
      <w:r w:rsidR="00FC6EB3">
        <w:t xml:space="preserve">rt- och </w:t>
      </w:r>
      <w:r w:rsidR="00C87ADF">
        <w:t>h</w:t>
      </w:r>
      <w:r w:rsidR="00FC6EB3">
        <w:t xml:space="preserve">abitatdirektivets </w:t>
      </w:r>
      <w:r w:rsidR="00295BEA">
        <w:t xml:space="preserve">naturtyper </w:t>
      </w:r>
      <w:r w:rsidR="00FC6EB3">
        <w:t xml:space="preserve">samt naturtyper </w:t>
      </w:r>
      <w:r w:rsidR="00295BEA">
        <w:t xml:space="preserve">inom HELCOM </w:t>
      </w:r>
      <w:r w:rsidR="00FC6EB3">
        <w:t>HUB</w:t>
      </w:r>
      <w:r w:rsidR="00295BEA">
        <w:t xml:space="preserve"> (</w:t>
      </w:r>
      <w:r w:rsidR="00295BEA" w:rsidRPr="00295BEA">
        <w:t>Unde</w:t>
      </w:r>
      <w:r w:rsidR="00295BEA">
        <w:t>r</w:t>
      </w:r>
      <w:r w:rsidR="00295BEA" w:rsidRPr="00295BEA">
        <w:t>water biotope and habitat classification system</w:t>
      </w:r>
      <w:r w:rsidR="00FC6EB3">
        <w:t xml:space="preserve">), </w:t>
      </w:r>
      <w:r w:rsidR="00295BEA">
        <w:t>till exempel</w:t>
      </w:r>
      <w:r w:rsidR="00FC6EB3">
        <w:t xml:space="preserve"> ”Baltic photic muddy, coarse and sandy sediments, characterized by emergent vegetation or submerged rooted plants, including charophytes</w:t>
      </w:r>
      <w:r w:rsidR="00534249">
        <w:t>”</w:t>
      </w:r>
      <w:r w:rsidR="00295BEA">
        <w:t>. K</w:t>
      </w:r>
      <w:r w:rsidR="00534249">
        <w:t xml:space="preserve">opplingar mellan den fiskproducerande funktionen i dessa miljöer och statusen för habitaten bör undersökas vidare. </w:t>
      </w:r>
    </w:p>
    <w:p w14:paraId="22A9A203" w14:textId="40567A3A" w:rsidR="00B466E2" w:rsidRPr="00AF64E1" w:rsidRDefault="00D94062" w:rsidP="00D94062">
      <w:pPr>
        <w:pStyle w:val="Brdtext"/>
      </w:pPr>
      <w:r w:rsidRPr="00AF64E1">
        <w:t xml:space="preserve">Indikatorn </w:t>
      </w:r>
      <w:r w:rsidRPr="00AF64E1">
        <w:rPr>
          <w:rFonts w:eastAsia="Times New Roman"/>
          <w:i/>
          <w:color w:val="000000"/>
        </w:rPr>
        <w:t>Potentiellt rekryteringshabitat för kustfisk i Östersjön</w:t>
      </w:r>
      <w:r w:rsidRPr="00AF64E1">
        <w:rPr>
          <w:rFonts w:eastAsia="Times New Roman"/>
          <w:color w:val="000000"/>
        </w:rPr>
        <w:t xml:space="preserve"> fokuserar i dagsläget på varmvattenarter för vilka </w:t>
      </w:r>
      <w:r w:rsidR="00295BEA">
        <w:rPr>
          <w:rFonts w:eastAsia="Times New Roman"/>
          <w:color w:val="000000"/>
        </w:rPr>
        <w:t>det finns tillräcklig</w:t>
      </w:r>
      <w:r w:rsidRPr="00AF64E1">
        <w:rPr>
          <w:rFonts w:eastAsia="Times New Roman"/>
          <w:color w:val="000000"/>
        </w:rPr>
        <w:t xml:space="preserve"> data.</w:t>
      </w:r>
      <w:r w:rsidR="00351BD6">
        <w:rPr>
          <w:rFonts w:eastAsia="Times New Roman"/>
          <w:color w:val="000000"/>
        </w:rPr>
        <w:t xml:space="preserve"> Tre kustvattentyper saknar i dagsläget </w:t>
      </w:r>
      <w:r w:rsidR="00295BEA">
        <w:rPr>
          <w:rFonts w:eastAsia="Times New Roman"/>
          <w:color w:val="000000"/>
        </w:rPr>
        <w:t xml:space="preserve">data från </w:t>
      </w:r>
      <w:r w:rsidR="00351BD6">
        <w:rPr>
          <w:rFonts w:eastAsia="Times New Roman"/>
          <w:color w:val="000000"/>
        </w:rPr>
        <w:t>yngelprovfisken med undervattensdetonationer</w:t>
      </w:r>
      <w:r w:rsidR="00295BEA">
        <w:rPr>
          <w:rFonts w:eastAsia="Times New Roman"/>
          <w:color w:val="000000"/>
        </w:rPr>
        <w:t>;</w:t>
      </w:r>
      <w:r w:rsidR="00351BD6">
        <w:rPr>
          <w:rFonts w:eastAsia="Times New Roman"/>
          <w:color w:val="000000"/>
        </w:rPr>
        <w:t xml:space="preserve"> </w:t>
      </w:r>
      <w:r w:rsidR="00351BD6" w:rsidRPr="00E861E0">
        <w:rPr>
          <w:rFonts w:eastAsia="Times New Roman"/>
          <w:i/>
          <w:color w:val="000000"/>
        </w:rPr>
        <w:t xml:space="preserve">Öland, Gotland </w:t>
      </w:r>
      <w:r w:rsidR="00351BD6" w:rsidRPr="00C87ADF">
        <w:rPr>
          <w:rFonts w:eastAsia="Times New Roman"/>
          <w:color w:val="000000"/>
        </w:rPr>
        <w:t>samt</w:t>
      </w:r>
      <w:r w:rsidR="00351BD6" w:rsidRPr="00E861E0">
        <w:rPr>
          <w:rFonts w:eastAsia="Times New Roman"/>
          <w:i/>
          <w:color w:val="000000"/>
        </w:rPr>
        <w:t xml:space="preserve"> Östergötlands inre kustvatten</w:t>
      </w:r>
      <w:r w:rsidR="00351BD6">
        <w:rPr>
          <w:rFonts w:eastAsia="Times New Roman"/>
          <w:color w:val="000000"/>
        </w:rPr>
        <w:t>.</w:t>
      </w:r>
      <w:r w:rsidRPr="00AF64E1">
        <w:rPr>
          <w:rFonts w:eastAsia="Times New Roman"/>
          <w:color w:val="000000"/>
        </w:rPr>
        <w:t xml:space="preserve"> Potentiellt kan indikatorn </w:t>
      </w:r>
      <w:r w:rsidR="00351BD6">
        <w:rPr>
          <w:rFonts w:eastAsia="Times New Roman"/>
          <w:color w:val="000000"/>
        </w:rPr>
        <w:t xml:space="preserve">även </w:t>
      </w:r>
      <w:r w:rsidRPr="00AF64E1">
        <w:rPr>
          <w:rFonts w:eastAsia="Times New Roman"/>
          <w:color w:val="000000"/>
        </w:rPr>
        <w:t>utvecklas för andra delar av fisksamhället såsom gobider och spigg</w:t>
      </w:r>
      <w:r w:rsidR="00295BEA">
        <w:rPr>
          <w:rFonts w:eastAsia="Times New Roman"/>
          <w:color w:val="000000"/>
        </w:rPr>
        <w:t xml:space="preserve">. Om </w:t>
      </w:r>
      <w:r w:rsidR="00351BD6">
        <w:rPr>
          <w:rFonts w:eastAsia="Times New Roman"/>
          <w:color w:val="000000"/>
        </w:rPr>
        <w:t xml:space="preserve">andra inventeringsmetoder </w:t>
      </w:r>
      <w:r w:rsidR="00295BEA">
        <w:rPr>
          <w:rFonts w:eastAsia="Times New Roman"/>
          <w:color w:val="000000"/>
        </w:rPr>
        <w:t xml:space="preserve">används kan </w:t>
      </w:r>
      <w:r w:rsidR="00351BD6">
        <w:rPr>
          <w:rFonts w:eastAsia="Times New Roman"/>
          <w:color w:val="000000"/>
        </w:rPr>
        <w:t xml:space="preserve">även </w:t>
      </w:r>
      <w:r w:rsidR="00351BD6" w:rsidRPr="00AF64E1">
        <w:rPr>
          <w:rFonts w:eastAsia="Times New Roman"/>
          <w:color w:val="000000"/>
        </w:rPr>
        <w:t>sik</w:t>
      </w:r>
      <w:r w:rsidR="00351BD6">
        <w:rPr>
          <w:rFonts w:eastAsia="Times New Roman"/>
          <w:color w:val="000000"/>
        </w:rPr>
        <w:t xml:space="preserve"> och plattfisk</w:t>
      </w:r>
      <w:r w:rsidR="00295BEA">
        <w:rPr>
          <w:rFonts w:eastAsia="Times New Roman"/>
          <w:color w:val="000000"/>
        </w:rPr>
        <w:t xml:space="preserve"> inkluderas</w:t>
      </w:r>
      <w:r w:rsidR="00351BD6">
        <w:rPr>
          <w:rFonts w:eastAsia="Times New Roman"/>
          <w:color w:val="000000"/>
        </w:rPr>
        <w:t xml:space="preserve"> </w:t>
      </w:r>
      <w:r w:rsidRPr="00AF64E1">
        <w:rPr>
          <w:rFonts w:eastAsia="Times New Roman"/>
          <w:color w:val="000000"/>
        </w:rPr>
        <w:t xml:space="preserve">för att få en helhetsbild av </w:t>
      </w:r>
      <w:r w:rsidR="00345AB1">
        <w:rPr>
          <w:rFonts w:eastAsia="Times New Roman"/>
          <w:color w:val="000000"/>
        </w:rPr>
        <w:t xml:space="preserve">rekryteringsmiljöernas </w:t>
      </w:r>
      <w:r w:rsidR="00345AB1" w:rsidRPr="00AF64E1">
        <w:rPr>
          <w:rFonts w:eastAsia="Times New Roman"/>
          <w:color w:val="000000"/>
        </w:rPr>
        <w:t>status</w:t>
      </w:r>
      <w:r w:rsidR="00345AB1">
        <w:rPr>
          <w:rFonts w:eastAsia="Times New Roman"/>
          <w:color w:val="000000"/>
        </w:rPr>
        <w:t xml:space="preserve"> för</w:t>
      </w:r>
      <w:r w:rsidR="00345AB1" w:rsidRPr="00AF64E1">
        <w:rPr>
          <w:rFonts w:eastAsia="Times New Roman"/>
          <w:color w:val="000000"/>
        </w:rPr>
        <w:t xml:space="preserve"> </w:t>
      </w:r>
      <w:r w:rsidRPr="00AF64E1">
        <w:rPr>
          <w:rFonts w:eastAsia="Times New Roman"/>
          <w:color w:val="000000"/>
        </w:rPr>
        <w:t xml:space="preserve">fisksamhället på </w:t>
      </w:r>
      <w:r w:rsidR="00351BD6">
        <w:rPr>
          <w:rFonts w:eastAsia="Times New Roman"/>
          <w:color w:val="000000"/>
        </w:rPr>
        <w:t>ost</w:t>
      </w:r>
      <w:r w:rsidRPr="00AF64E1">
        <w:rPr>
          <w:rFonts w:eastAsia="Times New Roman"/>
          <w:color w:val="000000"/>
        </w:rPr>
        <w:t>kusten</w:t>
      </w:r>
      <w:r w:rsidR="00345AB1">
        <w:rPr>
          <w:rFonts w:eastAsia="Times New Roman"/>
          <w:color w:val="000000"/>
        </w:rPr>
        <w:t>.</w:t>
      </w:r>
      <w:r w:rsidRPr="00AF64E1">
        <w:rPr>
          <w:rFonts w:eastAsia="Times New Roman"/>
          <w:color w:val="000000"/>
        </w:rPr>
        <w:t xml:space="preserve"> </w:t>
      </w:r>
      <w:r w:rsidR="00351BD6">
        <w:rPr>
          <w:rFonts w:eastAsia="Times New Roman"/>
          <w:color w:val="000000"/>
        </w:rPr>
        <w:t xml:space="preserve">För kustfisk på västkusten borde möjligheten att använda ryssjedata för statusbedömning av </w:t>
      </w:r>
      <w:r w:rsidR="003D34CE">
        <w:rPr>
          <w:rFonts w:eastAsia="Times New Roman"/>
          <w:color w:val="000000"/>
        </w:rPr>
        <w:t>uppväxt</w:t>
      </w:r>
      <w:r w:rsidR="00351BD6">
        <w:rPr>
          <w:rFonts w:eastAsia="Times New Roman"/>
          <w:color w:val="000000"/>
        </w:rPr>
        <w:t xml:space="preserve">miljöer för torsk, vitling, rödspätta och skrubbskädda, samt ål, undersökas. </w:t>
      </w:r>
    </w:p>
    <w:p w14:paraId="0115D119" w14:textId="77777777" w:rsidR="00CE55E3" w:rsidRPr="00AF64E1" w:rsidRDefault="00CE55E3" w:rsidP="007C6A94">
      <w:pPr>
        <w:pStyle w:val="Brdtext"/>
      </w:pPr>
    </w:p>
    <w:p w14:paraId="43841F76" w14:textId="77777777" w:rsidR="00744D37" w:rsidRPr="00062281" w:rsidRDefault="00744D37" w:rsidP="007C6A94">
      <w:pPr>
        <w:pStyle w:val="Brdtext"/>
        <w:rPr>
          <w:b/>
          <w:lang w:val="en-US"/>
        </w:rPr>
      </w:pPr>
      <w:r w:rsidRPr="00062281">
        <w:rPr>
          <w:b/>
          <w:lang w:val="en-US"/>
        </w:rPr>
        <w:t>2.5. Referenser</w:t>
      </w:r>
    </w:p>
    <w:p w14:paraId="3086B380" w14:textId="77777777" w:rsidR="00EA7E2D" w:rsidRPr="00EA7E2D" w:rsidRDefault="00BE5E56" w:rsidP="00EA7E2D">
      <w:pPr>
        <w:pStyle w:val="Litteraturfrteckning"/>
        <w:spacing w:line="240" w:lineRule="auto"/>
        <w:rPr>
          <w:rFonts w:ascii="Georgia" w:hAnsi="Georgia"/>
          <w:sz w:val="22"/>
          <w:lang w:val="en-US"/>
        </w:rPr>
      </w:pPr>
      <w:r>
        <w:fldChar w:fldCharType="begin"/>
      </w:r>
      <w:r w:rsidR="00EA7E2D">
        <w:rPr>
          <w:lang w:val="en-US"/>
        </w:rPr>
        <w:instrText xml:space="preserve"> ADDIN ZOTERO_BIBL {"custom":[]} CSL_BIBLIOGRAPHY </w:instrText>
      </w:r>
      <w:r>
        <w:fldChar w:fldCharType="separate"/>
      </w:r>
      <w:r w:rsidR="00EA7E2D" w:rsidRPr="00EA7E2D">
        <w:rPr>
          <w:rFonts w:ascii="Georgia" w:hAnsi="Georgia"/>
          <w:sz w:val="22"/>
          <w:lang w:val="en-US"/>
        </w:rPr>
        <w:t>Bergström, U., J. Olsson, M. Casini, B. K. Eriksson, R. Fredriksson, H. Wennhage, and M. Appelberg. 2015. Stickleback increase in the Baltic Sea - A thorny issue for coastal predatory fish. Estuarine, Coastal and Shelf Science 163, Part B:134–142.</w:t>
      </w:r>
    </w:p>
    <w:p w14:paraId="3AA111AA" w14:textId="77777777" w:rsidR="00EA7E2D" w:rsidRPr="003D34CE" w:rsidRDefault="00EA7E2D" w:rsidP="00EA7E2D">
      <w:pPr>
        <w:pStyle w:val="Litteraturfrteckning"/>
        <w:spacing w:line="240" w:lineRule="auto"/>
        <w:rPr>
          <w:rFonts w:ascii="Georgia" w:hAnsi="Georgia"/>
          <w:sz w:val="22"/>
        </w:rPr>
      </w:pPr>
      <w:r w:rsidRPr="00EA7E2D">
        <w:rPr>
          <w:rFonts w:ascii="Georgia" w:hAnsi="Georgia"/>
          <w:sz w:val="22"/>
          <w:lang w:val="en-US"/>
        </w:rPr>
        <w:t xml:space="preserve">Bergström, U., G. Sundblad, A.-L. Downie, M. Snickars, C. Boström, and M. Lindegarth. 2013. Evaluating eutrophication management scenarios in the Baltic Sea using species distribution modelling. </w:t>
      </w:r>
      <w:r w:rsidRPr="003D34CE">
        <w:rPr>
          <w:rFonts w:ascii="Georgia" w:hAnsi="Georgia"/>
          <w:sz w:val="22"/>
        </w:rPr>
        <w:t>Journal of Applied Ecology 50:680–690.</w:t>
      </w:r>
    </w:p>
    <w:p w14:paraId="7C0F5480" w14:textId="2B881B06" w:rsidR="00553AFD" w:rsidRPr="00553AFD" w:rsidRDefault="00553AFD" w:rsidP="00553AFD">
      <w:pPr>
        <w:pStyle w:val="Litteraturfrteckning"/>
        <w:spacing w:line="240" w:lineRule="auto"/>
        <w:rPr>
          <w:rFonts w:asciiTheme="minorHAnsi" w:hAnsiTheme="minorHAnsi"/>
          <w:sz w:val="22"/>
          <w:szCs w:val="22"/>
        </w:rPr>
      </w:pPr>
      <w:r w:rsidRPr="00553AFD">
        <w:rPr>
          <w:rFonts w:asciiTheme="minorHAnsi" w:hAnsiTheme="minorHAnsi"/>
          <w:sz w:val="22"/>
          <w:szCs w:val="22"/>
        </w:rPr>
        <w:lastRenderedPageBreak/>
        <w:t>Bergström, U., G. Sundblad, R. Fredriksson, P. Karås, A. Sandström. 2017. Yngelprovfiske med små undervattensdetonationer. Undersökningstyp, Havs- och vattenmyndigheten</w:t>
      </w:r>
      <w:r>
        <w:rPr>
          <w:rFonts w:asciiTheme="minorHAnsi" w:hAnsiTheme="minorHAnsi"/>
          <w:sz w:val="22"/>
          <w:szCs w:val="22"/>
        </w:rPr>
        <w:t>.</w:t>
      </w:r>
    </w:p>
    <w:p w14:paraId="539E3C88" w14:textId="67007EFD" w:rsidR="00224156" w:rsidRPr="00224156" w:rsidRDefault="00224156" w:rsidP="00EA7E2D">
      <w:pPr>
        <w:pStyle w:val="Litteraturfrteckning"/>
        <w:spacing w:line="240" w:lineRule="auto"/>
        <w:rPr>
          <w:rFonts w:ascii="Georgia" w:hAnsi="Georgia"/>
          <w:sz w:val="22"/>
        </w:rPr>
      </w:pPr>
      <w:r w:rsidRPr="00553AFD">
        <w:rPr>
          <w:rFonts w:ascii="Georgia" w:hAnsi="Georgia"/>
          <w:sz w:val="22"/>
        </w:rPr>
        <w:t xml:space="preserve">Bryhn, A., M. Lindegarth, L. Bergström, U. Bergström. </w:t>
      </w:r>
      <w:r>
        <w:rPr>
          <w:rFonts w:ascii="Georgia" w:hAnsi="Georgia"/>
          <w:sz w:val="22"/>
        </w:rPr>
        <w:t>2015. Ekosystemtjänster från svenska hav: status och påverkansfaktorer. Rapport 2015:12. Havs- och vattenmyndigheten, Göteborg.</w:t>
      </w:r>
    </w:p>
    <w:p w14:paraId="502F6A44" w14:textId="77777777" w:rsidR="00EA7E2D" w:rsidRPr="00EA7E2D" w:rsidRDefault="00EA7E2D" w:rsidP="00EA7E2D">
      <w:pPr>
        <w:pStyle w:val="Litteraturfrteckning"/>
        <w:spacing w:line="240" w:lineRule="auto"/>
        <w:rPr>
          <w:rFonts w:ascii="Georgia" w:hAnsi="Georgia"/>
          <w:sz w:val="22"/>
        </w:rPr>
      </w:pPr>
      <w:r w:rsidRPr="00224156">
        <w:rPr>
          <w:rFonts w:ascii="Georgia" w:hAnsi="Georgia"/>
          <w:sz w:val="22"/>
        </w:rPr>
        <w:t xml:space="preserve">Byström, P., U. Bergström, A. Hjälten, S. Ståhl, D. Jonsson, and J. Olsson. </w:t>
      </w:r>
      <w:r w:rsidRPr="00AF64E1">
        <w:rPr>
          <w:rFonts w:ascii="Georgia" w:hAnsi="Georgia"/>
          <w:sz w:val="22"/>
          <w:lang w:val="en-US"/>
        </w:rPr>
        <w:t>2015. Declining coa</w:t>
      </w:r>
      <w:r w:rsidRPr="00EA7E2D">
        <w:rPr>
          <w:rFonts w:ascii="Georgia" w:hAnsi="Georgia"/>
          <w:sz w:val="22"/>
          <w:lang w:val="en-US"/>
        </w:rPr>
        <w:t xml:space="preserve">stal piscivore populations in the Baltic Sea: Where and when do sticklebacks matter? </w:t>
      </w:r>
      <w:r w:rsidRPr="00EA7E2D">
        <w:rPr>
          <w:rFonts w:ascii="Georgia" w:hAnsi="Georgia"/>
          <w:sz w:val="22"/>
        </w:rPr>
        <w:t>Ambio 44:462–471.</w:t>
      </w:r>
    </w:p>
    <w:p w14:paraId="460CA5CB"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rPr>
        <w:t xml:space="preserve">Eriksson, B. K., L. Ljunggren, A. Sandström, G. Johansson, J. Mattila, A. Rubach, S. Råberg, and M. Snickars. </w:t>
      </w:r>
      <w:r w:rsidRPr="00EA7E2D">
        <w:rPr>
          <w:rFonts w:ascii="Georgia" w:hAnsi="Georgia"/>
          <w:sz w:val="22"/>
          <w:lang w:val="en-US"/>
        </w:rPr>
        <w:t>2009. Declines in predatory fish promote bloom-forming macroalgae. Ecological Applications 19:1975–1988.</w:t>
      </w:r>
    </w:p>
    <w:p w14:paraId="6E413695"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rPr>
        <w:t xml:space="preserve">Eriksson, B. K., A. Sandström, M. Isæus, H. Schreiber, and P. Karås. </w:t>
      </w:r>
      <w:r w:rsidRPr="00EA7E2D">
        <w:rPr>
          <w:rFonts w:ascii="Georgia" w:hAnsi="Georgia"/>
          <w:sz w:val="22"/>
          <w:lang w:val="en-US"/>
        </w:rPr>
        <w:t>2004. Effects of boating activities on aquatic vegetation in the Stockholm archipelago, Baltic Sea. Estuarine, Coastal and Shelf Science 61:339–349.</w:t>
      </w:r>
    </w:p>
    <w:p w14:paraId="77D9E79A" w14:textId="432D79B2" w:rsidR="00673069" w:rsidRPr="00AF64E1" w:rsidRDefault="00673069" w:rsidP="00EA7E2D">
      <w:pPr>
        <w:pStyle w:val="Litteraturfrteckning"/>
        <w:spacing w:line="240" w:lineRule="auto"/>
        <w:rPr>
          <w:rFonts w:ascii="Georgia" w:hAnsi="Georgia"/>
          <w:sz w:val="22"/>
        </w:rPr>
      </w:pPr>
      <w:r w:rsidRPr="00673069">
        <w:rPr>
          <w:rFonts w:ascii="Georgia" w:hAnsi="Georgia"/>
          <w:sz w:val="22"/>
          <w:lang w:val="en-US"/>
        </w:rPr>
        <w:t xml:space="preserve">Gundersen, H., T. Bryan, W. Chen, F. E. Moy, A. N. Sandman, G. Sundblad, S. Schneider, J. H. Andersen, S. Langaas, and M. G. Walday. 2017. Ecosystem Services: In the Coastal Zone of the Nordic Countries. </w:t>
      </w:r>
      <w:r w:rsidRPr="00AF64E1">
        <w:rPr>
          <w:rFonts w:ascii="Georgia" w:hAnsi="Georgia"/>
          <w:sz w:val="22"/>
        </w:rPr>
        <w:t>Nordisk Ministerr</w:t>
      </w:r>
      <w:r w:rsidRPr="00AF64E1">
        <w:rPr>
          <w:rFonts w:ascii="Georgia" w:hAnsi="Georgia" w:cs="Georgia"/>
          <w:sz w:val="22"/>
        </w:rPr>
        <w:t>å</w:t>
      </w:r>
      <w:r w:rsidRPr="00AF64E1">
        <w:rPr>
          <w:rFonts w:ascii="Georgia" w:hAnsi="Georgia"/>
          <w:sz w:val="22"/>
        </w:rPr>
        <w:t>d, Copenhagen.</w:t>
      </w:r>
      <w:r w:rsidR="00224156" w:rsidRPr="00AF64E1">
        <w:rPr>
          <w:rFonts w:ascii="Georgia" w:hAnsi="Georgia"/>
          <w:sz w:val="22"/>
        </w:rPr>
        <w:t xml:space="preserve"> 127 sid.</w:t>
      </w:r>
    </w:p>
    <w:p w14:paraId="56D7EA2A" w14:textId="77777777" w:rsidR="00EA7E2D" w:rsidRPr="00EA7E2D" w:rsidRDefault="00EA7E2D" w:rsidP="00EA7E2D">
      <w:pPr>
        <w:pStyle w:val="Litteraturfrteckning"/>
        <w:spacing w:line="240" w:lineRule="auto"/>
        <w:rPr>
          <w:rFonts w:ascii="Georgia" w:hAnsi="Georgia"/>
          <w:sz w:val="22"/>
          <w:lang w:val="en-US"/>
        </w:rPr>
      </w:pPr>
      <w:r w:rsidRPr="00673069">
        <w:rPr>
          <w:rFonts w:ascii="Georgia" w:hAnsi="Georgia"/>
          <w:sz w:val="22"/>
        </w:rPr>
        <w:t xml:space="preserve">Härmä, M., A. Lappalainen, and L. Urho. 2008. </w:t>
      </w:r>
      <w:r w:rsidRPr="00EA7E2D">
        <w:rPr>
          <w:rFonts w:ascii="Georgia" w:hAnsi="Georgia"/>
          <w:sz w:val="22"/>
          <w:lang w:val="en-US"/>
        </w:rPr>
        <w:t>Reproduction areas of roach (Rutilus rutilus) in the northern Baltic Sea: potential effects of climate change. Canadian Journal of Fisheries and Aquatic Sciences 65:2678–2688.</w:t>
      </w:r>
    </w:p>
    <w:p w14:paraId="191490DF" w14:textId="632F2C39" w:rsidR="00224156" w:rsidRPr="00AF64E1" w:rsidRDefault="00224156" w:rsidP="00EA7E2D">
      <w:pPr>
        <w:pStyle w:val="Litteraturfrteckning"/>
        <w:spacing w:line="240" w:lineRule="auto"/>
        <w:rPr>
          <w:rFonts w:ascii="Georgia" w:hAnsi="Georgia"/>
          <w:sz w:val="22"/>
        </w:rPr>
      </w:pPr>
      <w:r w:rsidRPr="00AF64E1">
        <w:rPr>
          <w:rFonts w:ascii="Georgia" w:hAnsi="Georgia"/>
          <w:sz w:val="22"/>
          <w:lang w:val="en-US"/>
        </w:rPr>
        <w:t xml:space="preserve">Kraufvelin, P., Z. Pekcan-Hekim, U. Bergström, A.-B. Florin, A. Lehikoinen, J. Mattila, J. Olsson. </w:t>
      </w:r>
      <w:r w:rsidRPr="00224156">
        <w:rPr>
          <w:rFonts w:ascii="Georgia" w:hAnsi="Georgia"/>
          <w:sz w:val="22"/>
          <w:lang w:val="en-US"/>
        </w:rPr>
        <w:t>2016. Essential fish habitats (EFH): Conclusions fr</w:t>
      </w:r>
      <w:r>
        <w:rPr>
          <w:rFonts w:ascii="Georgia" w:hAnsi="Georgia"/>
          <w:sz w:val="22"/>
          <w:lang w:val="en-US"/>
        </w:rPr>
        <w:t xml:space="preserve">om a workshop on the importance, mapping, monitoring, threats and conservation of coastal EFH in the Baltic Sea. </w:t>
      </w:r>
      <w:r w:rsidRPr="00AF64E1">
        <w:rPr>
          <w:rFonts w:ascii="Georgia" w:hAnsi="Georgia"/>
          <w:sz w:val="22"/>
        </w:rPr>
        <w:t>TemaNord 2016:539.</w:t>
      </w:r>
    </w:p>
    <w:p w14:paraId="343F26CC" w14:textId="77777777" w:rsidR="00EA7E2D" w:rsidRPr="00EA7E2D" w:rsidRDefault="00EA7E2D" w:rsidP="00EA7E2D">
      <w:pPr>
        <w:pStyle w:val="Litteraturfrteckning"/>
        <w:spacing w:line="240" w:lineRule="auto"/>
        <w:rPr>
          <w:rFonts w:ascii="Georgia" w:hAnsi="Georgia"/>
          <w:sz w:val="22"/>
        </w:rPr>
      </w:pPr>
      <w:r w:rsidRPr="00224156">
        <w:rPr>
          <w:rFonts w:ascii="Georgia" w:hAnsi="Georgia"/>
          <w:sz w:val="22"/>
        </w:rPr>
        <w:t xml:space="preserve">Lindegarth, M., U. Bergström, J. Mattila, S. Olenin, M. Ollikainen, A.-L. Downie, G. Sundblad, M. Bučas, M. Gullström, M. Snickars, M. Numers, J. R. Svensson, and A.-K. Kosenius. </w:t>
      </w:r>
      <w:r w:rsidRPr="00EA7E2D">
        <w:rPr>
          <w:rFonts w:ascii="Georgia" w:hAnsi="Georgia"/>
          <w:sz w:val="22"/>
          <w:lang w:val="en-US"/>
        </w:rPr>
        <w:t xml:space="preserve">2014. Testing the Potential for Predictive Modeling and Mapping and Extending Its Use as a Tool for Evaluating Management Scenarios and Economic Valuation in the Baltic Sea (PREHAB). </w:t>
      </w:r>
      <w:r w:rsidRPr="00EA7E2D">
        <w:rPr>
          <w:rFonts w:ascii="Georgia" w:hAnsi="Georgia"/>
          <w:sz w:val="22"/>
        </w:rPr>
        <w:t>Ambio 43:82–93.</w:t>
      </w:r>
    </w:p>
    <w:p w14:paraId="75C03C45"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rPr>
        <w:t xml:space="preserve">Ljunggren, L., A. Sandström, U. Bergström, J. Mattila, A. Lappalainen, G. Johansson, G. Sundblad, M. Casini, O. Kaljuste, and B. K. Eriksson. </w:t>
      </w:r>
      <w:r w:rsidRPr="00EA7E2D">
        <w:rPr>
          <w:rFonts w:ascii="Georgia" w:hAnsi="Georgia"/>
          <w:sz w:val="22"/>
          <w:lang w:val="en-US"/>
        </w:rPr>
        <w:t>2010. Recruitment failure of coastal predatory fish in the Baltic Sea coincident with an offshore ecosystem regime shift. ICES Journal of Marine Science 67:1587–1595.</w:t>
      </w:r>
    </w:p>
    <w:p w14:paraId="6AD50CF0"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Meier, H. E. M. 2006. Baltic Sea climate in the late twenty-first century: a dynamical downscaling approach using two global models and two emission scenarios. Climate Dynamics 27:39–68.</w:t>
      </w:r>
    </w:p>
    <w:p w14:paraId="0A5E465B"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Olsson, J., M. T. Tomczak, H. Ojaveer, A. Gårdmark, A. Põllumäe, B. Müller-Karulis, D. Ustups, G. E. Dinesen, H. Peltonen, I. Putnis, L. Szymanek, M. Simm, O. Heikinheimo, P. Gasyukov, P. Axe, and L. Bergström. 2015. Temporal development of coastal ecosystems in the Baltic Sea over the past two decades. ICES Journal of Marine Science: Journal du Conseil.</w:t>
      </w:r>
    </w:p>
    <w:p w14:paraId="5DBDCB93"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Östman, Ö., J. Eklöf, B. K. Eriksson, J. Olsson, P.-O. Moksnes, and U. Bergström. 2016. Top-down control as important as nutrient enrichment for eutrophication effects in North Atlantic coastal ecosystems. Journal of Applied Ecology 53:1138–1147.</w:t>
      </w:r>
    </w:p>
    <w:p w14:paraId="5537C149"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Sandström, A., B. K. Eriksson, P. Karås, M. Isæus, and H. Schreiber. 2005. Boating and navigation activities influence the recruitment of fish in a Baltic Sea archipelago area. Ambio 34:125–130.</w:t>
      </w:r>
    </w:p>
    <w:p w14:paraId="56FEE329"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Sandström, O., E. Neuman, and G. Thoresson. 1995. Effects of temperature on life history variables in perch. Journal of Fish Biology 47:652–670.</w:t>
      </w:r>
    </w:p>
    <w:p w14:paraId="0B5D8D57"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Snickars, M., A. Sandström, A. Lappalainen, and J. Mattila. 2007. Evaluation of low impact pressure waves as a quantitative sampling method for small fish in shallow water. Journal of Experimental Marine Biology and Ecology 343:138–147.</w:t>
      </w:r>
    </w:p>
    <w:p w14:paraId="1F03F63C"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lastRenderedPageBreak/>
        <w:t>Snickars, M., A. Sandström, A. Lappalainen, J. Mattila, K. Rosqvist, and L. Urho. 2009. Fish assemblages in coastal lagoons in land-uplift succession: The relative importance of local and regional environmental gradients. Estuarine, Coastal and Shelf Science 81:247–256.</w:t>
      </w:r>
    </w:p>
    <w:p w14:paraId="760A150A"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Sundblad, G., and U. Bergström. 2014. Shoreline development and degradation of coastal fish reproduction habitats. Ambio 43:1020–1028.</w:t>
      </w:r>
    </w:p>
    <w:p w14:paraId="7BD61824" w14:textId="77777777" w:rsidR="00EA7E2D" w:rsidRPr="00EA7E2D" w:rsidRDefault="00EA7E2D" w:rsidP="00EA7E2D">
      <w:pPr>
        <w:pStyle w:val="Litteraturfrteckning"/>
        <w:spacing w:line="240" w:lineRule="auto"/>
        <w:rPr>
          <w:rFonts w:ascii="Georgia" w:hAnsi="Georgia"/>
          <w:sz w:val="22"/>
          <w:lang w:val="en-US"/>
        </w:rPr>
      </w:pPr>
      <w:r w:rsidRPr="00EA7E2D">
        <w:rPr>
          <w:rFonts w:ascii="Georgia" w:hAnsi="Georgia"/>
          <w:sz w:val="22"/>
          <w:lang w:val="en-US"/>
        </w:rPr>
        <w:t>Sundblad, G., U. Bergström, and A. Sandström. 2011. Ecological coherence of marine protected area networks: a spatial assessment using species distribution models. Journal of Applied Ecology 48:112–120.</w:t>
      </w:r>
    </w:p>
    <w:p w14:paraId="5F69127D" w14:textId="77777777" w:rsidR="00EA7E2D" w:rsidRPr="00EA7E2D" w:rsidRDefault="00EA7E2D" w:rsidP="00EA7E2D">
      <w:pPr>
        <w:pStyle w:val="Litteraturfrteckning"/>
        <w:spacing w:line="240" w:lineRule="auto"/>
        <w:rPr>
          <w:rFonts w:ascii="Georgia" w:hAnsi="Georgia"/>
          <w:sz w:val="22"/>
        </w:rPr>
      </w:pPr>
      <w:r w:rsidRPr="00EA7E2D">
        <w:rPr>
          <w:rFonts w:ascii="Georgia" w:hAnsi="Georgia"/>
          <w:sz w:val="22"/>
          <w:lang w:val="en-US"/>
        </w:rPr>
        <w:t xml:space="preserve">Sundblad, G., U. Bergström, A. Sandström, and P. Eklöv. 2014. Nursery habitat availability limits adult stock sizes of predatory coastal fish. </w:t>
      </w:r>
      <w:r w:rsidRPr="00EA7E2D">
        <w:rPr>
          <w:rFonts w:ascii="Georgia" w:hAnsi="Georgia"/>
          <w:sz w:val="22"/>
        </w:rPr>
        <w:t>ICES Journal of Marine Science 71:672–680.</w:t>
      </w:r>
    </w:p>
    <w:p w14:paraId="5A676177" w14:textId="131A0206" w:rsidR="00534249" w:rsidRPr="000373D5" w:rsidRDefault="00BE5E56" w:rsidP="00EA7E2D">
      <w:pPr>
        <w:pStyle w:val="Brdtext"/>
        <w:spacing w:line="240" w:lineRule="auto"/>
      </w:pPr>
      <w:r>
        <w:fldChar w:fldCharType="end"/>
      </w:r>
    </w:p>
    <w:sectPr w:rsidR="00534249" w:rsidRPr="000373D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A6680" w14:textId="77777777" w:rsidR="00F040CA" w:rsidRDefault="00F040CA" w:rsidP="00D846CA">
      <w:r>
        <w:separator/>
      </w:r>
    </w:p>
  </w:endnote>
  <w:endnote w:type="continuationSeparator" w:id="0">
    <w:p w14:paraId="31918BC2" w14:textId="77777777" w:rsidR="00F040CA" w:rsidRDefault="00F040CA"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1A351023" w14:textId="5F80F44F" w:rsidR="00F040CA" w:rsidRDefault="00F040CA">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5354E3">
          <w:rPr>
            <w:sz w:val="18"/>
            <w:szCs w:val="18"/>
          </w:rPr>
          <w:t>17</w:t>
        </w:r>
        <w:r w:rsidRPr="00D403D0">
          <w:rPr>
            <w:sz w:val="18"/>
            <w:szCs w:val="18"/>
          </w:rPr>
          <w:fldChar w:fldCharType="end"/>
        </w:r>
      </w:p>
    </w:sdtContent>
  </w:sdt>
  <w:p w14:paraId="00B8D514" w14:textId="77777777" w:rsidR="00F040CA" w:rsidRPr="00356C54" w:rsidRDefault="00F040CA"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373C2" w14:textId="77777777" w:rsidR="00F040CA" w:rsidRDefault="00F040CA" w:rsidP="00D846CA">
      <w:r>
        <w:separator/>
      </w:r>
    </w:p>
  </w:footnote>
  <w:footnote w:type="continuationSeparator" w:id="0">
    <w:p w14:paraId="695D9054" w14:textId="77777777" w:rsidR="00F040CA" w:rsidRDefault="00F040CA"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DD608" w14:textId="77777777" w:rsidR="00F040CA" w:rsidRDefault="00F040CA">
    <w:pPr>
      <w:pStyle w:val="Sidhuvud"/>
    </w:pPr>
    <w:bookmarkStart w:id="1" w:name="bmLogga"/>
    <w:r>
      <w:rPr>
        <w:lang w:eastAsia="sv-SE"/>
      </w:rPr>
      <w:drawing>
        <wp:inline distT="0" distB="0" distL="0" distR="0" wp14:anchorId="4B014D1E" wp14:editId="0BF85C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3398C92C" w14:textId="77777777" w:rsidR="00F040CA" w:rsidRPr="005A4563" w:rsidRDefault="00F040CA"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B5A38EC"/>
    <w:multiLevelType w:val="hybridMultilevel"/>
    <w:tmpl w:val="D41255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3667C"/>
    <w:multiLevelType w:val="hybridMultilevel"/>
    <w:tmpl w:val="EEBC3C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9"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52A1E59"/>
    <w:multiLevelType w:val="hybridMultilevel"/>
    <w:tmpl w:val="E06C4D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D033593"/>
    <w:multiLevelType w:val="hybridMultilevel"/>
    <w:tmpl w:val="8BA6EE88"/>
    <w:lvl w:ilvl="0" w:tplc="1766182A">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304E78"/>
    <w:multiLevelType w:val="hybridMultilevel"/>
    <w:tmpl w:val="30BE35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662B452D"/>
    <w:multiLevelType w:val="hybridMultilevel"/>
    <w:tmpl w:val="3C667CA6"/>
    <w:lvl w:ilvl="0" w:tplc="79DC504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CC2154"/>
    <w:multiLevelType w:val="hybridMultilevel"/>
    <w:tmpl w:val="AC3AE1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10"/>
  </w:num>
  <w:num w:numId="13">
    <w:abstractNumId w:val="19"/>
  </w:num>
  <w:num w:numId="14">
    <w:abstractNumId w:val="2"/>
  </w:num>
  <w:num w:numId="15">
    <w:abstractNumId w:val="20"/>
  </w:num>
  <w:num w:numId="16">
    <w:abstractNumId w:val="5"/>
  </w:num>
  <w:num w:numId="17">
    <w:abstractNumId w:val="4"/>
  </w:num>
  <w:num w:numId="18">
    <w:abstractNumId w:val="22"/>
  </w:num>
  <w:num w:numId="19">
    <w:abstractNumId w:val="21"/>
  </w:num>
  <w:num w:numId="20">
    <w:abstractNumId w:val="14"/>
  </w:num>
  <w:num w:numId="21">
    <w:abstractNumId w:val="8"/>
  </w:num>
  <w:num w:numId="22">
    <w:abstractNumId w:val="11"/>
  </w:num>
  <w:num w:numId="23">
    <w:abstractNumId w:val="12"/>
  </w:num>
  <w:num w:numId="24">
    <w:abstractNumId w:val="6"/>
  </w:num>
  <w:num w:numId="25">
    <w:abstractNumId w:val="17"/>
  </w:num>
  <w:num w:numId="26">
    <w:abstractNumId w:val="9"/>
  </w:num>
  <w:num w:numId="27">
    <w:abstractNumId w:val="18"/>
  </w:num>
  <w:num w:numId="28">
    <w:abstractNumId w:val="15"/>
  </w:num>
  <w:num w:numId="29">
    <w:abstractNumId w:val="7"/>
  </w:num>
  <w:num w:numId="30">
    <w:abstractNumId w:val="24"/>
  </w:num>
  <w:num w:numId="31">
    <w:abstractNumId w:val="13"/>
  </w:num>
  <w:num w:numId="32">
    <w:abstractNumId w:val="3"/>
  </w:num>
  <w:num w:numId="33">
    <w:abstractNumId w:val="1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01C3E"/>
    <w:rsid w:val="000039B7"/>
    <w:rsid w:val="0000530F"/>
    <w:rsid w:val="00013EF4"/>
    <w:rsid w:val="00017F8E"/>
    <w:rsid w:val="00024B0A"/>
    <w:rsid w:val="000373D5"/>
    <w:rsid w:val="00053612"/>
    <w:rsid w:val="000537AF"/>
    <w:rsid w:val="00055130"/>
    <w:rsid w:val="00060958"/>
    <w:rsid w:val="00062281"/>
    <w:rsid w:val="00064B50"/>
    <w:rsid w:val="00074731"/>
    <w:rsid w:val="0008257F"/>
    <w:rsid w:val="0008484B"/>
    <w:rsid w:val="00084D41"/>
    <w:rsid w:val="0009349B"/>
    <w:rsid w:val="00096F5B"/>
    <w:rsid w:val="0009789F"/>
    <w:rsid w:val="000B2C75"/>
    <w:rsid w:val="000B33F7"/>
    <w:rsid w:val="000D0EB0"/>
    <w:rsid w:val="000E5692"/>
    <w:rsid w:val="00102D8E"/>
    <w:rsid w:val="001040C4"/>
    <w:rsid w:val="00106F21"/>
    <w:rsid w:val="00113AD4"/>
    <w:rsid w:val="0011411D"/>
    <w:rsid w:val="0011602D"/>
    <w:rsid w:val="001204B5"/>
    <w:rsid w:val="0013060E"/>
    <w:rsid w:val="001319EF"/>
    <w:rsid w:val="0013312F"/>
    <w:rsid w:val="00134617"/>
    <w:rsid w:val="00145BED"/>
    <w:rsid w:val="00151EF7"/>
    <w:rsid w:val="00156B67"/>
    <w:rsid w:val="00170F06"/>
    <w:rsid w:val="00171A84"/>
    <w:rsid w:val="00173EC6"/>
    <w:rsid w:val="00177513"/>
    <w:rsid w:val="00190B55"/>
    <w:rsid w:val="00192AF0"/>
    <w:rsid w:val="001A460F"/>
    <w:rsid w:val="001B300A"/>
    <w:rsid w:val="001B602A"/>
    <w:rsid w:val="001B6F45"/>
    <w:rsid w:val="001C053E"/>
    <w:rsid w:val="001C1A15"/>
    <w:rsid w:val="001C24F7"/>
    <w:rsid w:val="001C2CEC"/>
    <w:rsid w:val="001C5EFB"/>
    <w:rsid w:val="001C677F"/>
    <w:rsid w:val="001E6610"/>
    <w:rsid w:val="001E6964"/>
    <w:rsid w:val="002047A7"/>
    <w:rsid w:val="002110E2"/>
    <w:rsid w:val="002137D4"/>
    <w:rsid w:val="00215646"/>
    <w:rsid w:val="00222600"/>
    <w:rsid w:val="00224156"/>
    <w:rsid w:val="0022504F"/>
    <w:rsid w:val="00237541"/>
    <w:rsid w:val="002413F0"/>
    <w:rsid w:val="00246ADD"/>
    <w:rsid w:val="00250209"/>
    <w:rsid w:val="00261373"/>
    <w:rsid w:val="00266B3C"/>
    <w:rsid w:val="00276DDB"/>
    <w:rsid w:val="0028242D"/>
    <w:rsid w:val="00291B4A"/>
    <w:rsid w:val="002957A5"/>
    <w:rsid w:val="00295BEA"/>
    <w:rsid w:val="002A1915"/>
    <w:rsid w:val="002A24A2"/>
    <w:rsid w:val="002A75E8"/>
    <w:rsid w:val="002D4191"/>
    <w:rsid w:val="002E2677"/>
    <w:rsid w:val="002E7F02"/>
    <w:rsid w:val="002F19E0"/>
    <w:rsid w:val="002F35E1"/>
    <w:rsid w:val="0030627F"/>
    <w:rsid w:val="00315203"/>
    <w:rsid w:val="003175BE"/>
    <w:rsid w:val="0034175C"/>
    <w:rsid w:val="00345AB1"/>
    <w:rsid w:val="00351BD6"/>
    <w:rsid w:val="003523FF"/>
    <w:rsid w:val="00353866"/>
    <w:rsid w:val="00354126"/>
    <w:rsid w:val="003546A8"/>
    <w:rsid w:val="00354B98"/>
    <w:rsid w:val="00356C54"/>
    <w:rsid w:val="003728BF"/>
    <w:rsid w:val="00374AA0"/>
    <w:rsid w:val="0038462B"/>
    <w:rsid w:val="003852A1"/>
    <w:rsid w:val="00397D26"/>
    <w:rsid w:val="003B0089"/>
    <w:rsid w:val="003B20A9"/>
    <w:rsid w:val="003B4CD1"/>
    <w:rsid w:val="003B718B"/>
    <w:rsid w:val="003C1776"/>
    <w:rsid w:val="003C4075"/>
    <w:rsid w:val="003D34CE"/>
    <w:rsid w:val="003D70BF"/>
    <w:rsid w:val="003E10A0"/>
    <w:rsid w:val="003E62D4"/>
    <w:rsid w:val="003F55D6"/>
    <w:rsid w:val="00402A9C"/>
    <w:rsid w:val="004147A8"/>
    <w:rsid w:val="00414CE6"/>
    <w:rsid w:val="004160A6"/>
    <w:rsid w:val="00421EBC"/>
    <w:rsid w:val="00427C7F"/>
    <w:rsid w:val="004355D4"/>
    <w:rsid w:val="004365DC"/>
    <w:rsid w:val="00436F13"/>
    <w:rsid w:val="00445F87"/>
    <w:rsid w:val="004468E5"/>
    <w:rsid w:val="00446E7D"/>
    <w:rsid w:val="0045136E"/>
    <w:rsid w:val="004705C4"/>
    <w:rsid w:val="00472353"/>
    <w:rsid w:val="00473D1A"/>
    <w:rsid w:val="00475B09"/>
    <w:rsid w:val="00477D2E"/>
    <w:rsid w:val="004823C7"/>
    <w:rsid w:val="00484DE1"/>
    <w:rsid w:val="00490AB8"/>
    <w:rsid w:val="004924BA"/>
    <w:rsid w:val="00494C42"/>
    <w:rsid w:val="004A5837"/>
    <w:rsid w:val="004B7657"/>
    <w:rsid w:val="004D40E5"/>
    <w:rsid w:val="004D7BF0"/>
    <w:rsid w:val="004E35C5"/>
    <w:rsid w:val="004F1B30"/>
    <w:rsid w:val="004F2262"/>
    <w:rsid w:val="005009CD"/>
    <w:rsid w:val="00504259"/>
    <w:rsid w:val="00507177"/>
    <w:rsid w:val="00516800"/>
    <w:rsid w:val="005201F8"/>
    <w:rsid w:val="005215C9"/>
    <w:rsid w:val="00525303"/>
    <w:rsid w:val="00533574"/>
    <w:rsid w:val="00534249"/>
    <w:rsid w:val="005354E3"/>
    <w:rsid w:val="00544886"/>
    <w:rsid w:val="00546A93"/>
    <w:rsid w:val="005521AD"/>
    <w:rsid w:val="00553AFD"/>
    <w:rsid w:val="0056337F"/>
    <w:rsid w:val="00565E25"/>
    <w:rsid w:val="00566C10"/>
    <w:rsid w:val="0057175A"/>
    <w:rsid w:val="00571F4E"/>
    <w:rsid w:val="00576D4C"/>
    <w:rsid w:val="00580B87"/>
    <w:rsid w:val="00583995"/>
    <w:rsid w:val="00587E60"/>
    <w:rsid w:val="005913C5"/>
    <w:rsid w:val="00593474"/>
    <w:rsid w:val="005937B9"/>
    <w:rsid w:val="005A0221"/>
    <w:rsid w:val="005A1F07"/>
    <w:rsid w:val="005A4400"/>
    <w:rsid w:val="005A4563"/>
    <w:rsid w:val="005B126E"/>
    <w:rsid w:val="005B76FC"/>
    <w:rsid w:val="005B7929"/>
    <w:rsid w:val="005C417C"/>
    <w:rsid w:val="005C5024"/>
    <w:rsid w:val="005D062B"/>
    <w:rsid w:val="005D132C"/>
    <w:rsid w:val="005D439F"/>
    <w:rsid w:val="005E28DA"/>
    <w:rsid w:val="005E2A7E"/>
    <w:rsid w:val="005E61EB"/>
    <w:rsid w:val="005E7034"/>
    <w:rsid w:val="006024C3"/>
    <w:rsid w:val="006024F8"/>
    <w:rsid w:val="00603965"/>
    <w:rsid w:val="00610375"/>
    <w:rsid w:val="0061143A"/>
    <w:rsid w:val="006122F7"/>
    <w:rsid w:val="00616EF0"/>
    <w:rsid w:val="006202BE"/>
    <w:rsid w:val="0062144B"/>
    <w:rsid w:val="00624BB8"/>
    <w:rsid w:val="00630F38"/>
    <w:rsid w:val="00644C7A"/>
    <w:rsid w:val="00650E11"/>
    <w:rsid w:val="00665204"/>
    <w:rsid w:val="00673069"/>
    <w:rsid w:val="00674F21"/>
    <w:rsid w:val="0067501E"/>
    <w:rsid w:val="00680367"/>
    <w:rsid w:val="00687EB7"/>
    <w:rsid w:val="00690DCD"/>
    <w:rsid w:val="00691ED1"/>
    <w:rsid w:val="006944D5"/>
    <w:rsid w:val="00694611"/>
    <w:rsid w:val="00695C28"/>
    <w:rsid w:val="006966A9"/>
    <w:rsid w:val="006A1C72"/>
    <w:rsid w:val="006B793D"/>
    <w:rsid w:val="006C1F79"/>
    <w:rsid w:val="006C3307"/>
    <w:rsid w:val="006C4BA3"/>
    <w:rsid w:val="006D0133"/>
    <w:rsid w:val="006D7DE9"/>
    <w:rsid w:val="006E3BFE"/>
    <w:rsid w:val="006E53FF"/>
    <w:rsid w:val="006F0B77"/>
    <w:rsid w:val="006F132E"/>
    <w:rsid w:val="006F523B"/>
    <w:rsid w:val="006F5EDC"/>
    <w:rsid w:val="006F648D"/>
    <w:rsid w:val="0070387B"/>
    <w:rsid w:val="00706061"/>
    <w:rsid w:val="00713D38"/>
    <w:rsid w:val="00715D77"/>
    <w:rsid w:val="007225FC"/>
    <w:rsid w:val="00722771"/>
    <w:rsid w:val="00724EAD"/>
    <w:rsid w:val="007367A6"/>
    <w:rsid w:val="00737A66"/>
    <w:rsid w:val="00741D96"/>
    <w:rsid w:val="00742D9F"/>
    <w:rsid w:val="00744D37"/>
    <w:rsid w:val="0074555C"/>
    <w:rsid w:val="00745FCA"/>
    <w:rsid w:val="00754000"/>
    <w:rsid w:val="007540D8"/>
    <w:rsid w:val="007605D9"/>
    <w:rsid w:val="00761A25"/>
    <w:rsid w:val="007620E9"/>
    <w:rsid w:val="0076326F"/>
    <w:rsid w:val="007639F8"/>
    <w:rsid w:val="00764336"/>
    <w:rsid w:val="00771886"/>
    <w:rsid w:val="00773B4E"/>
    <w:rsid w:val="00785BB5"/>
    <w:rsid w:val="007959CB"/>
    <w:rsid w:val="00796C21"/>
    <w:rsid w:val="007A08ED"/>
    <w:rsid w:val="007A0C77"/>
    <w:rsid w:val="007A1EFA"/>
    <w:rsid w:val="007A39EC"/>
    <w:rsid w:val="007A4DC2"/>
    <w:rsid w:val="007C0D98"/>
    <w:rsid w:val="007C2CA4"/>
    <w:rsid w:val="007C6A94"/>
    <w:rsid w:val="007C7C4A"/>
    <w:rsid w:val="007D0B24"/>
    <w:rsid w:val="007D54CA"/>
    <w:rsid w:val="007D6AB4"/>
    <w:rsid w:val="007E2CB3"/>
    <w:rsid w:val="007F28D5"/>
    <w:rsid w:val="00804043"/>
    <w:rsid w:val="00804DBE"/>
    <w:rsid w:val="00812505"/>
    <w:rsid w:val="0082747F"/>
    <w:rsid w:val="00827649"/>
    <w:rsid w:val="00831E59"/>
    <w:rsid w:val="00831FA3"/>
    <w:rsid w:val="0083775B"/>
    <w:rsid w:val="00844086"/>
    <w:rsid w:val="0084448C"/>
    <w:rsid w:val="00844A4D"/>
    <w:rsid w:val="00870A6A"/>
    <w:rsid w:val="00871A86"/>
    <w:rsid w:val="00871A93"/>
    <w:rsid w:val="00871B13"/>
    <w:rsid w:val="0087335E"/>
    <w:rsid w:val="00884E7A"/>
    <w:rsid w:val="00884FCF"/>
    <w:rsid w:val="008879D8"/>
    <w:rsid w:val="008A0505"/>
    <w:rsid w:val="008A445E"/>
    <w:rsid w:val="008A483A"/>
    <w:rsid w:val="008B1796"/>
    <w:rsid w:val="008B2D3D"/>
    <w:rsid w:val="008B5020"/>
    <w:rsid w:val="008C0874"/>
    <w:rsid w:val="008C3A39"/>
    <w:rsid w:val="008C4950"/>
    <w:rsid w:val="008D1CB2"/>
    <w:rsid w:val="008D4006"/>
    <w:rsid w:val="008E07D6"/>
    <w:rsid w:val="008E759E"/>
    <w:rsid w:val="008F209F"/>
    <w:rsid w:val="008F5230"/>
    <w:rsid w:val="009030C6"/>
    <w:rsid w:val="00906DF3"/>
    <w:rsid w:val="00907235"/>
    <w:rsid w:val="00907F76"/>
    <w:rsid w:val="00914459"/>
    <w:rsid w:val="00922243"/>
    <w:rsid w:val="009245AB"/>
    <w:rsid w:val="00931192"/>
    <w:rsid w:val="00933933"/>
    <w:rsid w:val="009344CC"/>
    <w:rsid w:val="00936400"/>
    <w:rsid w:val="00936E12"/>
    <w:rsid w:val="0094035B"/>
    <w:rsid w:val="009510BE"/>
    <w:rsid w:val="00963995"/>
    <w:rsid w:val="009737DB"/>
    <w:rsid w:val="00976CD1"/>
    <w:rsid w:val="00977295"/>
    <w:rsid w:val="0097746A"/>
    <w:rsid w:val="009779A0"/>
    <w:rsid w:val="00983754"/>
    <w:rsid w:val="0099593C"/>
    <w:rsid w:val="009A15A2"/>
    <w:rsid w:val="009A768D"/>
    <w:rsid w:val="009B4BAE"/>
    <w:rsid w:val="009D5271"/>
    <w:rsid w:val="009E1B1D"/>
    <w:rsid w:val="009E1C01"/>
    <w:rsid w:val="009E23BB"/>
    <w:rsid w:val="009F473C"/>
    <w:rsid w:val="009F63F1"/>
    <w:rsid w:val="00A03643"/>
    <w:rsid w:val="00A0425B"/>
    <w:rsid w:val="00A04EFE"/>
    <w:rsid w:val="00A126B2"/>
    <w:rsid w:val="00A1284B"/>
    <w:rsid w:val="00A14805"/>
    <w:rsid w:val="00A37DFF"/>
    <w:rsid w:val="00A40126"/>
    <w:rsid w:val="00A410B2"/>
    <w:rsid w:val="00A44A63"/>
    <w:rsid w:val="00A4570B"/>
    <w:rsid w:val="00A562A0"/>
    <w:rsid w:val="00A82AAC"/>
    <w:rsid w:val="00A84F48"/>
    <w:rsid w:val="00A85EC6"/>
    <w:rsid w:val="00A8720B"/>
    <w:rsid w:val="00A90305"/>
    <w:rsid w:val="00A952E2"/>
    <w:rsid w:val="00AA0079"/>
    <w:rsid w:val="00AA30A2"/>
    <w:rsid w:val="00AB2F16"/>
    <w:rsid w:val="00AB3DD1"/>
    <w:rsid w:val="00AB4D2C"/>
    <w:rsid w:val="00AC2496"/>
    <w:rsid w:val="00AC2815"/>
    <w:rsid w:val="00AC3B7F"/>
    <w:rsid w:val="00AC4091"/>
    <w:rsid w:val="00AC6663"/>
    <w:rsid w:val="00AC77A2"/>
    <w:rsid w:val="00AE4B30"/>
    <w:rsid w:val="00AE5DDB"/>
    <w:rsid w:val="00AF64E1"/>
    <w:rsid w:val="00AF6F2B"/>
    <w:rsid w:val="00AF7D4F"/>
    <w:rsid w:val="00B0348F"/>
    <w:rsid w:val="00B13809"/>
    <w:rsid w:val="00B22B22"/>
    <w:rsid w:val="00B32C0E"/>
    <w:rsid w:val="00B35F5D"/>
    <w:rsid w:val="00B41CBA"/>
    <w:rsid w:val="00B45053"/>
    <w:rsid w:val="00B45879"/>
    <w:rsid w:val="00B466E2"/>
    <w:rsid w:val="00B5402C"/>
    <w:rsid w:val="00B54F8E"/>
    <w:rsid w:val="00B60FB4"/>
    <w:rsid w:val="00B61DFE"/>
    <w:rsid w:val="00B63A59"/>
    <w:rsid w:val="00B706C8"/>
    <w:rsid w:val="00B7632E"/>
    <w:rsid w:val="00B83C7B"/>
    <w:rsid w:val="00B87490"/>
    <w:rsid w:val="00B922DC"/>
    <w:rsid w:val="00B92CA0"/>
    <w:rsid w:val="00B94615"/>
    <w:rsid w:val="00B94E43"/>
    <w:rsid w:val="00B94F16"/>
    <w:rsid w:val="00B966B8"/>
    <w:rsid w:val="00BA0426"/>
    <w:rsid w:val="00BA083B"/>
    <w:rsid w:val="00BA7217"/>
    <w:rsid w:val="00BC1698"/>
    <w:rsid w:val="00BC1B8A"/>
    <w:rsid w:val="00BC4AC5"/>
    <w:rsid w:val="00BC5472"/>
    <w:rsid w:val="00BC5D3C"/>
    <w:rsid w:val="00BC6F9E"/>
    <w:rsid w:val="00BD09BA"/>
    <w:rsid w:val="00BD4793"/>
    <w:rsid w:val="00BD5598"/>
    <w:rsid w:val="00BE0FEF"/>
    <w:rsid w:val="00BE14F8"/>
    <w:rsid w:val="00BE231E"/>
    <w:rsid w:val="00BE3240"/>
    <w:rsid w:val="00BE5E56"/>
    <w:rsid w:val="00BF1135"/>
    <w:rsid w:val="00BF7088"/>
    <w:rsid w:val="00C00D60"/>
    <w:rsid w:val="00C03D44"/>
    <w:rsid w:val="00C075F4"/>
    <w:rsid w:val="00C07D65"/>
    <w:rsid w:val="00C21926"/>
    <w:rsid w:val="00C336D1"/>
    <w:rsid w:val="00C35CDB"/>
    <w:rsid w:val="00C35FDA"/>
    <w:rsid w:val="00C368A7"/>
    <w:rsid w:val="00C36F9A"/>
    <w:rsid w:val="00C412F0"/>
    <w:rsid w:val="00C5124C"/>
    <w:rsid w:val="00C65497"/>
    <w:rsid w:val="00C75203"/>
    <w:rsid w:val="00C76A0C"/>
    <w:rsid w:val="00C76BC1"/>
    <w:rsid w:val="00C8208C"/>
    <w:rsid w:val="00C87ADF"/>
    <w:rsid w:val="00C92DEA"/>
    <w:rsid w:val="00CA0653"/>
    <w:rsid w:val="00CA1CD8"/>
    <w:rsid w:val="00CA526E"/>
    <w:rsid w:val="00CA7B54"/>
    <w:rsid w:val="00CB57D2"/>
    <w:rsid w:val="00CB6C92"/>
    <w:rsid w:val="00CB6DA4"/>
    <w:rsid w:val="00CC5C8D"/>
    <w:rsid w:val="00CD0774"/>
    <w:rsid w:val="00CD50EF"/>
    <w:rsid w:val="00CD5E0C"/>
    <w:rsid w:val="00CE44D5"/>
    <w:rsid w:val="00CE55E3"/>
    <w:rsid w:val="00CE6559"/>
    <w:rsid w:val="00CE71D2"/>
    <w:rsid w:val="00CF2AEF"/>
    <w:rsid w:val="00CF363B"/>
    <w:rsid w:val="00CF4B51"/>
    <w:rsid w:val="00CF517E"/>
    <w:rsid w:val="00CF63E2"/>
    <w:rsid w:val="00CF6615"/>
    <w:rsid w:val="00CF6C7B"/>
    <w:rsid w:val="00CF72B9"/>
    <w:rsid w:val="00D00924"/>
    <w:rsid w:val="00D01444"/>
    <w:rsid w:val="00D0220B"/>
    <w:rsid w:val="00D05BBE"/>
    <w:rsid w:val="00D07703"/>
    <w:rsid w:val="00D110E3"/>
    <w:rsid w:val="00D204D2"/>
    <w:rsid w:val="00D267FA"/>
    <w:rsid w:val="00D3105C"/>
    <w:rsid w:val="00D347D3"/>
    <w:rsid w:val="00D403D0"/>
    <w:rsid w:val="00D44830"/>
    <w:rsid w:val="00D5132D"/>
    <w:rsid w:val="00D5562B"/>
    <w:rsid w:val="00D607A5"/>
    <w:rsid w:val="00D60C47"/>
    <w:rsid w:val="00D61634"/>
    <w:rsid w:val="00D6238A"/>
    <w:rsid w:val="00D8062A"/>
    <w:rsid w:val="00D80C15"/>
    <w:rsid w:val="00D846CA"/>
    <w:rsid w:val="00D94062"/>
    <w:rsid w:val="00DA07F7"/>
    <w:rsid w:val="00DA66D1"/>
    <w:rsid w:val="00DB34D6"/>
    <w:rsid w:val="00DB46D9"/>
    <w:rsid w:val="00DB5432"/>
    <w:rsid w:val="00DC761B"/>
    <w:rsid w:val="00DD2099"/>
    <w:rsid w:val="00DD2762"/>
    <w:rsid w:val="00DD5DC9"/>
    <w:rsid w:val="00DE67DC"/>
    <w:rsid w:val="00DF56BE"/>
    <w:rsid w:val="00DF58AB"/>
    <w:rsid w:val="00E00A04"/>
    <w:rsid w:val="00E05C07"/>
    <w:rsid w:val="00E13817"/>
    <w:rsid w:val="00E16712"/>
    <w:rsid w:val="00E233A0"/>
    <w:rsid w:val="00E26F8A"/>
    <w:rsid w:val="00E34D20"/>
    <w:rsid w:val="00E367EC"/>
    <w:rsid w:val="00E369ED"/>
    <w:rsid w:val="00E373B3"/>
    <w:rsid w:val="00E41EFE"/>
    <w:rsid w:val="00E57FDF"/>
    <w:rsid w:val="00E8125F"/>
    <w:rsid w:val="00E82E13"/>
    <w:rsid w:val="00E830B9"/>
    <w:rsid w:val="00E85F72"/>
    <w:rsid w:val="00E861E0"/>
    <w:rsid w:val="00E92FB9"/>
    <w:rsid w:val="00E97E2A"/>
    <w:rsid w:val="00EA05F5"/>
    <w:rsid w:val="00EA4763"/>
    <w:rsid w:val="00EA4CE3"/>
    <w:rsid w:val="00EA5CFB"/>
    <w:rsid w:val="00EA7E2D"/>
    <w:rsid w:val="00EC352B"/>
    <w:rsid w:val="00EC606E"/>
    <w:rsid w:val="00EE1A5E"/>
    <w:rsid w:val="00EE23DD"/>
    <w:rsid w:val="00EF0761"/>
    <w:rsid w:val="00EF0F8F"/>
    <w:rsid w:val="00EF2732"/>
    <w:rsid w:val="00EF2BC0"/>
    <w:rsid w:val="00F01C85"/>
    <w:rsid w:val="00F01F1A"/>
    <w:rsid w:val="00F0270F"/>
    <w:rsid w:val="00F0386D"/>
    <w:rsid w:val="00F040CA"/>
    <w:rsid w:val="00F10452"/>
    <w:rsid w:val="00F159CF"/>
    <w:rsid w:val="00F161CF"/>
    <w:rsid w:val="00F21AC7"/>
    <w:rsid w:val="00F23544"/>
    <w:rsid w:val="00F265B9"/>
    <w:rsid w:val="00F26A15"/>
    <w:rsid w:val="00F33717"/>
    <w:rsid w:val="00F45946"/>
    <w:rsid w:val="00F45A1B"/>
    <w:rsid w:val="00F4750E"/>
    <w:rsid w:val="00F5194D"/>
    <w:rsid w:val="00F525BE"/>
    <w:rsid w:val="00F54CDD"/>
    <w:rsid w:val="00F5601E"/>
    <w:rsid w:val="00F56AC8"/>
    <w:rsid w:val="00F57E0A"/>
    <w:rsid w:val="00F60368"/>
    <w:rsid w:val="00F61D18"/>
    <w:rsid w:val="00F87720"/>
    <w:rsid w:val="00F87DD4"/>
    <w:rsid w:val="00F93AE8"/>
    <w:rsid w:val="00F93C0F"/>
    <w:rsid w:val="00FA656B"/>
    <w:rsid w:val="00FA72F9"/>
    <w:rsid w:val="00FA7540"/>
    <w:rsid w:val="00FB489F"/>
    <w:rsid w:val="00FB7728"/>
    <w:rsid w:val="00FC5460"/>
    <w:rsid w:val="00FC6EB3"/>
    <w:rsid w:val="00FD537A"/>
    <w:rsid w:val="00FD7142"/>
    <w:rsid w:val="00FE0103"/>
    <w:rsid w:val="00FE01C4"/>
    <w:rsid w:val="00FE256D"/>
    <w:rsid w:val="00FE418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44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Litteraturfrteckning">
    <w:name w:val="Bibliography"/>
    <w:basedOn w:val="Normal"/>
    <w:next w:val="Normal"/>
    <w:uiPriority w:val="37"/>
    <w:unhideWhenUsed/>
    <w:rsid w:val="00BE5E56"/>
    <w:pPr>
      <w:tabs>
        <w:tab w:val="clear" w:pos="5041"/>
      </w:tabs>
      <w:spacing w:after="0" w:line="480" w:lineRule="auto"/>
      <w:ind w:left="720" w:hanging="720"/>
    </w:pPr>
  </w:style>
  <w:style w:type="paragraph" w:styleId="Revision">
    <w:name w:val="Revision"/>
    <w:hidden/>
    <w:uiPriority w:val="99"/>
    <w:semiHidden/>
    <w:rsid w:val="00DA07F7"/>
    <w:rPr>
      <w:rFonts w:ascii="Times New Roman" w:eastAsia="Times New Roman" w:hAnsi="Times New Roman" w:cs="Times New Roman"/>
      <w:sz w:val="24"/>
      <w:szCs w:val="24"/>
      <w:lang w:eastAsia="sv-SE"/>
    </w:rPr>
  </w:style>
  <w:style w:type="paragraph" w:customStyle="1" w:styleId="HaVTabell">
    <w:name w:val="HaVTabell"/>
    <w:uiPriority w:val="12"/>
    <w:rsid w:val="004D40E5"/>
    <w:rPr>
      <w:rFonts w:ascii="Arial" w:hAnsi="Arial" w:cs="Minion Pro"/>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213732">
      <w:bodyDiv w:val="1"/>
      <w:marLeft w:val="0"/>
      <w:marRight w:val="0"/>
      <w:marTop w:val="0"/>
      <w:marBottom w:val="0"/>
      <w:divBdr>
        <w:top w:val="none" w:sz="0" w:space="0" w:color="auto"/>
        <w:left w:val="none" w:sz="0" w:space="0" w:color="auto"/>
        <w:bottom w:val="none" w:sz="0" w:space="0" w:color="auto"/>
        <w:right w:val="none" w:sz="0" w:space="0" w:color="auto"/>
      </w:divBdr>
      <w:divsChild>
        <w:div w:id="2066368842">
          <w:marLeft w:val="0"/>
          <w:marRight w:val="0"/>
          <w:marTop w:val="0"/>
          <w:marBottom w:val="0"/>
          <w:divBdr>
            <w:top w:val="none" w:sz="0" w:space="0" w:color="auto"/>
            <w:left w:val="none" w:sz="0" w:space="0" w:color="auto"/>
            <w:bottom w:val="none" w:sz="0" w:space="0" w:color="auto"/>
            <w:right w:val="none" w:sz="0" w:space="0" w:color="auto"/>
          </w:divBdr>
          <w:divsChild>
            <w:div w:id="1246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31128">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4965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storage-dh.slu.se\home$\gnsu0001\My%20Documents\Goran\2015015%20Yngelindikator%20livsmilj&#246;%20GS\resultatsammanst&#228;llning%20till%20leveran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ln w="19050" cap="rnd">
              <a:solidFill>
                <a:schemeClr val="tx1"/>
              </a:solidFill>
              <a:prstDash val="solid"/>
              <a:round/>
            </a:ln>
            <a:effectLst/>
          </c:spPr>
          <c:invertIfNegative val="0"/>
          <c:dPt>
            <c:idx val="0"/>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01-CD90-423B-8521-4D867DAE6A0F}"/>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CD90-423B-8521-4D867DAE6A0F}"/>
              </c:ext>
            </c:extLst>
          </c:dPt>
          <c:dPt>
            <c:idx val="2"/>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05-CD90-423B-8521-4D867DAE6A0F}"/>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CD90-423B-8521-4D867DAE6A0F}"/>
              </c:ext>
            </c:extLst>
          </c:dPt>
          <c:dPt>
            <c:idx val="4"/>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09-CD90-423B-8521-4D867DAE6A0F}"/>
              </c:ext>
            </c:extLst>
          </c:dPt>
          <c:dPt>
            <c:idx val="5"/>
            <c:invertIfNegative val="0"/>
            <c:bubble3D val="0"/>
            <c:spPr>
              <a:solidFill>
                <a:schemeClr val="bg1"/>
              </a:solidFill>
              <a:ln>
                <a:solidFill>
                  <a:schemeClr val="tx1"/>
                </a:solidFill>
              </a:ln>
              <a:effectLst/>
            </c:spPr>
            <c:extLst>
              <c:ext xmlns:c16="http://schemas.microsoft.com/office/drawing/2014/chart" uri="{C3380CC4-5D6E-409C-BE32-E72D297353CC}">
                <c16:uniqueId val="{0000000B-CD90-423B-8521-4D867DAE6A0F}"/>
              </c:ext>
            </c:extLst>
          </c:dPt>
          <c:dPt>
            <c:idx val="6"/>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0D-CD90-423B-8521-4D867DAE6A0F}"/>
              </c:ext>
            </c:extLst>
          </c:dPt>
          <c:dPt>
            <c:idx val="7"/>
            <c:invertIfNegative val="0"/>
            <c:bubble3D val="0"/>
            <c:spPr>
              <a:solidFill>
                <a:schemeClr val="bg1"/>
              </a:solidFill>
              <a:ln>
                <a:solidFill>
                  <a:schemeClr val="tx1"/>
                </a:solidFill>
              </a:ln>
              <a:effectLst/>
            </c:spPr>
            <c:extLst>
              <c:ext xmlns:c16="http://schemas.microsoft.com/office/drawing/2014/chart" uri="{C3380CC4-5D6E-409C-BE32-E72D297353CC}">
                <c16:uniqueId val="{0000000F-CD90-423B-8521-4D867DAE6A0F}"/>
              </c:ext>
            </c:extLst>
          </c:dPt>
          <c:dPt>
            <c:idx val="8"/>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11-CD90-423B-8521-4D867DAE6A0F}"/>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13-CD90-423B-8521-4D867DAE6A0F}"/>
              </c:ext>
            </c:extLst>
          </c:dPt>
          <c:dPt>
            <c:idx val="10"/>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15-CD90-423B-8521-4D867DAE6A0F}"/>
              </c:ext>
            </c:extLst>
          </c:dPt>
          <c:dPt>
            <c:idx val="11"/>
            <c:invertIfNegative val="0"/>
            <c:bubble3D val="0"/>
            <c:spPr>
              <a:solidFill>
                <a:schemeClr val="bg1"/>
              </a:solidFill>
              <a:ln>
                <a:solidFill>
                  <a:schemeClr val="tx1"/>
                </a:solidFill>
              </a:ln>
              <a:effectLst/>
            </c:spPr>
            <c:extLst>
              <c:ext xmlns:c16="http://schemas.microsoft.com/office/drawing/2014/chart" uri="{C3380CC4-5D6E-409C-BE32-E72D297353CC}">
                <c16:uniqueId val="{00000017-CD90-423B-8521-4D867DAE6A0F}"/>
              </c:ext>
            </c:extLst>
          </c:dPt>
          <c:dPt>
            <c:idx val="12"/>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19-CD90-423B-8521-4D867DAE6A0F}"/>
              </c:ext>
            </c:extLst>
          </c:dPt>
          <c:dPt>
            <c:idx val="14"/>
            <c:invertIfNegative val="0"/>
            <c:bubble3D val="0"/>
            <c:spPr>
              <a:solidFill>
                <a:srgbClr val="E7E6E6">
                  <a:lumMod val="75000"/>
                </a:srgbClr>
              </a:solidFill>
              <a:ln>
                <a:solidFill>
                  <a:schemeClr val="tx1"/>
                </a:solidFill>
              </a:ln>
              <a:effectLst/>
            </c:spPr>
            <c:extLst>
              <c:ext xmlns:c16="http://schemas.microsoft.com/office/drawing/2014/chart" uri="{C3380CC4-5D6E-409C-BE32-E72D297353CC}">
                <c16:uniqueId val="{0000001B-CD90-423B-8521-4D867DAE6A0F}"/>
              </c:ext>
            </c:extLst>
          </c:dPt>
          <c:errBars>
            <c:errBarType val="both"/>
            <c:errValType val="cust"/>
            <c:noEndCap val="0"/>
            <c:plus>
              <c:numRef>
                <c:f>pot_tab!$AU$4:$AU$18</c:f>
                <c:numCache>
                  <c:formatCode>General</c:formatCode>
                  <c:ptCount val="15"/>
                  <c:pt idx="0">
                    <c:v>6.9485929474827103E-3</c:v>
                  </c:pt>
                  <c:pt idx="1">
                    <c:v>9.3131854483584197E-3</c:v>
                  </c:pt>
                  <c:pt idx="2">
                    <c:v>1.35239693300102E-2</c:v>
                  </c:pt>
                  <c:pt idx="3">
                    <c:v>6.2238680878013396E-3</c:v>
                  </c:pt>
                  <c:pt idx="4">
                    <c:v>2.1872940964135099E-2</c:v>
                  </c:pt>
                  <c:pt idx="5">
                    <c:v>4.7445923290171197E-3</c:v>
                  </c:pt>
                  <c:pt idx="6">
                    <c:v>3.1577325170382099E-3</c:v>
                  </c:pt>
                  <c:pt idx="7">
                    <c:v>2.0780789654799101E-3</c:v>
                  </c:pt>
                  <c:pt idx="8">
                    <c:v>4.2982704616542902E-3</c:v>
                  </c:pt>
                  <c:pt idx="9">
                    <c:v>1.0464164201444801E-3</c:v>
                  </c:pt>
                  <c:pt idx="10">
                    <c:v>4.3455098185695699E-2</c:v>
                  </c:pt>
                  <c:pt idx="11">
                    <c:v>2.5754986442351E-3</c:v>
                  </c:pt>
                  <c:pt idx="12">
                    <c:v>4.3948794246152001E-2</c:v>
                  </c:pt>
                  <c:pt idx="14">
                    <c:v>2.2918041520857801E-2</c:v>
                  </c:pt>
                </c:numCache>
              </c:numRef>
            </c:plus>
            <c:minus>
              <c:numRef>
                <c:f>pot_tab!$AU$4:$AU$18</c:f>
                <c:numCache>
                  <c:formatCode>General</c:formatCode>
                  <c:ptCount val="15"/>
                  <c:pt idx="0">
                    <c:v>6.9485929474827103E-3</c:v>
                  </c:pt>
                  <c:pt idx="1">
                    <c:v>9.3131854483584197E-3</c:v>
                  </c:pt>
                  <c:pt idx="2">
                    <c:v>1.35239693300102E-2</c:v>
                  </c:pt>
                  <c:pt idx="3">
                    <c:v>6.2238680878013396E-3</c:v>
                  </c:pt>
                  <c:pt idx="4">
                    <c:v>2.1872940964135099E-2</c:v>
                  </c:pt>
                  <c:pt idx="5">
                    <c:v>4.7445923290171197E-3</c:v>
                  </c:pt>
                  <c:pt idx="6">
                    <c:v>3.1577325170382099E-3</c:v>
                  </c:pt>
                  <c:pt idx="7">
                    <c:v>2.0780789654799101E-3</c:v>
                  </c:pt>
                  <c:pt idx="8">
                    <c:v>4.2982704616542902E-3</c:v>
                  </c:pt>
                  <c:pt idx="9">
                    <c:v>1.0464164201444801E-3</c:v>
                  </c:pt>
                  <c:pt idx="10">
                    <c:v>4.3455098185695699E-2</c:v>
                  </c:pt>
                  <c:pt idx="11">
                    <c:v>2.5754986442351E-3</c:v>
                  </c:pt>
                  <c:pt idx="12">
                    <c:v>4.3948794246152001E-2</c:v>
                  </c:pt>
                  <c:pt idx="14">
                    <c:v>2.2918041520857801E-2</c:v>
                  </c:pt>
                </c:numCache>
              </c:numRef>
            </c:minus>
            <c:spPr>
              <a:noFill/>
              <a:ln w="9525" cap="flat" cmpd="sng" algn="ctr">
                <a:solidFill>
                  <a:sysClr val="windowText" lastClr="000000"/>
                </a:solidFill>
                <a:round/>
              </a:ln>
              <a:effectLst/>
            </c:spPr>
          </c:errBars>
          <c:cat>
            <c:strRef>
              <c:f>pot_tab!$B$4:$B$18</c:f>
              <c:strCache>
                <c:ptCount val="15"/>
                <c:pt idx="0">
                  <c:v>8</c:v>
                </c:pt>
                <c:pt idx="1">
                  <c:v>9</c:v>
                </c:pt>
                <c:pt idx="2">
                  <c:v>12s</c:v>
                </c:pt>
                <c:pt idx="3">
                  <c:v>14</c:v>
                </c:pt>
                <c:pt idx="4">
                  <c:v>12n</c:v>
                </c:pt>
                <c:pt idx="5">
                  <c:v>15</c:v>
                </c:pt>
                <c:pt idx="6">
                  <c:v>16</c:v>
                </c:pt>
                <c:pt idx="7">
                  <c:v>17</c:v>
                </c:pt>
                <c:pt idx="8">
                  <c:v>18</c:v>
                </c:pt>
                <c:pt idx="9">
                  <c:v>19</c:v>
                </c:pt>
                <c:pt idx="10">
                  <c:v>20</c:v>
                </c:pt>
                <c:pt idx="11">
                  <c:v>21</c:v>
                </c:pt>
                <c:pt idx="12">
                  <c:v>22</c:v>
                </c:pt>
                <c:pt idx="13">
                  <c:v>23</c:v>
                </c:pt>
                <c:pt idx="14">
                  <c:v>24</c:v>
                </c:pt>
              </c:strCache>
            </c:strRef>
          </c:cat>
          <c:val>
            <c:numRef>
              <c:f>pot_tab!$AS$4:$AS$18</c:f>
              <c:numCache>
                <c:formatCode>0.0%</c:formatCode>
                <c:ptCount val="15"/>
                <c:pt idx="0">
                  <c:v>0.39678592404149998</c:v>
                </c:pt>
                <c:pt idx="1">
                  <c:v>4.8176652377028603E-2</c:v>
                </c:pt>
                <c:pt idx="2">
                  <c:v>0.20558029701404701</c:v>
                </c:pt>
                <c:pt idx="3">
                  <c:v>1.80027918296287E-2</c:v>
                </c:pt>
                <c:pt idx="4">
                  <c:v>0.204752662115253</c:v>
                </c:pt>
                <c:pt idx="5">
                  <c:v>1.8585765288822401E-2</c:v>
                </c:pt>
                <c:pt idx="6">
                  <c:v>0.20846835499972299</c:v>
                </c:pt>
                <c:pt idx="7">
                  <c:v>3.1446445066591E-2</c:v>
                </c:pt>
                <c:pt idx="8">
                  <c:v>4.73961377319808E-2</c:v>
                </c:pt>
                <c:pt idx="9">
                  <c:v>4.7599714369381697E-3</c:v>
                </c:pt>
                <c:pt idx="10">
                  <c:v>0.17261077680401199</c:v>
                </c:pt>
                <c:pt idx="11">
                  <c:v>4.9284025826325101E-3</c:v>
                </c:pt>
                <c:pt idx="12">
                  <c:v>0.19994095991768701</c:v>
                </c:pt>
                <c:pt idx="13">
                  <c:v>0</c:v>
                </c:pt>
                <c:pt idx="14">
                  <c:v>0.18052649749548799</c:v>
                </c:pt>
              </c:numCache>
            </c:numRef>
          </c:val>
          <c:extLst>
            <c:ext xmlns:c16="http://schemas.microsoft.com/office/drawing/2014/chart" uri="{C3380CC4-5D6E-409C-BE32-E72D297353CC}">
              <c16:uniqueId val="{0000001C-CD90-423B-8521-4D867DAE6A0F}"/>
            </c:ext>
          </c:extLst>
        </c:ser>
        <c:dLbls>
          <c:showLegendKey val="0"/>
          <c:showVal val="0"/>
          <c:showCatName val="0"/>
          <c:showSerName val="0"/>
          <c:showPercent val="0"/>
          <c:showBubbleSize val="0"/>
        </c:dLbls>
        <c:gapWidth val="219"/>
        <c:axId val="-2144067320"/>
        <c:axId val="-2117901688"/>
      </c:barChart>
      <c:lineChart>
        <c:grouping val="standard"/>
        <c:varyColors val="0"/>
        <c:ser>
          <c:idx val="1"/>
          <c:order val="1"/>
          <c:spPr>
            <a:ln w="19050" cap="rnd">
              <a:solidFill>
                <a:schemeClr val="tx1"/>
              </a:solidFill>
              <a:prstDash val="solid"/>
              <a:round/>
            </a:ln>
            <a:effectLst/>
          </c:spPr>
          <c:marker>
            <c:symbol val="none"/>
          </c:marker>
          <c:cat>
            <c:strRef>
              <c:f>pot_tab!$I$58:$I$73</c:f>
              <c:strCache>
                <c:ptCount val="16"/>
                <c:pt idx="0">
                  <c:v>7</c:v>
                </c:pt>
                <c:pt idx="1">
                  <c:v>8</c:v>
                </c:pt>
                <c:pt idx="2">
                  <c:v>9</c:v>
                </c:pt>
                <c:pt idx="3">
                  <c:v>12n</c:v>
                </c:pt>
                <c:pt idx="4">
                  <c:v>12s</c:v>
                </c:pt>
                <c:pt idx="5">
                  <c:v>14</c:v>
                </c:pt>
                <c:pt idx="6">
                  <c:v>24</c:v>
                </c:pt>
                <c:pt idx="7">
                  <c:v>15</c:v>
                </c:pt>
                <c:pt idx="8">
                  <c:v>16</c:v>
                </c:pt>
                <c:pt idx="9">
                  <c:v>17</c:v>
                </c:pt>
                <c:pt idx="10">
                  <c:v>18</c:v>
                </c:pt>
                <c:pt idx="11">
                  <c:v>19</c:v>
                </c:pt>
                <c:pt idx="12">
                  <c:v>20</c:v>
                </c:pt>
                <c:pt idx="13">
                  <c:v>21</c:v>
                </c:pt>
                <c:pt idx="14">
                  <c:v>22</c:v>
                </c:pt>
                <c:pt idx="15">
                  <c:v>23</c:v>
                </c:pt>
              </c:strCache>
            </c:strRef>
          </c:cat>
          <c:val>
            <c:numRef>
              <c:f>pot_tab!$AV$4:$AV$18</c:f>
              <c:numCache>
                <c:formatCode>0.000</c:formatCode>
                <c:ptCount val="15"/>
                <c:pt idx="0">
                  <c:v>0.116130775913422</c:v>
                </c:pt>
                <c:pt idx="1">
                  <c:v>0.116130775913422</c:v>
                </c:pt>
                <c:pt idx="2">
                  <c:v>0.116130775913422</c:v>
                </c:pt>
                <c:pt idx="3">
                  <c:v>0.116130775913422</c:v>
                </c:pt>
                <c:pt idx="4">
                  <c:v>0.116130775913422</c:v>
                </c:pt>
                <c:pt idx="5">
                  <c:v>0.116130775913422</c:v>
                </c:pt>
                <c:pt idx="6">
                  <c:v>0.116130775913422</c:v>
                </c:pt>
                <c:pt idx="7">
                  <c:v>0.116130775913422</c:v>
                </c:pt>
                <c:pt idx="8">
                  <c:v>0.116130775913422</c:v>
                </c:pt>
                <c:pt idx="9">
                  <c:v>0.116130775913422</c:v>
                </c:pt>
                <c:pt idx="10">
                  <c:v>0.116130775913422</c:v>
                </c:pt>
                <c:pt idx="11">
                  <c:v>0.116130775913422</c:v>
                </c:pt>
                <c:pt idx="12">
                  <c:v>0.116130775913422</c:v>
                </c:pt>
                <c:pt idx="13">
                  <c:v>0.116130775913422</c:v>
                </c:pt>
                <c:pt idx="14">
                  <c:v>0.116130775913422</c:v>
                </c:pt>
              </c:numCache>
            </c:numRef>
          </c:val>
          <c:smooth val="0"/>
          <c:extLst>
            <c:ext xmlns:c16="http://schemas.microsoft.com/office/drawing/2014/chart" uri="{C3380CC4-5D6E-409C-BE32-E72D297353CC}">
              <c16:uniqueId val="{0000001D-CD90-423B-8521-4D867DAE6A0F}"/>
            </c:ext>
          </c:extLst>
        </c:ser>
        <c:ser>
          <c:idx val="2"/>
          <c:order val="2"/>
          <c:spPr>
            <a:ln w="19050" cap="rnd">
              <a:solidFill>
                <a:schemeClr val="tx1"/>
              </a:solidFill>
              <a:prstDash val="sysDash"/>
              <a:round/>
            </a:ln>
            <a:effectLst/>
          </c:spPr>
          <c:marker>
            <c:symbol val="none"/>
          </c:marker>
          <c:val>
            <c:numRef>
              <c:f>pot_tab!$AW$4:$AW$18</c:f>
              <c:numCache>
                <c:formatCode>0.000</c:formatCode>
                <c:ptCount val="15"/>
                <c:pt idx="0">
                  <c:v>0.20200770126496101</c:v>
                </c:pt>
                <c:pt idx="1">
                  <c:v>0.20200770126496101</c:v>
                </c:pt>
                <c:pt idx="2">
                  <c:v>0.20200770126496101</c:v>
                </c:pt>
                <c:pt idx="3">
                  <c:v>0.20200770126496101</c:v>
                </c:pt>
                <c:pt idx="4">
                  <c:v>0.20200770126496101</c:v>
                </c:pt>
                <c:pt idx="5">
                  <c:v>0.20200770126496101</c:v>
                </c:pt>
                <c:pt idx="6">
                  <c:v>0.20200770126496101</c:v>
                </c:pt>
                <c:pt idx="7">
                  <c:v>0.20200770126496101</c:v>
                </c:pt>
                <c:pt idx="8">
                  <c:v>0.20200770126496101</c:v>
                </c:pt>
                <c:pt idx="9">
                  <c:v>0.20200770126496101</c:v>
                </c:pt>
                <c:pt idx="10">
                  <c:v>0.20200770126496101</c:v>
                </c:pt>
                <c:pt idx="11">
                  <c:v>0.20200770126496101</c:v>
                </c:pt>
                <c:pt idx="12">
                  <c:v>0.20200770126496101</c:v>
                </c:pt>
                <c:pt idx="13">
                  <c:v>0.20200770126496101</c:v>
                </c:pt>
                <c:pt idx="14">
                  <c:v>0.20200770126496101</c:v>
                </c:pt>
              </c:numCache>
            </c:numRef>
          </c:val>
          <c:smooth val="0"/>
          <c:extLst>
            <c:ext xmlns:c16="http://schemas.microsoft.com/office/drawing/2014/chart" uri="{C3380CC4-5D6E-409C-BE32-E72D297353CC}">
              <c16:uniqueId val="{0000001E-CD90-423B-8521-4D867DAE6A0F}"/>
            </c:ext>
          </c:extLst>
        </c:ser>
        <c:ser>
          <c:idx val="3"/>
          <c:order val="3"/>
          <c:spPr>
            <a:ln w="19050" cap="rnd">
              <a:solidFill>
                <a:schemeClr val="tx1"/>
              </a:solidFill>
              <a:prstDash val="sysDot"/>
              <a:round/>
            </a:ln>
            <a:effectLst/>
          </c:spPr>
          <c:marker>
            <c:symbol val="none"/>
          </c:marker>
          <c:val>
            <c:numRef>
              <c:f>pot_tab!$AX$4:$AX$18</c:f>
              <c:numCache>
                <c:formatCode>0.000</c:formatCode>
                <c:ptCount val="15"/>
                <c:pt idx="0">
                  <c:v>1.79857183688059E-2</c:v>
                </c:pt>
                <c:pt idx="1">
                  <c:v>1.79857183688059E-2</c:v>
                </c:pt>
                <c:pt idx="2">
                  <c:v>1.79857183688059E-2</c:v>
                </c:pt>
                <c:pt idx="3">
                  <c:v>1.79857183688059E-2</c:v>
                </c:pt>
                <c:pt idx="4">
                  <c:v>1.79857183688059E-2</c:v>
                </c:pt>
                <c:pt idx="5">
                  <c:v>1.79857183688059E-2</c:v>
                </c:pt>
                <c:pt idx="6">
                  <c:v>1.79857183688059E-2</c:v>
                </c:pt>
                <c:pt idx="7">
                  <c:v>1.79857183688059E-2</c:v>
                </c:pt>
                <c:pt idx="8">
                  <c:v>1.79857183688059E-2</c:v>
                </c:pt>
                <c:pt idx="9">
                  <c:v>1.79857183688059E-2</c:v>
                </c:pt>
                <c:pt idx="10">
                  <c:v>1.79857183688059E-2</c:v>
                </c:pt>
                <c:pt idx="11">
                  <c:v>1.79857183688059E-2</c:v>
                </c:pt>
                <c:pt idx="12">
                  <c:v>1.79857183688059E-2</c:v>
                </c:pt>
                <c:pt idx="13">
                  <c:v>1.79857183688059E-2</c:v>
                </c:pt>
                <c:pt idx="14">
                  <c:v>1.79857183688059E-2</c:v>
                </c:pt>
              </c:numCache>
            </c:numRef>
          </c:val>
          <c:smooth val="0"/>
          <c:extLst>
            <c:ext xmlns:c16="http://schemas.microsoft.com/office/drawing/2014/chart" uri="{C3380CC4-5D6E-409C-BE32-E72D297353CC}">
              <c16:uniqueId val="{0000001F-CD90-423B-8521-4D867DAE6A0F}"/>
            </c:ext>
          </c:extLst>
        </c:ser>
        <c:dLbls>
          <c:showLegendKey val="0"/>
          <c:showVal val="0"/>
          <c:showCatName val="0"/>
          <c:showSerName val="0"/>
          <c:showPercent val="0"/>
          <c:showBubbleSize val="0"/>
        </c:dLbls>
        <c:marker val="1"/>
        <c:smooth val="0"/>
        <c:axId val="-2144067320"/>
        <c:axId val="-2117901688"/>
      </c:lineChart>
      <c:catAx>
        <c:axId val="-2144067320"/>
        <c:scaling>
          <c:orientation val="minMax"/>
        </c:scaling>
        <c:delete val="0"/>
        <c:axPos val="b"/>
        <c:title>
          <c:tx>
            <c:rich>
              <a:bodyPr rot="0" vert="horz"/>
              <a:lstStyle/>
              <a:p>
                <a:pPr>
                  <a:defRPr b="0"/>
                </a:pPr>
                <a:r>
                  <a:rPr lang="sv-SE" b="0"/>
                  <a:t>Kustvattentyp</a:t>
                </a:r>
              </a:p>
            </c:rich>
          </c:tx>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60000000" vert="horz"/>
          <a:lstStyle/>
          <a:p>
            <a:pPr>
              <a:defRPr/>
            </a:pPr>
            <a:endParaRPr lang="sv-SE"/>
          </a:p>
        </c:txPr>
        <c:crossAx val="-2117901688"/>
        <c:crosses val="autoZero"/>
        <c:auto val="1"/>
        <c:lblAlgn val="ctr"/>
        <c:lblOffset val="100"/>
        <c:noMultiLvlLbl val="0"/>
      </c:catAx>
      <c:valAx>
        <c:axId val="-2117901688"/>
        <c:scaling>
          <c:orientation val="minMax"/>
        </c:scaling>
        <c:delete val="0"/>
        <c:axPos val="l"/>
        <c:title>
          <c:tx>
            <c:rich>
              <a:bodyPr rot="-5400000" vert="horz"/>
              <a:lstStyle/>
              <a:p>
                <a:pPr>
                  <a:defRPr b="0"/>
                </a:pPr>
                <a:r>
                  <a:rPr lang="en-US" b="0"/>
                  <a:t>Potentiell livsmiljö </a:t>
                </a:r>
              </a:p>
              <a:p>
                <a:pPr>
                  <a:defRPr b="0"/>
                </a:pPr>
                <a:r>
                  <a:rPr lang="en-US" b="0"/>
                  <a:t>(% av kustvattnets</a:t>
                </a:r>
                <a:r>
                  <a:rPr lang="en-US" b="0" baseline="0"/>
                  <a:t> totala yta) </a:t>
                </a:r>
                <a:endParaRPr lang="sv-SE" b="0"/>
              </a:p>
            </c:rich>
          </c:tx>
          <c:layout>
            <c:manualLayout>
              <c:xMode val="edge"/>
              <c:yMode val="edge"/>
              <c:x val="1.45790304944721E-2"/>
              <c:y val="0.11558789847242799"/>
            </c:manualLayout>
          </c:layout>
          <c:overlay val="0"/>
          <c:spPr>
            <a:noFill/>
            <a:ln>
              <a:noFill/>
            </a:ln>
            <a:effectLst/>
          </c:spPr>
        </c:title>
        <c:numFmt formatCode="0%" sourceLinked="0"/>
        <c:majorTickMark val="out"/>
        <c:minorTickMark val="none"/>
        <c:tickLblPos val="nextTo"/>
        <c:spPr>
          <a:noFill/>
          <a:ln>
            <a:solidFill>
              <a:sysClr val="windowText" lastClr="000000">
                <a:lumMod val="15000"/>
                <a:lumOff val="85000"/>
              </a:sysClr>
            </a:solidFill>
          </a:ln>
          <a:effectLst/>
        </c:spPr>
        <c:txPr>
          <a:bodyPr rot="-60000000" vert="horz"/>
          <a:lstStyle/>
          <a:p>
            <a:pPr>
              <a:defRPr/>
            </a:pPr>
            <a:endParaRPr lang="sv-SE"/>
          </a:p>
        </c:txPr>
        <c:crossAx val="-2144067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sv-SE"/>
    </a:p>
  </c:txPr>
  <c:externalData r:id="rId2">
    <c:autoUpdate val="0"/>
  </c:externalData>
</c:chartSpace>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AD016-38D5-416A-8CEF-5F35BC1F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16887</Words>
  <Characters>89503</Characters>
  <Application>Microsoft Office Word</Application>
  <DocSecurity>0</DocSecurity>
  <Lines>745</Lines>
  <Paragraphs>212</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106178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2017-11-27T08:21:00Z</dcterms:created>
  <dcterms:modified xsi:type="dcterms:W3CDTF">2017-11-27T08:21:00Z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id="Ghk7ETcy"/&gt;&lt;style id="http://www.zotero.org/styles/ecology"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