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26208" w14:textId="77777777" w:rsidR="00C412F0" w:rsidRDefault="00C412F0" w:rsidP="00C412F0">
      <w:pPr>
        <w:pStyle w:val="Rubrik1"/>
      </w:pPr>
      <w:r>
        <w:t>Havsmiljödirektivets inledande bedömning</w:t>
      </w:r>
    </w:p>
    <w:p w14:paraId="6807CB29" w14:textId="77777777" w:rsidR="00354126" w:rsidRDefault="00880E4E" w:rsidP="00354126">
      <w:pPr>
        <w:pStyle w:val="Rubrik2"/>
      </w:pPr>
      <w:r>
        <w:t>Artfaktablad för knubbsäl (</w:t>
      </w:r>
      <w:r w:rsidRPr="00880E4E">
        <w:rPr>
          <w:i/>
        </w:rPr>
        <w:t>Phoca vitulina</w:t>
      </w:r>
      <w:r>
        <w:t>)</w:t>
      </w:r>
      <w:r w:rsidR="006C0695">
        <w:t>: Utbredning</w:t>
      </w:r>
    </w:p>
    <w:p w14:paraId="0E09C049" w14:textId="77777777" w:rsidR="00C412F0" w:rsidRDefault="00C412F0" w:rsidP="00C412F0">
      <w:pPr>
        <w:pStyle w:val="Brdtext"/>
      </w:pPr>
      <w:r>
        <w:rPr>
          <w:noProof/>
          <w:lang w:eastAsia="sv-SE"/>
        </w:rPr>
        <mc:AlternateContent>
          <mc:Choice Requires="wps">
            <w:drawing>
              <wp:anchor distT="0" distB="0" distL="114300" distR="114300" simplePos="0" relativeHeight="251659264" behindDoc="0" locked="0" layoutInCell="1" allowOverlap="1" wp14:anchorId="3AB2BF55" wp14:editId="7662F00D">
                <wp:simplePos x="0" y="0"/>
                <wp:positionH relativeFrom="column">
                  <wp:posOffset>-81915</wp:posOffset>
                </wp:positionH>
                <wp:positionV relativeFrom="paragraph">
                  <wp:posOffset>69850</wp:posOffset>
                </wp:positionV>
                <wp:extent cx="5718810" cy="3602990"/>
                <wp:effectExtent l="0" t="0" r="15240" b="1651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3602990"/>
                        </a:xfrm>
                        <a:prstGeom prst="rect">
                          <a:avLst/>
                        </a:prstGeom>
                        <a:solidFill>
                          <a:srgbClr val="FFFFFF"/>
                        </a:solidFill>
                        <a:ln w="9525">
                          <a:solidFill>
                            <a:srgbClr val="000000"/>
                          </a:solidFill>
                          <a:miter lim="800000"/>
                          <a:headEnd/>
                          <a:tailEnd/>
                        </a:ln>
                      </wps:spPr>
                      <wps:txbx>
                        <w:txbxContent>
                          <w:p w14:paraId="27B8C461" w14:textId="77777777" w:rsidR="00E217FD" w:rsidRDefault="00E217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2BF55" id="_x0000_t202" coordsize="21600,21600" o:spt="202" path="m,l,21600r21600,l21600,xe">
                <v:stroke joinstyle="miter"/>
                <v:path gradientshapeok="t" o:connecttype="rect"/>
              </v:shapetype>
              <v:shape id="Textruta 2" o:spid="_x0000_s1026" type="#_x0000_t202" style="position:absolute;margin-left:-6.45pt;margin-top:5.5pt;width:450.3pt;height:2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XF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">
                <v:textbox>
                  <w:txbxContent>
                    <w:p w14:paraId="27B8C461" w14:textId="77777777" w:rsidR="00E217FD" w:rsidRDefault="00E217FD"/>
                  </w:txbxContent>
                </v:textbox>
              </v:shape>
            </w:pict>
          </mc:Fallback>
        </mc:AlternateContent>
      </w:r>
    </w:p>
    <w:p w14:paraId="27226293" w14:textId="77777777" w:rsidR="00C412F0" w:rsidRPr="00C412F0" w:rsidRDefault="00C412F0" w:rsidP="00C412F0">
      <w:pPr>
        <w:pStyle w:val="Brdtext"/>
      </w:pPr>
    </w:p>
    <w:p w14:paraId="6D2C61C3" w14:textId="77777777" w:rsidR="00354126" w:rsidRDefault="00354126" w:rsidP="0062144B"/>
    <w:p w14:paraId="5AAF772A" w14:textId="77777777" w:rsidR="0062144B" w:rsidRDefault="0062144B" w:rsidP="0062144B"/>
    <w:p w14:paraId="187B73E1" w14:textId="77777777" w:rsidR="0062144B" w:rsidRDefault="0062144B" w:rsidP="0062144B"/>
    <w:p w14:paraId="53194E9C" w14:textId="77777777" w:rsidR="0062144B" w:rsidRDefault="0062144B" w:rsidP="0062144B"/>
    <w:p w14:paraId="0CE9A8A4" w14:textId="77777777" w:rsidR="0062144B" w:rsidRDefault="0062144B" w:rsidP="0062144B"/>
    <w:p w14:paraId="7AF7599E" w14:textId="77777777" w:rsidR="0062144B" w:rsidRDefault="0062144B" w:rsidP="0062144B"/>
    <w:p w14:paraId="7E35EB85" w14:textId="77777777" w:rsidR="0062144B" w:rsidRDefault="0062144B" w:rsidP="0062144B"/>
    <w:p w14:paraId="75994786" w14:textId="77777777" w:rsidR="0062144B" w:rsidRDefault="0062144B" w:rsidP="0062144B"/>
    <w:p w14:paraId="1459C36A" w14:textId="77777777" w:rsidR="0062144B" w:rsidRDefault="0062144B" w:rsidP="0062144B"/>
    <w:p w14:paraId="52AA63FE" w14:textId="77777777" w:rsidR="0062144B" w:rsidRDefault="0062144B" w:rsidP="0062144B"/>
    <w:p w14:paraId="6DCAE0BC" w14:textId="77777777" w:rsidR="0062144B" w:rsidRDefault="0062144B" w:rsidP="0062144B"/>
    <w:p w14:paraId="1B1C87DB" w14:textId="77777777" w:rsidR="0062144B" w:rsidRDefault="0062144B" w:rsidP="0062144B"/>
    <w:p w14:paraId="3094A444" w14:textId="77777777" w:rsidR="0062144B" w:rsidRDefault="0062144B" w:rsidP="0062144B"/>
    <w:p w14:paraId="1ACAF76C" w14:textId="283FFFDC" w:rsidR="00D0220B" w:rsidRPr="009173DF" w:rsidRDefault="00764336" w:rsidP="00D05BBE">
      <w:pPr>
        <w:pStyle w:val="Brdtext"/>
        <w:rPr>
          <w:highlight w:val="yellow"/>
        </w:rPr>
      </w:pPr>
      <w:r>
        <w:t xml:space="preserve">Havsmiljödirektivet syftar till </w:t>
      </w:r>
      <w:r w:rsidR="009173DF">
        <w:t>att uppnå</w:t>
      </w:r>
      <w:r w:rsidR="00F10452">
        <w:t xml:space="preserve"> ett hållbart nyttjande av EUs havsområden, samtidigt som biologisk mångfald bevaras och ekosystemen hålls friska och fria från föroreningar. Som en del av </w:t>
      </w:r>
      <w:r w:rsidR="006944D5">
        <w:t xml:space="preserve">förvaltningen av havet genomförs vart 6e år en bedömning av havsmiljöns tillstånd, i relation till ett definierat önskvärt tillstånd som karaktäriserar en god miljöstatus. </w:t>
      </w:r>
      <w:r w:rsidR="00C336D1">
        <w:t>Som underlag</w:t>
      </w:r>
      <w:r w:rsidR="006944D5">
        <w:t xml:space="preserve"> </w:t>
      </w:r>
      <w:r w:rsidR="00354126">
        <w:t xml:space="preserve">till bedömningen </w:t>
      </w:r>
      <w:r w:rsidR="006944D5">
        <w:t xml:space="preserve">publicerar Havs- och vattenmyndigheten faktablad </w:t>
      </w:r>
      <w:r w:rsidR="0062144B">
        <w:t xml:space="preserve">eller liknande rapporter </w:t>
      </w:r>
      <w:r w:rsidR="006944D5">
        <w:t xml:space="preserve">som i </w:t>
      </w:r>
      <w:r w:rsidR="0062144B">
        <w:t xml:space="preserve">högre </w:t>
      </w:r>
      <w:r w:rsidR="006944D5">
        <w:t xml:space="preserve">detalj redovisar de metoder och observationer som </w:t>
      </w:r>
      <w:r w:rsidR="00354126">
        <w:t>används</w:t>
      </w:r>
      <w:r w:rsidR="006944D5">
        <w:t xml:space="preserve">. Den samlade bedömningen som görs på en mer sammanfattande nivå finns publicerad i </w:t>
      </w:r>
      <w:r w:rsidR="006944D5" w:rsidRPr="009173DF">
        <w:rPr>
          <w:highlight w:val="yellow"/>
        </w:rPr>
        <w:t>Havs- och vattenmyndighetens rapport xxxx-xx</w:t>
      </w:r>
      <w:r w:rsidR="006944D5">
        <w:t>.</w:t>
      </w:r>
      <w:r w:rsidR="00CF517E">
        <w:t xml:space="preserve"> Vad som kännetecknar en god miljöstatus, samt </w:t>
      </w:r>
      <w:r w:rsidR="00CF517E" w:rsidRPr="00CF517E">
        <w:t>miljökvalitetsnormer med indikatorer för Nordsjön och Östersjön</w:t>
      </w:r>
      <w:r w:rsidR="00CF517E">
        <w:t>, fastställs i Havs- och vattenmyndighetens föreskrifter 2012:18.</w:t>
      </w:r>
      <w:r w:rsidR="00D44830" w:rsidRPr="009173DF">
        <w:rPr>
          <w:highlight w:val="yellow"/>
        </w:rPr>
        <w:t xml:space="preserve">Version Nr., </w:t>
      </w:r>
      <w:r w:rsidR="001319EF" w:rsidRPr="009173DF">
        <w:rPr>
          <w:highlight w:val="yellow"/>
        </w:rPr>
        <w:t>Publiceringsdatum.</w:t>
      </w:r>
    </w:p>
    <w:p w14:paraId="7782AA85" w14:textId="77777777" w:rsidR="00B63A59" w:rsidRPr="0062144B" w:rsidRDefault="00D0220B" w:rsidP="00D05BBE">
      <w:pPr>
        <w:pStyle w:val="Brdtext"/>
      </w:pPr>
      <w:r w:rsidRPr="009173DF">
        <w:rPr>
          <w:highlight w:val="yellow"/>
        </w:rPr>
        <w:t>Citeras som</w:t>
      </w:r>
      <w:r w:rsidR="0062144B" w:rsidRPr="009173DF">
        <w:rPr>
          <w:highlight w:val="yellow"/>
        </w:rPr>
        <w:t>:</w:t>
      </w:r>
      <w:r w:rsidR="00D05BBE">
        <w:rPr>
          <w:sz w:val="24"/>
          <w:szCs w:val="24"/>
        </w:rPr>
        <w:br w:type="page"/>
      </w:r>
      <w:r w:rsidR="00E13817" w:rsidRPr="000537AF">
        <w:rPr>
          <w:rStyle w:val="Rubrik3Char"/>
          <w:rFonts w:asciiTheme="majorHAnsi" w:hAnsiTheme="majorHAnsi" w:cstheme="majorHAnsi"/>
          <w:sz w:val="24"/>
          <w:szCs w:val="24"/>
        </w:rPr>
        <w:lastRenderedPageBreak/>
        <w:t xml:space="preserve">Sektion </w:t>
      </w:r>
      <w:r w:rsidR="0070387B" w:rsidRPr="000537AF">
        <w:rPr>
          <w:rStyle w:val="Rubrik3Char"/>
          <w:rFonts w:asciiTheme="majorHAnsi" w:hAnsiTheme="majorHAnsi" w:cstheme="majorHAnsi"/>
          <w:sz w:val="24"/>
          <w:szCs w:val="24"/>
        </w:rPr>
        <w:t>1</w:t>
      </w:r>
      <w:r w:rsidR="003B4CD1" w:rsidRPr="000537AF">
        <w:rPr>
          <w:rStyle w:val="Rubrik3Char"/>
          <w:rFonts w:asciiTheme="majorHAnsi" w:hAnsiTheme="majorHAnsi" w:cstheme="majorHAnsi"/>
          <w:sz w:val="24"/>
          <w:szCs w:val="24"/>
        </w:rPr>
        <w:t xml:space="preserve"> </w:t>
      </w:r>
      <w:r w:rsidR="0070387B" w:rsidRPr="000537AF">
        <w:rPr>
          <w:rStyle w:val="Rubrik3Char"/>
          <w:rFonts w:asciiTheme="majorHAnsi" w:hAnsiTheme="majorHAnsi" w:cstheme="majorHAnsi"/>
          <w:sz w:val="24"/>
          <w:szCs w:val="24"/>
        </w:rPr>
        <w:t xml:space="preserve">Del 1. </w:t>
      </w:r>
      <w:r w:rsidR="0009349B" w:rsidRPr="000537AF">
        <w:rPr>
          <w:rStyle w:val="Rubrik3Char"/>
          <w:rFonts w:asciiTheme="majorHAnsi" w:hAnsiTheme="majorHAnsi" w:cstheme="majorHAnsi"/>
          <w:sz w:val="24"/>
          <w:szCs w:val="24"/>
        </w:rPr>
        <w:t>S</w:t>
      </w:r>
      <w:r w:rsidR="00B63A59" w:rsidRPr="000537AF">
        <w:rPr>
          <w:rStyle w:val="Rubrik3Char"/>
          <w:rFonts w:asciiTheme="majorHAnsi" w:hAnsiTheme="majorHAnsi" w:cstheme="majorHAnsi"/>
          <w:sz w:val="24"/>
          <w:szCs w:val="24"/>
        </w:rPr>
        <w:t>ammanfattning</w:t>
      </w:r>
    </w:p>
    <w:p w14:paraId="6AD4AAAC" w14:textId="77777777" w:rsidR="00962748" w:rsidRDefault="00BC3F7B" w:rsidP="0009349B">
      <w:pPr>
        <w:pStyle w:val="Brdtext"/>
      </w:pPr>
      <w:r>
        <w:t>Knubbsälen står högst upp i näringskedjan i sitt utbredningsområde o</w:t>
      </w:r>
      <w:r w:rsidR="00C44103">
        <w:t>ch utgör en viktig indikatorart</w:t>
      </w:r>
      <w:r>
        <w:t xml:space="preserve"> för ekosystemets status.</w:t>
      </w:r>
      <w:r w:rsidR="006C0695">
        <w:t xml:space="preserve"> Knubbsälens utbredning i Sverige har har förändrats kraftigt sedan arten koloniserade Kattegatt och södra Östersjön för c:a 8000 år sedan. De viktigaste orsakerna till dessa förändringar var konkurrens med gråsäl och senare människans jakt. Gråsälen dominerade helt i Skagerrak och de första fynden av knubbsäl  här dateras till c:a 1750. Den huvudsakliga orsaken till att </w:t>
      </w:r>
      <w:r w:rsidR="00C44103">
        <w:t>knubbsälen kunde expandera var att människan i stort sett utrotade den mer lätt</w:t>
      </w:r>
      <w:r w:rsidR="00AC5CB9">
        <w:t xml:space="preserve">jagade gråsälen. Då gråsälarna </w:t>
      </w:r>
      <w:r w:rsidR="00C44103">
        <w:t>försvann mot slutet av 1700-talet fick knubbsälarna i västerhavet den utbredning de har idag. Knubbsälarna förekommer på ett fåtal platser i Öresund, Måkläppen vid Falsterbo och Hanöbukten.</w:t>
      </w:r>
    </w:p>
    <w:p w14:paraId="7BA47A26" w14:textId="77777777" w:rsidR="006C0695" w:rsidRDefault="00C44103" w:rsidP="0009349B">
      <w:pPr>
        <w:pStyle w:val="Brdtext"/>
      </w:pPr>
      <w:r>
        <w:t xml:space="preserve"> I egentliga Östersjön f</w:t>
      </w:r>
      <w:r w:rsidR="00AC5CB9">
        <w:t>inns den i Kalmarsund, där arte</w:t>
      </w:r>
      <w:r>
        <w:t>n under de senaste decennierna expanderat till södra och sydöstra Öland. Knubbsälen i Kalmarsund är en rest av de knubbsälar som koloniserade Östersjön för 8000 år sedan.</w:t>
      </w:r>
    </w:p>
    <w:p w14:paraId="6FEEF2C5" w14:textId="77777777" w:rsidR="00C44103" w:rsidRDefault="00962748" w:rsidP="0009349B">
      <w:pPr>
        <w:pStyle w:val="Brdtext"/>
      </w:pPr>
      <w:r>
        <w:t xml:space="preserve">Indikatorn </w:t>
      </w:r>
      <w:r w:rsidR="00E217FD">
        <w:t>”</w:t>
      </w:r>
      <w:r>
        <w:t>utbredning</w:t>
      </w:r>
      <w:r w:rsidR="00E217FD">
        <w:t xml:space="preserve">” </w:t>
      </w:r>
      <w:r>
        <w:t xml:space="preserve"> har </w:t>
      </w:r>
      <w:r w:rsidR="00C44103">
        <w:t xml:space="preserve"> utvecklats</w:t>
      </w:r>
      <w:r>
        <w:t xml:space="preserve"> inom  HELCOMs CORESET program och omfattar Öasersjöns sälarter inklusive Kattegatt, men dock inte Skagerrak</w:t>
      </w:r>
      <w:r w:rsidR="00E217FD">
        <w:t>. Nuvarande utbredning utvärderas mot en situation där människans påverkan har varit minimal, och i detta fall i slutet av 1800-talet. I början av 1900-talet jagades alla sälarter hårt genom en internationellt koordinerad utrotningskamanj,  varvid knubbsälen försvann på många platser. Indikatorn ”Utbredning” innehåller tre parametrar: Utbredning på liggplatser, utbredning under reproduktion, och utbredning till havs för födosök och förflyttning. För att knubbsälen ska ha god miljöstatus ska följande kriterier vara fyllda:</w:t>
      </w:r>
    </w:p>
    <w:p w14:paraId="3CE47038" w14:textId="77777777" w:rsidR="00E217FD" w:rsidRDefault="00E217FD" w:rsidP="00E217FD">
      <w:pPr>
        <w:pStyle w:val="Brdtext"/>
        <w:numPr>
          <w:ilvl w:val="0"/>
          <w:numId w:val="29"/>
        </w:numPr>
      </w:pPr>
      <w:r>
        <w:t>Utbredning på liggplatser är som i slutet på 1800-talet</w:t>
      </w:r>
    </w:p>
    <w:p w14:paraId="22B1E98A" w14:textId="77777777" w:rsidR="00E217FD" w:rsidRDefault="00E217FD" w:rsidP="00E217FD">
      <w:pPr>
        <w:pStyle w:val="Brdtext"/>
        <w:numPr>
          <w:ilvl w:val="0"/>
          <w:numId w:val="29"/>
        </w:numPr>
      </w:pPr>
      <w:r>
        <w:t xml:space="preserve">Utbredning på reproduktionsplatser </w:t>
      </w:r>
      <w:r w:rsidR="00C14A5C">
        <w:t>är som i slutet av 1800-talet</w:t>
      </w:r>
    </w:p>
    <w:p w14:paraId="1E591AC4" w14:textId="77777777" w:rsidR="00C14A5C" w:rsidRDefault="00C14A5C" w:rsidP="00E217FD">
      <w:pPr>
        <w:pStyle w:val="Brdtext"/>
        <w:numPr>
          <w:ilvl w:val="0"/>
          <w:numId w:val="29"/>
        </w:numPr>
      </w:pPr>
      <w:r>
        <w:t>Inga barriärer finns för deras förflyttning till havs</w:t>
      </w:r>
    </w:p>
    <w:p w14:paraId="5B649D8E" w14:textId="77777777" w:rsidR="00C14A5C" w:rsidRDefault="00C14A5C" w:rsidP="00E217FD">
      <w:pPr>
        <w:pStyle w:val="Brdtext"/>
        <w:numPr>
          <w:ilvl w:val="0"/>
          <w:numId w:val="29"/>
        </w:numPr>
      </w:pPr>
      <w:r>
        <w:t>Inga av dessa utbredningar får minska</w:t>
      </w:r>
    </w:p>
    <w:p w14:paraId="3DFD2DF2" w14:textId="77777777" w:rsidR="002231C8" w:rsidRDefault="002231C8" w:rsidP="002231C8">
      <w:pPr>
        <w:pStyle w:val="Brdtext"/>
      </w:pPr>
      <w:r>
        <w:t>Knubbsälens status utvärderas i ekologiskt avrgänsade populationer: Skagerrak, Kattegatt, Södra Östersjön inklusive Öresund, samt Kalmarsund</w:t>
      </w:r>
    </w:p>
    <w:p w14:paraId="34D88331" w14:textId="77777777" w:rsidR="00C14A5C" w:rsidRDefault="002231C8" w:rsidP="00C14A5C">
      <w:pPr>
        <w:pStyle w:val="Brdtext"/>
      </w:pPr>
      <w:r>
        <w:t>Knubbsälen i</w:t>
      </w:r>
      <w:r w:rsidR="00C14A5C">
        <w:t xml:space="preserve"> svenska vatten uppfyller kriterierna för god miljöstatus, men det finns fortfarande platser mellan Danmark och Tyskland som ännu ej återkoloniserats.</w:t>
      </w:r>
      <w:r>
        <w:t xml:space="preserve"> Därför uppnår knubbsälen inte god miljöstatus i södra Östersjön, men dock i Skagerrak, Kattegatt samt Kalmarsund.</w:t>
      </w:r>
    </w:p>
    <w:p w14:paraId="712DC650" w14:textId="77777777" w:rsidR="006C0695" w:rsidRDefault="006C0695" w:rsidP="0009349B">
      <w:pPr>
        <w:pStyle w:val="Brdtext"/>
      </w:pPr>
    </w:p>
    <w:p w14:paraId="041DF143" w14:textId="77777777" w:rsidR="006C0695" w:rsidRDefault="006C0695" w:rsidP="0009349B">
      <w:pPr>
        <w:pStyle w:val="Brdtext"/>
      </w:pPr>
    </w:p>
    <w:p w14:paraId="0BBD571B" w14:textId="77777777" w:rsidR="00B85694" w:rsidRPr="00BC3F7B" w:rsidRDefault="00B85694" w:rsidP="0009349B">
      <w:pPr>
        <w:pStyle w:val="Brdtext"/>
      </w:pPr>
      <w:r>
        <w:t xml:space="preserve"> </w:t>
      </w:r>
    </w:p>
    <w:p w14:paraId="14E98D3A" w14:textId="77777777" w:rsidR="0004660D" w:rsidRDefault="0004660D" w:rsidP="0004660D">
      <w:pPr>
        <w:pStyle w:val="Brdtext"/>
        <w:keepNext/>
      </w:pPr>
      <w:r>
        <w:rPr>
          <w:noProof/>
          <w:lang w:eastAsia="sv-SE"/>
        </w:rPr>
        <w:lastRenderedPageBreak/>
        <w:drawing>
          <wp:inline distT="0" distB="0" distL="0" distR="0" wp14:anchorId="1F360FCD" wp14:editId="5452C32A">
            <wp:extent cx="5760720" cy="8146415"/>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ubbsal_utbredning_171024.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8146415"/>
                    </a:xfrm>
                    <a:prstGeom prst="rect">
                      <a:avLst/>
                    </a:prstGeom>
                  </pic:spPr>
                </pic:pic>
              </a:graphicData>
            </a:graphic>
          </wp:inline>
        </w:drawing>
      </w:r>
    </w:p>
    <w:p w14:paraId="79C37063" w14:textId="66715FBB" w:rsidR="003B4CD1" w:rsidRDefault="0004660D" w:rsidP="0004660D">
      <w:pPr>
        <w:pStyle w:val="Beskrivning"/>
      </w:pPr>
      <w:r>
        <w:t xml:space="preserve">Figur </w:t>
      </w:r>
      <w:r>
        <w:fldChar w:fldCharType="begin"/>
      </w:r>
      <w:r>
        <w:instrText xml:space="preserve"> SEQ Figur \* ARABIC </w:instrText>
      </w:r>
      <w:r>
        <w:fldChar w:fldCharType="separate"/>
      </w:r>
      <w:r w:rsidR="007F08AC">
        <w:rPr>
          <w:noProof/>
        </w:rPr>
        <w:t>1</w:t>
      </w:r>
      <w:r>
        <w:fldChar w:fldCharType="end"/>
      </w:r>
      <w:r>
        <w:t xml:space="preserve"> Knubbsälen</w:t>
      </w:r>
      <w:r w:rsidRPr="0004660D">
        <w:t xml:space="preserve"> har god miljöstatus med avseende på utbredning i huvuddelen av Östersjön</w:t>
      </w:r>
      <w:r>
        <w:t xml:space="preserve"> och Västerhavet</w:t>
      </w:r>
      <w:r w:rsidRPr="0004660D">
        <w:t xml:space="preserve"> (grönt), men uppfyller inte kriterierna i sydvästra Östersjön (rött)</w:t>
      </w:r>
    </w:p>
    <w:p w14:paraId="59BB6E0A" w14:textId="77777777" w:rsidR="00E3746D" w:rsidRDefault="00E3746D" w:rsidP="0009349B">
      <w:pPr>
        <w:pStyle w:val="Brdtext"/>
      </w:pPr>
    </w:p>
    <w:p w14:paraId="38BC4E41" w14:textId="77777777" w:rsidR="00E13817" w:rsidRPr="004B7657" w:rsidRDefault="0070387B" w:rsidP="0009349B">
      <w:pPr>
        <w:pStyle w:val="Brdtext"/>
        <w:rPr>
          <w:rFonts w:asciiTheme="majorHAnsi" w:hAnsiTheme="majorHAnsi" w:cstheme="majorHAnsi"/>
          <w:b/>
          <w:sz w:val="24"/>
          <w:szCs w:val="24"/>
        </w:rPr>
      </w:pPr>
      <w:r w:rsidRPr="004B7657">
        <w:rPr>
          <w:rFonts w:asciiTheme="majorHAnsi" w:hAnsiTheme="majorHAnsi" w:cstheme="majorHAnsi"/>
          <w:b/>
          <w:sz w:val="24"/>
          <w:szCs w:val="24"/>
        </w:rPr>
        <w:t>Sektion 1 Del 2</w:t>
      </w:r>
      <w:r w:rsidR="001A460F" w:rsidRPr="004B7657">
        <w:rPr>
          <w:rFonts w:asciiTheme="majorHAnsi" w:hAnsiTheme="majorHAnsi" w:cstheme="majorHAnsi"/>
          <w:b/>
          <w:sz w:val="24"/>
          <w:szCs w:val="24"/>
        </w:rPr>
        <w:t xml:space="preserve">. </w:t>
      </w:r>
      <w:r w:rsidR="00D44830" w:rsidRPr="004B7657">
        <w:rPr>
          <w:rFonts w:asciiTheme="majorHAnsi" w:hAnsiTheme="majorHAnsi" w:cstheme="majorHAnsi"/>
          <w:b/>
          <w:sz w:val="24"/>
          <w:szCs w:val="24"/>
        </w:rPr>
        <w:t>D</w:t>
      </w:r>
      <w:r w:rsidR="001A460F" w:rsidRPr="004B7657">
        <w:rPr>
          <w:rFonts w:asciiTheme="majorHAnsi" w:hAnsiTheme="majorHAnsi" w:cstheme="majorHAnsi"/>
          <w:b/>
          <w:sz w:val="24"/>
          <w:szCs w:val="24"/>
        </w:rPr>
        <w:t>etaljerad info</w:t>
      </w:r>
      <w:r w:rsidR="00D44830" w:rsidRPr="004B7657">
        <w:rPr>
          <w:rFonts w:asciiTheme="majorHAnsi" w:hAnsiTheme="majorHAnsi" w:cstheme="majorHAnsi"/>
          <w:b/>
          <w:sz w:val="24"/>
          <w:szCs w:val="24"/>
        </w:rPr>
        <w:t>rmation</w:t>
      </w:r>
    </w:p>
    <w:p w14:paraId="2B12ED61" w14:textId="77777777" w:rsidR="00E13817" w:rsidRDefault="001A460F" w:rsidP="0009349B">
      <w:pPr>
        <w:pStyle w:val="Brdtext"/>
        <w:rPr>
          <w:rFonts w:asciiTheme="minorHAnsi" w:hAnsiTheme="minorHAnsi" w:cstheme="majorHAnsi"/>
        </w:rPr>
      </w:pPr>
      <w:r w:rsidRPr="004B7657">
        <w:rPr>
          <w:rFonts w:asciiTheme="minorHAnsi" w:hAnsiTheme="minorHAnsi" w:cstheme="majorHAnsi"/>
        </w:rPr>
        <w:t>A.</w:t>
      </w:r>
      <w:r>
        <w:rPr>
          <w:rFonts w:asciiTheme="minorHAnsi" w:hAnsiTheme="minorHAnsi" w:cstheme="majorHAnsi"/>
        </w:rPr>
        <w:t xml:space="preserve"> Policyrelevans.</w:t>
      </w:r>
    </w:p>
    <w:tbl>
      <w:tblPr>
        <w:tblStyle w:val="Tabellrutnt1"/>
        <w:tblW w:w="0" w:type="auto"/>
        <w:tblLook w:val="04A0" w:firstRow="1" w:lastRow="0" w:firstColumn="1" w:lastColumn="0" w:noHBand="0" w:noVBand="1"/>
      </w:tblPr>
      <w:tblGrid>
        <w:gridCol w:w="1820"/>
        <w:gridCol w:w="1829"/>
        <w:gridCol w:w="1814"/>
        <w:gridCol w:w="1802"/>
        <w:gridCol w:w="1797"/>
      </w:tblGrid>
      <w:tr w:rsidR="0004660D" w:rsidRPr="0004660D" w14:paraId="3F2FB422" w14:textId="77777777" w:rsidTr="000F5DA6">
        <w:tc>
          <w:tcPr>
            <w:tcW w:w="1820" w:type="dxa"/>
          </w:tcPr>
          <w:p w14:paraId="4BFD026A"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MSFD - kriterium</w:t>
            </w:r>
          </w:p>
        </w:tc>
        <w:tc>
          <w:tcPr>
            <w:tcW w:w="1829" w:type="dxa"/>
          </w:tcPr>
          <w:p w14:paraId="44527479"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WFD - kvalitetsnorm</w:t>
            </w:r>
          </w:p>
        </w:tc>
        <w:tc>
          <w:tcPr>
            <w:tcW w:w="1814" w:type="dxa"/>
          </w:tcPr>
          <w:p w14:paraId="2A4B293D"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Miljömål</w:t>
            </w:r>
          </w:p>
        </w:tc>
        <w:tc>
          <w:tcPr>
            <w:tcW w:w="1802" w:type="dxa"/>
          </w:tcPr>
          <w:p w14:paraId="2079D67D"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BSAP</w:t>
            </w:r>
          </w:p>
        </w:tc>
        <w:tc>
          <w:tcPr>
            <w:tcW w:w="1797" w:type="dxa"/>
          </w:tcPr>
          <w:p w14:paraId="7D263E44"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Mer</w:t>
            </w:r>
          </w:p>
        </w:tc>
      </w:tr>
      <w:tr w:rsidR="0004660D" w:rsidRPr="0004660D" w14:paraId="496D2500" w14:textId="77777777" w:rsidTr="000F5DA6">
        <w:tc>
          <w:tcPr>
            <w:tcW w:w="1820" w:type="dxa"/>
          </w:tcPr>
          <w:p w14:paraId="241E58E4"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D1C4</w:t>
            </w:r>
          </w:p>
        </w:tc>
        <w:tc>
          <w:tcPr>
            <w:tcW w:w="1829" w:type="dxa"/>
          </w:tcPr>
          <w:p w14:paraId="3B44E2D1"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saknas</w:t>
            </w:r>
          </w:p>
        </w:tc>
        <w:tc>
          <w:tcPr>
            <w:tcW w:w="1814" w:type="dxa"/>
          </w:tcPr>
          <w:p w14:paraId="5CBE4A69" w14:textId="77777777" w:rsidR="0004660D" w:rsidRPr="0004660D" w:rsidRDefault="0004660D" w:rsidP="0004660D">
            <w:pPr>
              <w:tabs>
                <w:tab w:val="clear" w:pos="5041"/>
              </w:tabs>
              <w:spacing w:line="280" w:lineRule="atLeast"/>
              <w:rPr>
                <w:rFonts w:asciiTheme="minorHAnsi" w:hAnsiTheme="minorHAnsi" w:cstheme="majorHAnsi"/>
                <w:sz w:val="20"/>
                <w:szCs w:val="20"/>
              </w:rPr>
            </w:pPr>
            <w:r w:rsidRPr="0004660D">
              <w:rPr>
                <w:rFonts w:asciiTheme="minorHAnsi" w:hAnsiTheme="minorHAnsi" w:cstheme="majorHAnsi"/>
                <w:sz w:val="20"/>
                <w:szCs w:val="20"/>
              </w:rPr>
              <w:t>Hav i balans och levande kust och skärgård; Ett rikt växt- och djurliv</w:t>
            </w:r>
          </w:p>
        </w:tc>
        <w:tc>
          <w:tcPr>
            <w:tcW w:w="1802" w:type="dxa"/>
          </w:tcPr>
          <w:p w14:paraId="0B3979DC" w14:textId="77777777" w:rsidR="0004660D" w:rsidRPr="0004660D" w:rsidRDefault="0004660D" w:rsidP="0004660D">
            <w:pPr>
              <w:tabs>
                <w:tab w:val="clear" w:pos="5041"/>
              </w:tabs>
              <w:spacing w:line="280" w:lineRule="atLeast"/>
              <w:rPr>
                <w:rFonts w:asciiTheme="minorHAnsi" w:hAnsiTheme="minorHAnsi" w:cstheme="majorHAnsi"/>
                <w:sz w:val="20"/>
                <w:szCs w:val="20"/>
              </w:rPr>
            </w:pPr>
          </w:p>
        </w:tc>
        <w:tc>
          <w:tcPr>
            <w:tcW w:w="1797" w:type="dxa"/>
          </w:tcPr>
          <w:p w14:paraId="3704ACFD" w14:textId="77777777" w:rsidR="0004660D" w:rsidRPr="0004660D" w:rsidRDefault="0004660D" w:rsidP="0004660D">
            <w:pPr>
              <w:tabs>
                <w:tab w:val="clear" w:pos="5041"/>
              </w:tabs>
              <w:spacing w:line="280" w:lineRule="atLeast"/>
              <w:rPr>
                <w:rFonts w:asciiTheme="minorHAnsi" w:hAnsiTheme="minorHAnsi" w:cstheme="majorHAnsi"/>
                <w:sz w:val="20"/>
                <w:szCs w:val="20"/>
              </w:rPr>
            </w:pPr>
          </w:p>
        </w:tc>
      </w:tr>
    </w:tbl>
    <w:p w14:paraId="48897B7D" w14:textId="77777777" w:rsidR="0004660D" w:rsidRDefault="0004660D" w:rsidP="0009349B">
      <w:pPr>
        <w:pStyle w:val="Brdtext"/>
      </w:pPr>
    </w:p>
    <w:p w14:paraId="42239E65" w14:textId="2A52E0DE" w:rsidR="00E13817" w:rsidRPr="004B7657" w:rsidRDefault="001A460F" w:rsidP="0009349B">
      <w:pPr>
        <w:pStyle w:val="Brdtext"/>
      </w:pPr>
      <w:r w:rsidRPr="004B7657">
        <w:t xml:space="preserve">B. </w:t>
      </w:r>
      <w:r w:rsidR="006F648D" w:rsidRPr="004B7657">
        <w:t>K</w:t>
      </w:r>
      <w:r w:rsidR="008C3A39" w:rsidRPr="004B7657">
        <w:t>oppling till</w:t>
      </w:r>
      <w:r w:rsidRPr="004B7657">
        <w:t xml:space="preserve"> MSFD Bilaga III</w:t>
      </w:r>
    </w:p>
    <w:tbl>
      <w:tblPr>
        <w:tblStyle w:val="Tabellrutnt2"/>
        <w:tblW w:w="0" w:type="auto"/>
        <w:tblLook w:val="04A0" w:firstRow="1" w:lastRow="0" w:firstColumn="1" w:lastColumn="0" w:noHBand="0" w:noVBand="1"/>
      </w:tblPr>
      <w:tblGrid>
        <w:gridCol w:w="4521"/>
        <w:gridCol w:w="4541"/>
      </w:tblGrid>
      <w:tr w:rsidR="0004660D" w:rsidRPr="0004660D" w14:paraId="4F26D931" w14:textId="77777777" w:rsidTr="000F5DA6">
        <w:tc>
          <w:tcPr>
            <w:tcW w:w="9212" w:type="dxa"/>
            <w:gridSpan w:val="2"/>
          </w:tcPr>
          <w:p w14:paraId="1E201087" w14:textId="77777777" w:rsidR="0004660D" w:rsidRPr="0004660D" w:rsidRDefault="0004660D" w:rsidP="0004660D">
            <w:pPr>
              <w:tabs>
                <w:tab w:val="clear" w:pos="5041"/>
              </w:tabs>
              <w:spacing w:after="0"/>
            </w:pPr>
            <w:r w:rsidRPr="0004660D">
              <w:t>Grundläggande förhållanden (Bilaga III, Tabell 1)</w:t>
            </w:r>
          </w:p>
        </w:tc>
      </w:tr>
      <w:tr w:rsidR="0004660D" w:rsidRPr="0004660D" w14:paraId="00856463" w14:textId="77777777" w:rsidTr="000F5DA6">
        <w:tc>
          <w:tcPr>
            <w:tcW w:w="4606" w:type="dxa"/>
          </w:tcPr>
          <w:p w14:paraId="206717F3" w14:textId="77777777" w:rsidR="0004660D" w:rsidRPr="0004660D" w:rsidRDefault="0004660D" w:rsidP="0004660D">
            <w:pPr>
              <w:tabs>
                <w:tab w:val="clear" w:pos="5041"/>
              </w:tabs>
              <w:spacing w:after="0"/>
            </w:pPr>
            <w:r w:rsidRPr="0004660D">
              <w:t>Grupper av arter av marina fåglar, däggdjur, reptiler, fiskar och bläckfiskar i den marina regionen eller delregionen</w:t>
            </w:r>
          </w:p>
        </w:tc>
        <w:tc>
          <w:tcPr>
            <w:tcW w:w="4606" w:type="dxa"/>
          </w:tcPr>
          <w:p w14:paraId="2E0E9561" w14:textId="77777777" w:rsidR="0004660D" w:rsidRPr="0004660D" w:rsidRDefault="0004660D" w:rsidP="0004660D">
            <w:pPr>
              <w:tabs>
                <w:tab w:val="clear" w:pos="5041"/>
              </w:tabs>
              <w:spacing w:after="0"/>
            </w:pPr>
            <w:r w:rsidRPr="0004660D">
              <w:t xml:space="preserve">Geografisk och tidsmässig variation per art eller population: utbredning, abundans och/eller biomassa </w:t>
            </w:r>
          </w:p>
        </w:tc>
      </w:tr>
      <w:tr w:rsidR="0004660D" w:rsidRPr="0004660D" w14:paraId="09BF0CD5" w14:textId="77777777" w:rsidTr="000F5DA6">
        <w:tc>
          <w:tcPr>
            <w:tcW w:w="9212" w:type="dxa"/>
            <w:gridSpan w:val="2"/>
          </w:tcPr>
          <w:p w14:paraId="1868DBA5" w14:textId="77777777" w:rsidR="0004660D" w:rsidRPr="0004660D" w:rsidRDefault="0004660D" w:rsidP="0004660D">
            <w:pPr>
              <w:tabs>
                <w:tab w:val="clear" w:pos="5041"/>
              </w:tabs>
              <w:spacing w:after="0"/>
            </w:pPr>
            <w:r w:rsidRPr="0004660D">
              <w:t>Belastning och påverkan (Bilaga III, Tabell 2)</w:t>
            </w:r>
          </w:p>
        </w:tc>
      </w:tr>
      <w:tr w:rsidR="0004660D" w:rsidRPr="0004660D" w14:paraId="2C9C242E" w14:textId="77777777" w:rsidTr="000F5DA6">
        <w:tc>
          <w:tcPr>
            <w:tcW w:w="4606" w:type="dxa"/>
          </w:tcPr>
          <w:p w14:paraId="015BF5BA" w14:textId="77777777" w:rsidR="0004660D" w:rsidRPr="0004660D" w:rsidRDefault="0004660D" w:rsidP="0004660D">
            <w:pPr>
              <w:tabs>
                <w:tab w:val="clear" w:pos="5041"/>
              </w:tabs>
              <w:spacing w:after="0"/>
            </w:pPr>
            <w:r w:rsidRPr="0004660D">
              <w:t xml:space="preserve">Biologiskt </w:t>
            </w:r>
          </w:p>
        </w:tc>
        <w:tc>
          <w:tcPr>
            <w:tcW w:w="4606" w:type="dxa"/>
          </w:tcPr>
          <w:p w14:paraId="3FEE8E17" w14:textId="77777777" w:rsidR="0004660D" w:rsidRPr="0004660D" w:rsidRDefault="0004660D" w:rsidP="0004660D">
            <w:pPr>
              <w:tabs>
                <w:tab w:val="clear" w:pos="5041"/>
              </w:tabs>
              <w:spacing w:after="0"/>
            </w:pPr>
            <w:r w:rsidRPr="0004660D">
              <w:t>Tillförsel av patogena mikroorganismer</w:t>
            </w:r>
          </w:p>
          <w:p w14:paraId="3DCDDC50" w14:textId="77777777" w:rsidR="0004660D" w:rsidRPr="0004660D" w:rsidRDefault="0004660D" w:rsidP="0004660D">
            <w:pPr>
              <w:tabs>
                <w:tab w:val="clear" w:pos="5041"/>
              </w:tabs>
              <w:spacing w:after="0"/>
            </w:pPr>
          </w:p>
          <w:p w14:paraId="1D89CF7E" w14:textId="77777777" w:rsidR="0004660D" w:rsidRPr="0004660D" w:rsidRDefault="0004660D" w:rsidP="0004660D">
            <w:pPr>
              <w:tabs>
                <w:tab w:val="clear" w:pos="5041"/>
              </w:tabs>
              <w:spacing w:after="0"/>
            </w:pPr>
            <w:r w:rsidRPr="0004660D">
              <w:t>Uttag av, eller dödlighet/skada hos, vilda arter, däribland mål- och icke-målarter (genom yrkes- och fritidsfiske och annan verksamhet)</w:t>
            </w:r>
          </w:p>
          <w:p w14:paraId="4AE9D3DD" w14:textId="77777777" w:rsidR="0004660D" w:rsidRPr="0004660D" w:rsidRDefault="0004660D" w:rsidP="0004660D">
            <w:pPr>
              <w:tabs>
                <w:tab w:val="clear" w:pos="5041"/>
              </w:tabs>
              <w:spacing w:after="0"/>
            </w:pPr>
          </w:p>
          <w:p w14:paraId="07719CE1" w14:textId="77777777" w:rsidR="0004660D" w:rsidRPr="0004660D" w:rsidRDefault="0004660D" w:rsidP="0004660D">
            <w:pPr>
              <w:tabs>
                <w:tab w:val="clear" w:pos="5041"/>
              </w:tabs>
              <w:spacing w:after="0"/>
            </w:pPr>
            <w:r w:rsidRPr="0004660D">
              <w:t>Störning av arter (t.ex. i lek- rast- och födosöksområden) på grund av mänsklig närvaro</w:t>
            </w:r>
          </w:p>
        </w:tc>
      </w:tr>
      <w:tr w:rsidR="0004660D" w:rsidRPr="0004660D" w14:paraId="1843DAE8" w14:textId="77777777" w:rsidTr="000F5DA6">
        <w:tc>
          <w:tcPr>
            <w:tcW w:w="4606" w:type="dxa"/>
          </w:tcPr>
          <w:p w14:paraId="7D24B447" w14:textId="77777777" w:rsidR="0004660D" w:rsidRPr="0004660D" w:rsidRDefault="0004660D" w:rsidP="0004660D">
            <w:pPr>
              <w:tabs>
                <w:tab w:val="clear" w:pos="5041"/>
              </w:tabs>
              <w:spacing w:after="0"/>
            </w:pPr>
            <w:r w:rsidRPr="0004660D">
              <w:t>Fysiskt</w:t>
            </w:r>
          </w:p>
        </w:tc>
        <w:tc>
          <w:tcPr>
            <w:tcW w:w="4606" w:type="dxa"/>
          </w:tcPr>
          <w:p w14:paraId="0424F125" w14:textId="77777777" w:rsidR="0004660D" w:rsidRPr="0004660D" w:rsidRDefault="0004660D" w:rsidP="0004660D">
            <w:pPr>
              <w:tabs>
                <w:tab w:val="clear" w:pos="5041"/>
              </w:tabs>
              <w:spacing w:after="0"/>
            </w:pPr>
            <w:r w:rsidRPr="0004660D">
              <w:t>Fysisk förlust (på grund av varaktig förändring av havsbottensubstrat eller havsbottnens morfologi och på grund av utvinning av havsbottensubstrat)</w:t>
            </w:r>
          </w:p>
        </w:tc>
      </w:tr>
      <w:tr w:rsidR="0004660D" w:rsidRPr="0004660D" w14:paraId="60C500BE" w14:textId="77777777" w:rsidTr="000F5DA6">
        <w:tc>
          <w:tcPr>
            <w:tcW w:w="4606" w:type="dxa"/>
          </w:tcPr>
          <w:p w14:paraId="7E31AE2D" w14:textId="77777777" w:rsidR="0004660D" w:rsidRPr="0004660D" w:rsidRDefault="0004660D" w:rsidP="0004660D">
            <w:pPr>
              <w:tabs>
                <w:tab w:val="clear" w:pos="5041"/>
              </w:tabs>
              <w:spacing w:after="0"/>
            </w:pPr>
            <w:r w:rsidRPr="0004660D">
              <w:t>Ämnen, skräp och energi</w:t>
            </w:r>
          </w:p>
        </w:tc>
        <w:tc>
          <w:tcPr>
            <w:tcW w:w="4606" w:type="dxa"/>
          </w:tcPr>
          <w:p w14:paraId="52F3E184" w14:textId="77777777" w:rsidR="0004660D" w:rsidRPr="0004660D" w:rsidRDefault="0004660D" w:rsidP="0004660D">
            <w:pPr>
              <w:tabs>
                <w:tab w:val="clear" w:pos="5041"/>
              </w:tabs>
              <w:spacing w:after="0"/>
            </w:pPr>
            <w:r w:rsidRPr="0004660D">
              <w:t>Tillförsel av farliga ämnen (syntetiska ämnen, icke syntetiska ämnen, radionuklider) – diffusa källor, punktkällor, atmosfärisk deposition, akuta händelser</w:t>
            </w:r>
          </w:p>
          <w:p w14:paraId="711F77D1" w14:textId="77777777" w:rsidR="0004660D" w:rsidRPr="0004660D" w:rsidRDefault="0004660D" w:rsidP="0004660D">
            <w:pPr>
              <w:tabs>
                <w:tab w:val="clear" w:pos="5041"/>
              </w:tabs>
              <w:spacing w:after="0"/>
            </w:pPr>
          </w:p>
          <w:p w14:paraId="5F447839" w14:textId="77777777" w:rsidR="0004660D" w:rsidRPr="0004660D" w:rsidRDefault="0004660D" w:rsidP="0004660D">
            <w:pPr>
              <w:tabs>
                <w:tab w:val="clear" w:pos="5041"/>
              </w:tabs>
              <w:spacing w:after="0"/>
            </w:pPr>
            <w:r w:rsidRPr="0004660D">
              <w:t>Påverkan av antropogent ljud (impulsljud, kontinuerligt ljud)</w:t>
            </w:r>
          </w:p>
        </w:tc>
      </w:tr>
    </w:tbl>
    <w:p w14:paraId="7F7DF1B2" w14:textId="77777777" w:rsidR="00A84F48" w:rsidRDefault="00A84F48">
      <w:pPr>
        <w:tabs>
          <w:tab w:val="clear" w:pos="5041"/>
        </w:tabs>
        <w:spacing w:after="0"/>
      </w:pPr>
    </w:p>
    <w:p w14:paraId="1DAE439C" w14:textId="77777777" w:rsidR="005D132C" w:rsidRDefault="005D132C">
      <w:pPr>
        <w:tabs>
          <w:tab w:val="clear" w:pos="5041"/>
        </w:tabs>
        <w:spacing w:after="0"/>
      </w:pPr>
      <w:r>
        <w:t>C. Ingående parametrar, övervakning och dataägare</w:t>
      </w:r>
    </w:p>
    <w:tbl>
      <w:tblPr>
        <w:tblStyle w:val="Tabellrutnt"/>
        <w:tblW w:w="9076" w:type="dxa"/>
        <w:tblLayout w:type="fixed"/>
        <w:tblLook w:val="04A0" w:firstRow="1" w:lastRow="0" w:firstColumn="1" w:lastColumn="0" w:noHBand="0" w:noVBand="1"/>
      </w:tblPr>
      <w:tblGrid>
        <w:gridCol w:w="2376"/>
        <w:gridCol w:w="2114"/>
        <w:gridCol w:w="2293"/>
        <w:gridCol w:w="2293"/>
      </w:tblGrid>
      <w:tr w:rsidR="00544886" w14:paraId="479960BC" w14:textId="77777777" w:rsidTr="0004660D">
        <w:trPr>
          <w:trHeight w:val="1694"/>
        </w:trPr>
        <w:tc>
          <w:tcPr>
            <w:tcW w:w="2376" w:type="dxa"/>
          </w:tcPr>
          <w:p w14:paraId="41647A95" w14:textId="77777777" w:rsidR="00544886" w:rsidRDefault="00544886">
            <w:pPr>
              <w:tabs>
                <w:tab w:val="clear" w:pos="5041"/>
              </w:tabs>
              <w:spacing w:after="0"/>
            </w:pPr>
            <w:r>
              <w:t>Parameter</w:t>
            </w:r>
          </w:p>
        </w:tc>
        <w:tc>
          <w:tcPr>
            <w:tcW w:w="2114" w:type="dxa"/>
          </w:tcPr>
          <w:p w14:paraId="46BF87D6" w14:textId="77777777" w:rsidR="00544886" w:rsidRDefault="00544886">
            <w:pPr>
              <w:tabs>
                <w:tab w:val="clear" w:pos="5041"/>
              </w:tabs>
              <w:spacing w:after="0"/>
            </w:pPr>
            <w:r>
              <w:t>Program resp. underprogram i HaVs övervakningsprogram</w:t>
            </w:r>
          </w:p>
        </w:tc>
        <w:tc>
          <w:tcPr>
            <w:tcW w:w="2293" w:type="dxa"/>
          </w:tcPr>
          <w:p w14:paraId="3CCAF130" w14:textId="77777777" w:rsidR="00544886" w:rsidRDefault="00544886" w:rsidP="00544886">
            <w:pPr>
              <w:tabs>
                <w:tab w:val="clear" w:pos="5041"/>
              </w:tabs>
              <w:spacing w:after="0"/>
            </w:pPr>
            <w:r>
              <w:t>Dataägare samt databas med hyperlänk</w:t>
            </w:r>
          </w:p>
        </w:tc>
        <w:tc>
          <w:tcPr>
            <w:tcW w:w="2293" w:type="dxa"/>
          </w:tcPr>
          <w:p w14:paraId="50938D1D" w14:textId="77777777" w:rsidR="00544886" w:rsidRDefault="00544886" w:rsidP="00544886">
            <w:pPr>
              <w:tabs>
                <w:tab w:val="clear" w:pos="5041"/>
              </w:tabs>
              <w:spacing w:after="0"/>
            </w:pPr>
            <w:r>
              <w:t>Hyperlänk till rådata-snapshot</w:t>
            </w:r>
          </w:p>
        </w:tc>
      </w:tr>
      <w:tr w:rsidR="00A755D7" w14:paraId="5C3DA0DA" w14:textId="77777777" w:rsidTr="0004660D">
        <w:trPr>
          <w:trHeight w:val="293"/>
        </w:trPr>
        <w:tc>
          <w:tcPr>
            <w:tcW w:w="2376" w:type="dxa"/>
          </w:tcPr>
          <w:p w14:paraId="79094710" w14:textId="77777777" w:rsidR="00A755D7" w:rsidRDefault="00A755D7">
            <w:pPr>
              <w:tabs>
                <w:tab w:val="clear" w:pos="5041"/>
              </w:tabs>
              <w:spacing w:after="0"/>
            </w:pPr>
            <w:r>
              <w:lastRenderedPageBreak/>
              <w:t>Distribution</w:t>
            </w:r>
          </w:p>
        </w:tc>
        <w:tc>
          <w:tcPr>
            <w:tcW w:w="2114" w:type="dxa"/>
          </w:tcPr>
          <w:p w14:paraId="73F81BBB" w14:textId="77777777" w:rsidR="00A755D7" w:rsidRDefault="00A755D7">
            <w:pPr>
              <w:tabs>
                <w:tab w:val="clear" w:pos="5041"/>
              </w:tabs>
              <w:spacing w:after="0"/>
            </w:pPr>
            <w:r>
              <w:t>Kust och hav, miljöövervakning</w:t>
            </w:r>
          </w:p>
        </w:tc>
        <w:tc>
          <w:tcPr>
            <w:tcW w:w="2293" w:type="dxa"/>
          </w:tcPr>
          <w:p w14:paraId="104CDCEF" w14:textId="77777777" w:rsidR="00A755D7" w:rsidRDefault="00A755D7">
            <w:pPr>
              <w:tabs>
                <w:tab w:val="clear" w:pos="5041"/>
              </w:tabs>
              <w:spacing w:after="0"/>
            </w:pPr>
            <w:r>
              <w:t xml:space="preserve">HaV, SMHI, </w:t>
            </w:r>
            <w:r>
              <w:rPr>
                <w:rStyle w:val="HTML-citat"/>
                <w:rFonts w:eastAsiaTheme="majorEastAsia" w:cs="Arial"/>
                <w:color w:val="666666"/>
              </w:rPr>
              <w:t>https://www.smhi.se/klimatdata/oceanografi/havsmiljodata</w:t>
            </w:r>
          </w:p>
        </w:tc>
        <w:tc>
          <w:tcPr>
            <w:tcW w:w="2293" w:type="dxa"/>
          </w:tcPr>
          <w:p w14:paraId="6FC46402" w14:textId="77777777" w:rsidR="00A755D7" w:rsidRDefault="00A755D7">
            <w:pPr>
              <w:tabs>
                <w:tab w:val="clear" w:pos="5041"/>
              </w:tabs>
              <w:spacing w:after="0"/>
            </w:pPr>
            <w:r>
              <w:t>Som ovan</w:t>
            </w:r>
          </w:p>
        </w:tc>
      </w:tr>
    </w:tbl>
    <w:p w14:paraId="4350BC69" w14:textId="77777777" w:rsidR="005D132C" w:rsidRDefault="005D132C">
      <w:pPr>
        <w:tabs>
          <w:tab w:val="clear" w:pos="5041"/>
        </w:tabs>
        <w:spacing w:after="0"/>
      </w:pPr>
    </w:p>
    <w:p w14:paraId="0B58F398" w14:textId="77777777" w:rsidR="005D132C" w:rsidRDefault="005D132C">
      <w:pPr>
        <w:tabs>
          <w:tab w:val="clear" w:pos="5041"/>
        </w:tabs>
        <w:spacing w:after="0"/>
      </w:pPr>
    </w:p>
    <w:p w14:paraId="6E85D3D3" w14:textId="77777777" w:rsidR="005D132C" w:rsidRDefault="005D132C">
      <w:pPr>
        <w:tabs>
          <w:tab w:val="clear" w:pos="5041"/>
        </w:tabs>
        <w:spacing w:after="0"/>
      </w:pPr>
    </w:p>
    <w:p w14:paraId="1F1C3C0B" w14:textId="77777777" w:rsidR="00804DBE" w:rsidRDefault="00804DBE">
      <w:pPr>
        <w:tabs>
          <w:tab w:val="clear" w:pos="5041"/>
        </w:tabs>
        <w:spacing w:after="0"/>
      </w:pPr>
      <w:r>
        <w:br w:type="page"/>
      </w:r>
    </w:p>
    <w:p w14:paraId="1938252D" w14:textId="77777777" w:rsidR="00A84F48" w:rsidRDefault="0070387B" w:rsidP="004B7657">
      <w:pPr>
        <w:tabs>
          <w:tab w:val="clear" w:pos="5041"/>
        </w:tabs>
      </w:pPr>
      <w:r>
        <w:lastRenderedPageBreak/>
        <w:t>D</w:t>
      </w:r>
      <w:r w:rsidR="00A84F48">
        <w:t>. Bedömningsområden</w:t>
      </w:r>
      <w:r w:rsidR="00804DBE">
        <w:t xml:space="preserve">, </w:t>
      </w:r>
      <w:r w:rsidR="00B7632E">
        <w:t xml:space="preserve">med </w:t>
      </w:r>
      <w:r w:rsidR="008B1796">
        <w:t>tröskel</w:t>
      </w:r>
      <w:r w:rsidR="00804DBE">
        <w:t>värde</w:t>
      </w:r>
      <w:r>
        <w:t>(</w:t>
      </w:r>
      <w:r w:rsidR="00804DBE">
        <w:t>n</w:t>
      </w:r>
      <w:r>
        <w:t>)</w:t>
      </w:r>
      <w:r w:rsidR="00B7632E">
        <w:t>,</w:t>
      </w:r>
      <w:r w:rsidR="008B1796">
        <w:t xml:space="preserve"> observerade värden</w:t>
      </w:r>
      <w:r w:rsidR="00A84F48">
        <w:t xml:space="preserve"> och bedömning</w:t>
      </w:r>
    </w:p>
    <w:p w14:paraId="19F6E526" w14:textId="77777777" w:rsidR="00976CD1" w:rsidRDefault="00976CD1" w:rsidP="004B7657">
      <w:pPr>
        <w:tabs>
          <w:tab w:val="clear" w:pos="5041"/>
        </w:tabs>
      </w:pPr>
      <w:r>
        <w:t>Tabell 1</w:t>
      </w:r>
      <w:r w:rsidR="00B13809">
        <w:t>.</w:t>
      </w:r>
      <w:r>
        <w:t xml:space="preserve"> </w:t>
      </w:r>
      <w:r w:rsidR="00B13809">
        <w:t xml:space="preserve">Förvaltningsområde </w:t>
      </w:r>
      <w:r>
        <w:t>Nordsjön</w:t>
      </w:r>
    </w:p>
    <w:tbl>
      <w:tblPr>
        <w:tblStyle w:val="Tabellrutnt"/>
        <w:tblW w:w="0" w:type="auto"/>
        <w:tblCellMar>
          <w:top w:w="28" w:type="dxa"/>
          <w:bottom w:w="28" w:type="dxa"/>
        </w:tblCellMar>
        <w:tblLook w:val="04A0" w:firstRow="1" w:lastRow="0" w:firstColumn="1" w:lastColumn="0" w:noHBand="0" w:noVBand="1"/>
      </w:tblPr>
      <w:tblGrid>
        <w:gridCol w:w="2150"/>
        <w:gridCol w:w="1739"/>
        <w:gridCol w:w="1422"/>
        <w:gridCol w:w="1696"/>
        <w:gridCol w:w="2055"/>
      </w:tblGrid>
      <w:tr w:rsidR="005215C9" w14:paraId="6C9C3E23" w14:textId="77777777" w:rsidTr="0004660D">
        <w:tc>
          <w:tcPr>
            <w:tcW w:w="2150" w:type="dxa"/>
          </w:tcPr>
          <w:p w14:paraId="26D4A7AE" w14:textId="77777777" w:rsidR="005215C9" w:rsidRPr="00D44830" w:rsidRDefault="005215C9" w:rsidP="00393373">
            <w:pPr>
              <w:tabs>
                <w:tab w:val="clear" w:pos="5041"/>
              </w:tabs>
              <w:spacing w:after="0"/>
              <w:rPr>
                <w:rFonts w:asciiTheme="majorHAnsi" w:hAnsiTheme="majorHAnsi" w:cstheme="majorHAnsi"/>
                <w:b/>
                <w:sz w:val="20"/>
                <w:szCs w:val="20"/>
              </w:rPr>
            </w:pPr>
            <w:r w:rsidRPr="00D44830">
              <w:rPr>
                <w:rFonts w:asciiTheme="majorHAnsi" w:hAnsiTheme="majorHAnsi" w:cstheme="majorHAnsi"/>
                <w:b/>
                <w:sz w:val="20"/>
                <w:szCs w:val="20"/>
              </w:rPr>
              <w:t>Bedömningsområde</w:t>
            </w:r>
            <w:r>
              <w:rPr>
                <w:rFonts w:asciiTheme="majorHAnsi" w:hAnsiTheme="majorHAnsi" w:cstheme="majorHAnsi"/>
                <w:b/>
                <w:sz w:val="20"/>
                <w:szCs w:val="20"/>
              </w:rPr>
              <w:t xml:space="preserve"> Havsbassänger</w:t>
            </w:r>
          </w:p>
        </w:tc>
        <w:tc>
          <w:tcPr>
            <w:tcW w:w="1739" w:type="dxa"/>
          </w:tcPr>
          <w:p w14:paraId="47318F49" w14:textId="77777777" w:rsidR="005215C9" w:rsidRPr="00D44830"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422" w:type="dxa"/>
          </w:tcPr>
          <w:p w14:paraId="5352AB86" w14:textId="77777777" w:rsidR="005215C9" w:rsidRPr="00D44830"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696" w:type="dxa"/>
          </w:tcPr>
          <w:p w14:paraId="258B22E0" w14:textId="77777777" w:rsidR="005215C9"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2055" w:type="dxa"/>
          </w:tcPr>
          <w:p w14:paraId="65C5B421" w14:textId="77777777" w:rsidR="005215C9" w:rsidRDefault="005215C9" w:rsidP="00393373">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5215C9" w14:paraId="6D1B11DF" w14:textId="77777777" w:rsidTr="0004660D">
        <w:trPr>
          <w:trHeight w:val="549"/>
        </w:trPr>
        <w:tc>
          <w:tcPr>
            <w:tcW w:w="2150" w:type="dxa"/>
            <w:vAlign w:val="center"/>
          </w:tcPr>
          <w:p w14:paraId="4108B0FD" w14:textId="77777777" w:rsidR="005215C9" w:rsidRPr="00CE6559" w:rsidRDefault="005215C9" w:rsidP="00393373">
            <w:pPr>
              <w:tabs>
                <w:tab w:val="clear" w:pos="5041"/>
              </w:tabs>
              <w:spacing w:after="0"/>
              <w:rPr>
                <w:rFonts w:asciiTheme="minorHAnsi" w:hAnsiTheme="minorHAnsi"/>
                <w:sz w:val="18"/>
                <w:szCs w:val="18"/>
              </w:rPr>
            </w:pPr>
            <w:r w:rsidRPr="00CE6559">
              <w:rPr>
                <w:rFonts w:asciiTheme="minorHAnsi" w:hAnsiTheme="minorHAnsi"/>
                <w:sz w:val="18"/>
                <w:szCs w:val="18"/>
              </w:rPr>
              <w:t>Skagerrack</w:t>
            </w:r>
          </w:p>
        </w:tc>
        <w:tc>
          <w:tcPr>
            <w:tcW w:w="1739" w:type="dxa"/>
          </w:tcPr>
          <w:p w14:paraId="057A9F86" w14:textId="77777777" w:rsidR="005215C9" w:rsidRDefault="002231C8" w:rsidP="0004660D">
            <w:pPr>
              <w:tabs>
                <w:tab w:val="clear" w:pos="5041"/>
              </w:tabs>
              <w:spacing w:after="0"/>
              <w:rPr>
                <w:sz w:val="18"/>
                <w:szCs w:val="18"/>
              </w:rPr>
            </w:pPr>
            <w:r>
              <w:rPr>
                <w:sz w:val="18"/>
                <w:szCs w:val="18"/>
              </w:rPr>
              <w:t>Som 1880</w:t>
            </w:r>
          </w:p>
          <w:p w14:paraId="4C468157" w14:textId="77777777" w:rsidR="00AA46B6" w:rsidRPr="00A755D7" w:rsidRDefault="002231C8" w:rsidP="0004660D">
            <w:pPr>
              <w:tabs>
                <w:tab w:val="clear" w:pos="5041"/>
              </w:tabs>
              <w:spacing w:after="0"/>
              <w:rPr>
                <w:sz w:val="18"/>
                <w:szCs w:val="18"/>
              </w:rPr>
            </w:pPr>
            <w:r>
              <w:rPr>
                <w:sz w:val="18"/>
                <w:szCs w:val="18"/>
              </w:rPr>
              <w:t>Får ej minska</w:t>
            </w:r>
          </w:p>
        </w:tc>
        <w:tc>
          <w:tcPr>
            <w:tcW w:w="1422" w:type="dxa"/>
            <w:shd w:val="clear" w:color="auto" w:fill="auto"/>
          </w:tcPr>
          <w:p w14:paraId="47DCC025" w14:textId="77777777" w:rsidR="005215C9" w:rsidRDefault="002231C8" w:rsidP="0004660D">
            <w:pPr>
              <w:tabs>
                <w:tab w:val="clear" w:pos="5041"/>
              </w:tabs>
              <w:spacing w:after="0"/>
              <w:rPr>
                <w:sz w:val="18"/>
                <w:szCs w:val="18"/>
              </w:rPr>
            </w:pPr>
            <w:r>
              <w:rPr>
                <w:sz w:val="18"/>
                <w:szCs w:val="18"/>
              </w:rPr>
              <w:t>Som 1880</w:t>
            </w:r>
          </w:p>
          <w:p w14:paraId="7AC4279A" w14:textId="77777777" w:rsidR="00AA46B6" w:rsidRPr="0034175C" w:rsidRDefault="002231C8" w:rsidP="0004660D">
            <w:pPr>
              <w:tabs>
                <w:tab w:val="clear" w:pos="5041"/>
              </w:tabs>
              <w:spacing w:after="0"/>
              <w:rPr>
                <w:sz w:val="18"/>
                <w:szCs w:val="18"/>
              </w:rPr>
            </w:pPr>
            <w:r>
              <w:rPr>
                <w:sz w:val="18"/>
                <w:szCs w:val="18"/>
              </w:rPr>
              <w:t>Minskar ej</w:t>
            </w:r>
          </w:p>
        </w:tc>
        <w:tc>
          <w:tcPr>
            <w:tcW w:w="1696" w:type="dxa"/>
          </w:tcPr>
          <w:p w14:paraId="523028D1" w14:textId="77777777" w:rsidR="00A755D7" w:rsidRDefault="00A755D7" w:rsidP="0004660D">
            <w:pPr>
              <w:tabs>
                <w:tab w:val="clear" w:pos="5041"/>
              </w:tabs>
              <w:spacing w:after="0"/>
              <w:rPr>
                <w:sz w:val="18"/>
                <w:szCs w:val="18"/>
              </w:rPr>
            </w:pPr>
            <w:r>
              <w:rPr>
                <w:sz w:val="18"/>
                <w:szCs w:val="18"/>
              </w:rPr>
              <w:t>God status</w:t>
            </w:r>
          </w:p>
          <w:p w14:paraId="1C9ACD18" w14:textId="77777777" w:rsidR="00AA46B6" w:rsidRDefault="00AA46B6" w:rsidP="0004660D">
            <w:pPr>
              <w:tabs>
                <w:tab w:val="clear" w:pos="5041"/>
              </w:tabs>
              <w:spacing w:after="0"/>
              <w:rPr>
                <w:sz w:val="18"/>
                <w:szCs w:val="18"/>
              </w:rPr>
            </w:pPr>
            <w:r>
              <w:rPr>
                <w:sz w:val="18"/>
                <w:szCs w:val="18"/>
              </w:rPr>
              <w:t>God status</w:t>
            </w:r>
          </w:p>
          <w:p w14:paraId="79BACC29" w14:textId="77777777" w:rsidR="00AA46B6" w:rsidRPr="00D05BBE" w:rsidRDefault="00AA46B6" w:rsidP="0004660D">
            <w:pPr>
              <w:tabs>
                <w:tab w:val="clear" w:pos="5041"/>
              </w:tabs>
              <w:spacing w:after="0"/>
              <w:rPr>
                <w:sz w:val="18"/>
                <w:szCs w:val="18"/>
              </w:rPr>
            </w:pPr>
          </w:p>
        </w:tc>
        <w:tc>
          <w:tcPr>
            <w:tcW w:w="2055" w:type="dxa"/>
            <w:shd w:val="clear" w:color="auto" w:fill="auto"/>
          </w:tcPr>
          <w:p w14:paraId="0E3734D0" w14:textId="77777777" w:rsidR="005215C9" w:rsidRDefault="00AA46B6" w:rsidP="0004660D">
            <w:pPr>
              <w:tabs>
                <w:tab w:val="clear" w:pos="5041"/>
              </w:tabs>
              <w:spacing w:after="0"/>
              <w:rPr>
                <w:sz w:val="18"/>
                <w:szCs w:val="18"/>
              </w:rPr>
            </w:pPr>
            <w:r>
              <w:rPr>
                <w:sz w:val="18"/>
                <w:szCs w:val="18"/>
              </w:rPr>
              <w:t>Hög</w:t>
            </w:r>
          </w:p>
          <w:p w14:paraId="76F1C309" w14:textId="77777777" w:rsidR="00AA46B6" w:rsidRDefault="00AA46B6" w:rsidP="0004660D">
            <w:pPr>
              <w:tabs>
                <w:tab w:val="clear" w:pos="5041"/>
              </w:tabs>
              <w:spacing w:after="0"/>
              <w:rPr>
                <w:sz w:val="18"/>
                <w:szCs w:val="18"/>
              </w:rPr>
            </w:pPr>
            <w:r>
              <w:rPr>
                <w:sz w:val="18"/>
                <w:szCs w:val="18"/>
              </w:rPr>
              <w:t>Hög</w:t>
            </w:r>
          </w:p>
          <w:p w14:paraId="33D4284E" w14:textId="77777777" w:rsidR="002231C8" w:rsidRPr="00D05BBE" w:rsidRDefault="002231C8" w:rsidP="0004660D">
            <w:pPr>
              <w:tabs>
                <w:tab w:val="clear" w:pos="5041"/>
              </w:tabs>
              <w:spacing w:after="0"/>
              <w:rPr>
                <w:sz w:val="18"/>
                <w:szCs w:val="18"/>
              </w:rPr>
            </w:pPr>
          </w:p>
        </w:tc>
      </w:tr>
      <w:tr w:rsidR="002231C8" w14:paraId="5006060E" w14:textId="77777777" w:rsidTr="0004660D">
        <w:trPr>
          <w:trHeight w:val="613"/>
        </w:trPr>
        <w:tc>
          <w:tcPr>
            <w:tcW w:w="2150" w:type="dxa"/>
            <w:vAlign w:val="center"/>
          </w:tcPr>
          <w:p w14:paraId="42899A89" w14:textId="77777777" w:rsidR="002231C8" w:rsidRPr="00CE6559" w:rsidRDefault="002231C8" w:rsidP="00393373">
            <w:pPr>
              <w:tabs>
                <w:tab w:val="clear" w:pos="5041"/>
              </w:tabs>
              <w:spacing w:after="0"/>
              <w:rPr>
                <w:rFonts w:asciiTheme="minorHAnsi" w:hAnsiTheme="minorHAnsi"/>
                <w:sz w:val="18"/>
                <w:szCs w:val="18"/>
              </w:rPr>
            </w:pPr>
            <w:r w:rsidRPr="00CE6559">
              <w:rPr>
                <w:rFonts w:asciiTheme="minorHAnsi" w:hAnsiTheme="minorHAnsi"/>
                <w:sz w:val="18"/>
                <w:szCs w:val="18"/>
              </w:rPr>
              <w:t>Kattegatt</w:t>
            </w:r>
          </w:p>
        </w:tc>
        <w:tc>
          <w:tcPr>
            <w:tcW w:w="1739" w:type="dxa"/>
          </w:tcPr>
          <w:p w14:paraId="33FA63CB" w14:textId="77777777" w:rsidR="002231C8" w:rsidRDefault="002231C8" w:rsidP="0004660D">
            <w:pPr>
              <w:tabs>
                <w:tab w:val="clear" w:pos="5041"/>
              </w:tabs>
              <w:spacing w:after="0"/>
              <w:rPr>
                <w:sz w:val="18"/>
                <w:szCs w:val="18"/>
              </w:rPr>
            </w:pPr>
            <w:r>
              <w:rPr>
                <w:sz w:val="18"/>
                <w:szCs w:val="18"/>
              </w:rPr>
              <w:t>Som 1880</w:t>
            </w:r>
          </w:p>
          <w:p w14:paraId="27D33D69" w14:textId="77777777" w:rsidR="002231C8" w:rsidRPr="00A755D7" w:rsidRDefault="002231C8" w:rsidP="0004660D">
            <w:pPr>
              <w:tabs>
                <w:tab w:val="clear" w:pos="5041"/>
              </w:tabs>
              <w:spacing w:after="0"/>
              <w:rPr>
                <w:sz w:val="18"/>
                <w:szCs w:val="18"/>
              </w:rPr>
            </w:pPr>
            <w:r>
              <w:rPr>
                <w:sz w:val="18"/>
                <w:szCs w:val="18"/>
              </w:rPr>
              <w:t>Får ej minska</w:t>
            </w:r>
          </w:p>
        </w:tc>
        <w:tc>
          <w:tcPr>
            <w:tcW w:w="1422" w:type="dxa"/>
            <w:shd w:val="clear" w:color="auto" w:fill="auto"/>
          </w:tcPr>
          <w:p w14:paraId="6DE7B6BD" w14:textId="77777777" w:rsidR="002231C8" w:rsidRDefault="002231C8" w:rsidP="0004660D">
            <w:pPr>
              <w:tabs>
                <w:tab w:val="clear" w:pos="5041"/>
              </w:tabs>
              <w:spacing w:after="0"/>
              <w:rPr>
                <w:sz w:val="18"/>
                <w:szCs w:val="18"/>
              </w:rPr>
            </w:pPr>
            <w:r>
              <w:rPr>
                <w:sz w:val="18"/>
                <w:szCs w:val="18"/>
              </w:rPr>
              <w:t>Som 1880</w:t>
            </w:r>
          </w:p>
          <w:p w14:paraId="6D5A6971" w14:textId="77777777" w:rsidR="002231C8" w:rsidRPr="0034175C" w:rsidRDefault="002231C8" w:rsidP="0004660D">
            <w:pPr>
              <w:tabs>
                <w:tab w:val="clear" w:pos="5041"/>
              </w:tabs>
              <w:spacing w:after="0"/>
              <w:rPr>
                <w:sz w:val="18"/>
                <w:szCs w:val="18"/>
              </w:rPr>
            </w:pPr>
            <w:r>
              <w:rPr>
                <w:sz w:val="18"/>
                <w:szCs w:val="18"/>
              </w:rPr>
              <w:t>Minskar ej</w:t>
            </w:r>
          </w:p>
        </w:tc>
        <w:tc>
          <w:tcPr>
            <w:tcW w:w="1696" w:type="dxa"/>
          </w:tcPr>
          <w:p w14:paraId="408C0CC3" w14:textId="77777777" w:rsidR="002231C8" w:rsidRDefault="002231C8" w:rsidP="0004660D">
            <w:pPr>
              <w:tabs>
                <w:tab w:val="clear" w:pos="5041"/>
              </w:tabs>
              <w:spacing w:after="0"/>
              <w:rPr>
                <w:sz w:val="18"/>
                <w:szCs w:val="18"/>
              </w:rPr>
            </w:pPr>
            <w:r>
              <w:rPr>
                <w:sz w:val="18"/>
                <w:szCs w:val="18"/>
              </w:rPr>
              <w:t>God status</w:t>
            </w:r>
          </w:p>
          <w:p w14:paraId="57D2604B" w14:textId="77777777" w:rsidR="002231C8" w:rsidRDefault="002231C8" w:rsidP="0004660D">
            <w:pPr>
              <w:tabs>
                <w:tab w:val="clear" w:pos="5041"/>
              </w:tabs>
              <w:spacing w:after="0"/>
              <w:rPr>
                <w:sz w:val="18"/>
                <w:szCs w:val="18"/>
              </w:rPr>
            </w:pPr>
            <w:r>
              <w:rPr>
                <w:sz w:val="18"/>
                <w:szCs w:val="18"/>
              </w:rPr>
              <w:t>God status</w:t>
            </w:r>
          </w:p>
          <w:p w14:paraId="3CC4F3B7" w14:textId="77777777" w:rsidR="002231C8" w:rsidRPr="00D05BBE" w:rsidRDefault="002231C8" w:rsidP="0004660D">
            <w:pPr>
              <w:tabs>
                <w:tab w:val="clear" w:pos="5041"/>
              </w:tabs>
              <w:spacing w:after="0"/>
              <w:rPr>
                <w:sz w:val="18"/>
                <w:szCs w:val="18"/>
              </w:rPr>
            </w:pPr>
          </w:p>
        </w:tc>
        <w:tc>
          <w:tcPr>
            <w:tcW w:w="2055" w:type="dxa"/>
            <w:shd w:val="clear" w:color="auto" w:fill="auto"/>
          </w:tcPr>
          <w:p w14:paraId="6AC67E7B" w14:textId="77777777" w:rsidR="002231C8" w:rsidRDefault="002231C8" w:rsidP="0004660D">
            <w:pPr>
              <w:tabs>
                <w:tab w:val="clear" w:pos="5041"/>
              </w:tabs>
              <w:spacing w:after="0"/>
              <w:rPr>
                <w:sz w:val="18"/>
                <w:szCs w:val="18"/>
              </w:rPr>
            </w:pPr>
            <w:r>
              <w:rPr>
                <w:sz w:val="18"/>
                <w:szCs w:val="18"/>
              </w:rPr>
              <w:t>Hög</w:t>
            </w:r>
          </w:p>
          <w:p w14:paraId="5BEF2E11" w14:textId="77777777" w:rsidR="002231C8" w:rsidRDefault="002231C8" w:rsidP="0004660D">
            <w:pPr>
              <w:tabs>
                <w:tab w:val="clear" w:pos="5041"/>
              </w:tabs>
              <w:spacing w:after="0"/>
              <w:rPr>
                <w:sz w:val="18"/>
                <w:szCs w:val="18"/>
              </w:rPr>
            </w:pPr>
            <w:r>
              <w:rPr>
                <w:sz w:val="18"/>
                <w:szCs w:val="18"/>
              </w:rPr>
              <w:t>Hög</w:t>
            </w:r>
          </w:p>
          <w:p w14:paraId="01C725E9" w14:textId="77777777" w:rsidR="002231C8" w:rsidRPr="00D05BBE" w:rsidRDefault="002231C8" w:rsidP="0004660D">
            <w:pPr>
              <w:tabs>
                <w:tab w:val="clear" w:pos="5041"/>
              </w:tabs>
              <w:spacing w:after="0"/>
              <w:rPr>
                <w:sz w:val="18"/>
                <w:szCs w:val="18"/>
              </w:rPr>
            </w:pPr>
          </w:p>
        </w:tc>
      </w:tr>
      <w:tr w:rsidR="005215C9" w14:paraId="5F728A12" w14:textId="77777777" w:rsidTr="0004660D">
        <w:trPr>
          <w:trHeight w:val="681"/>
        </w:trPr>
        <w:tc>
          <w:tcPr>
            <w:tcW w:w="2150" w:type="dxa"/>
            <w:vAlign w:val="center"/>
          </w:tcPr>
          <w:p w14:paraId="12231996" w14:textId="66C2522B" w:rsidR="005215C9" w:rsidRPr="00CE6559" w:rsidRDefault="005215C9" w:rsidP="00393373">
            <w:pPr>
              <w:tabs>
                <w:tab w:val="clear" w:pos="5041"/>
              </w:tabs>
              <w:spacing w:after="0"/>
              <w:rPr>
                <w:rFonts w:asciiTheme="minorHAnsi" w:hAnsiTheme="minorHAnsi"/>
                <w:sz w:val="18"/>
                <w:szCs w:val="18"/>
              </w:rPr>
            </w:pPr>
            <w:r w:rsidRPr="00CE6559">
              <w:rPr>
                <w:rFonts w:asciiTheme="minorHAnsi" w:hAnsiTheme="minorHAnsi"/>
                <w:sz w:val="18"/>
                <w:szCs w:val="18"/>
              </w:rPr>
              <w:t>Öresund</w:t>
            </w:r>
            <w:r>
              <w:rPr>
                <w:rFonts w:asciiTheme="minorHAnsi" w:hAnsiTheme="minorHAnsi"/>
                <w:sz w:val="18"/>
                <w:szCs w:val="18"/>
              </w:rPr>
              <w:t xml:space="preserve"> (norr om Öresundsbron)</w:t>
            </w:r>
            <w:r w:rsidR="0004660D">
              <w:rPr>
                <w:rFonts w:asciiTheme="minorHAnsi" w:hAnsiTheme="minorHAnsi"/>
                <w:sz w:val="18"/>
                <w:szCs w:val="18"/>
              </w:rPr>
              <w:t>*</w:t>
            </w:r>
          </w:p>
        </w:tc>
        <w:tc>
          <w:tcPr>
            <w:tcW w:w="1739" w:type="dxa"/>
          </w:tcPr>
          <w:p w14:paraId="67995972" w14:textId="77777777" w:rsidR="002231C8" w:rsidRDefault="002231C8" w:rsidP="0004660D">
            <w:pPr>
              <w:tabs>
                <w:tab w:val="clear" w:pos="5041"/>
              </w:tabs>
              <w:spacing w:after="0"/>
              <w:rPr>
                <w:sz w:val="18"/>
                <w:szCs w:val="18"/>
              </w:rPr>
            </w:pPr>
            <w:r>
              <w:rPr>
                <w:sz w:val="18"/>
                <w:szCs w:val="18"/>
              </w:rPr>
              <w:t>Som 1880</w:t>
            </w:r>
          </w:p>
          <w:p w14:paraId="01094EF9" w14:textId="77777777" w:rsidR="005215C9" w:rsidRPr="0034175C" w:rsidRDefault="002231C8" w:rsidP="0004660D">
            <w:pPr>
              <w:tabs>
                <w:tab w:val="clear" w:pos="5041"/>
              </w:tabs>
              <w:spacing w:after="0"/>
              <w:rPr>
                <w:rFonts w:asciiTheme="minorHAnsi" w:hAnsiTheme="minorHAnsi"/>
                <w:sz w:val="18"/>
                <w:szCs w:val="18"/>
              </w:rPr>
            </w:pPr>
            <w:r>
              <w:rPr>
                <w:sz w:val="18"/>
                <w:szCs w:val="18"/>
              </w:rPr>
              <w:t>Får ej minska</w:t>
            </w:r>
          </w:p>
        </w:tc>
        <w:tc>
          <w:tcPr>
            <w:tcW w:w="1422" w:type="dxa"/>
            <w:shd w:val="clear" w:color="auto" w:fill="auto"/>
          </w:tcPr>
          <w:p w14:paraId="5D2750CA" w14:textId="77777777" w:rsidR="005215C9" w:rsidRDefault="00796DF8" w:rsidP="0004660D">
            <w:pPr>
              <w:tabs>
                <w:tab w:val="clear" w:pos="5041"/>
              </w:tabs>
              <w:spacing w:after="0"/>
              <w:rPr>
                <w:rFonts w:asciiTheme="minorHAnsi" w:hAnsiTheme="minorHAnsi"/>
                <w:sz w:val="18"/>
                <w:szCs w:val="18"/>
              </w:rPr>
            </w:pPr>
            <w:r>
              <w:rPr>
                <w:rFonts w:asciiTheme="minorHAnsi" w:hAnsiTheme="minorHAnsi"/>
                <w:sz w:val="18"/>
                <w:szCs w:val="18"/>
              </w:rPr>
              <w:t>&lt;1880</w:t>
            </w:r>
          </w:p>
          <w:p w14:paraId="48534746" w14:textId="77777777" w:rsidR="00796DF8" w:rsidRPr="0034175C" w:rsidRDefault="00796DF8" w:rsidP="0004660D">
            <w:pPr>
              <w:tabs>
                <w:tab w:val="clear" w:pos="5041"/>
              </w:tabs>
              <w:spacing w:after="0"/>
              <w:rPr>
                <w:rFonts w:asciiTheme="minorHAnsi" w:hAnsiTheme="minorHAnsi"/>
                <w:sz w:val="18"/>
                <w:szCs w:val="18"/>
              </w:rPr>
            </w:pPr>
          </w:p>
        </w:tc>
        <w:tc>
          <w:tcPr>
            <w:tcW w:w="1696" w:type="dxa"/>
          </w:tcPr>
          <w:p w14:paraId="3DE23154" w14:textId="137EADE2" w:rsidR="005215C9" w:rsidRPr="002047A7" w:rsidRDefault="00796DF8" w:rsidP="0004660D">
            <w:pPr>
              <w:tabs>
                <w:tab w:val="clear" w:pos="5041"/>
              </w:tabs>
              <w:spacing w:after="0"/>
              <w:rPr>
                <w:rFonts w:asciiTheme="minorHAnsi" w:hAnsiTheme="minorHAnsi"/>
                <w:color w:val="FFFFFF" w:themeColor="background1"/>
                <w:sz w:val="18"/>
                <w:szCs w:val="18"/>
              </w:rPr>
            </w:pPr>
            <w:r w:rsidRPr="00796DF8">
              <w:rPr>
                <w:rFonts w:asciiTheme="minorHAnsi" w:hAnsiTheme="minorHAnsi"/>
                <w:color w:val="000000" w:themeColor="text1"/>
                <w:sz w:val="18"/>
                <w:szCs w:val="18"/>
              </w:rPr>
              <w:t>E</w:t>
            </w:r>
            <w:r>
              <w:rPr>
                <w:rFonts w:asciiTheme="minorHAnsi" w:hAnsiTheme="minorHAnsi"/>
                <w:color w:val="000000" w:themeColor="text1"/>
                <w:sz w:val="18"/>
                <w:szCs w:val="18"/>
              </w:rPr>
              <w:t>j god status</w:t>
            </w:r>
          </w:p>
        </w:tc>
        <w:tc>
          <w:tcPr>
            <w:tcW w:w="2055" w:type="dxa"/>
            <w:shd w:val="clear" w:color="auto" w:fill="auto"/>
          </w:tcPr>
          <w:p w14:paraId="298B48BF" w14:textId="77777777" w:rsidR="005215C9" w:rsidRPr="00796DF8" w:rsidRDefault="00796DF8" w:rsidP="0004660D">
            <w:pPr>
              <w:tabs>
                <w:tab w:val="clear" w:pos="5041"/>
              </w:tabs>
              <w:spacing w:after="0"/>
              <w:rPr>
                <w:rFonts w:asciiTheme="minorHAnsi" w:hAnsiTheme="minorHAnsi"/>
                <w:color w:val="000000" w:themeColor="text1"/>
                <w:sz w:val="18"/>
                <w:szCs w:val="18"/>
              </w:rPr>
            </w:pPr>
            <w:r>
              <w:rPr>
                <w:rFonts w:asciiTheme="minorHAnsi" w:hAnsiTheme="minorHAnsi"/>
                <w:color w:val="000000" w:themeColor="text1"/>
                <w:sz w:val="18"/>
                <w:szCs w:val="18"/>
              </w:rPr>
              <w:t>Hög</w:t>
            </w:r>
          </w:p>
        </w:tc>
      </w:tr>
      <w:tr w:rsidR="00EF0761" w14:paraId="39252533" w14:textId="77777777" w:rsidTr="0004660D">
        <w:trPr>
          <w:trHeight w:val="681"/>
        </w:trPr>
        <w:tc>
          <w:tcPr>
            <w:tcW w:w="9062" w:type="dxa"/>
            <w:gridSpan w:val="5"/>
            <w:vAlign w:val="center"/>
          </w:tcPr>
          <w:p w14:paraId="4827C7B4" w14:textId="56475CD8" w:rsidR="00EF0761" w:rsidRPr="002047A7" w:rsidRDefault="0004660D" w:rsidP="00393373">
            <w:pPr>
              <w:tabs>
                <w:tab w:val="clear" w:pos="5041"/>
              </w:tabs>
              <w:spacing w:after="0"/>
              <w:rPr>
                <w:rFonts w:asciiTheme="minorHAnsi" w:hAnsiTheme="minorHAnsi"/>
                <w:color w:val="FFFFFF" w:themeColor="background1"/>
                <w:sz w:val="18"/>
                <w:szCs w:val="18"/>
              </w:rPr>
            </w:pPr>
            <w:r>
              <w:rPr>
                <w:sz w:val="18"/>
                <w:szCs w:val="18"/>
              </w:rPr>
              <w:t>*Öresund (norr om Öresundsbron) är samma population som för Arkonahavet och Södra Öresund.</w:t>
            </w:r>
          </w:p>
        </w:tc>
      </w:tr>
    </w:tbl>
    <w:p w14:paraId="6110E314" w14:textId="77777777" w:rsidR="007C0D98" w:rsidRPr="00475B09" w:rsidRDefault="007C0D98" w:rsidP="00475B09">
      <w:pPr>
        <w:tabs>
          <w:tab w:val="clear" w:pos="5041"/>
        </w:tabs>
        <w:spacing w:after="0"/>
        <w:jc w:val="both"/>
        <w:rPr>
          <w:i/>
        </w:rPr>
      </w:pPr>
    </w:p>
    <w:p w14:paraId="54DF0D9C" w14:textId="77777777" w:rsidR="001A460F" w:rsidRDefault="00B13809" w:rsidP="004B7657">
      <w:pPr>
        <w:tabs>
          <w:tab w:val="clear" w:pos="5041"/>
        </w:tabs>
      </w:pPr>
      <w:r>
        <w:t>Tabell 2. Förvaltningsområde Östersjön</w:t>
      </w:r>
    </w:p>
    <w:tbl>
      <w:tblPr>
        <w:tblStyle w:val="Tabellrutnt"/>
        <w:tblW w:w="8926" w:type="dxa"/>
        <w:tblLayout w:type="fixed"/>
        <w:tblCellMar>
          <w:top w:w="28" w:type="dxa"/>
          <w:bottom w:w="28" w:type="dxa"/>
        </w:tblCellMar>
        <w:tblLook w:val="04A0" w:firstRow="1" w:lastRow="0" w:firstColumn="1" w:lastColumn="0" w:noHBand="0" w:noVBand="1"/>
      </w:tblPr>
      <w:tblGrid>
        <w:gridCol w:w="2547"/>
        <w:gridCol w:w="1559"/>
        <w:gridCol w:w="1559"/>
        <w:gridCol w:w="1664"/>
        <w:gridCol w:w="1597"/>
      </w:tblGrid>
      <w:tr w:rsidR="00475B09" w14:paraId="663E079B" w14:textId="77777777" w:rsidTr="007F08AC">
        <w:tc>
          <w:tcPr>
            <w:tcW w:w="2547" w:type="dxa"/>
          </w:tcPr>
          <w:p w14:paraId="5B2C93EC" w14:textId="7E46396E" w:rsidR="00475B09" w:rsidRPr="00D44830" w:rsidRDefault="00475B09" w:rsidP="00D05BBE">
            <w:pPr>
              <w:tabs>
                <w:tab w:val="clear" w:pos="5041"/>
              </w:tabs>
              <w:spacing w:after="0"/>
              <w:rPr>
                <w:rFonts w:asciiTheme="majorHAnsi" w:hAnsiTheme="majorHAnsi" w:cstheme="majorHAnsi"/>
                <w:b/>
                <w:sz w:val="20"/>
                <w:szCs w:val="20"/>
              </w:rPr>
            </w:pPr>
            <w:r>
              <w:br w:type="page"/>
            </w:r>
            <w:r w:rsidRPr="00D44830">
              <w:rPr>
                <w:rFonts w:asciiTheme="majorHAnsi" w:hAnsiTheme="majorHAnsi" w:cstheme="majorHAnsi"/>
                <w:b/>
                <w:sz w:val="20"/>
                <w:szCs w:val="20"/>
              </w:rPr>
              <w:t>Bedömningsområde</w:t>
            </w:r>
            <w:r w:rsidR="007F08AC">
              <w:rPr>
                <w:rFonts w:asciiTheme="majorHAnsi" w:hAnsiTheme="majorHAnsi" w:cstheme="majorHAnsi"/>
                <w:b/>
                <w:sz w:val="20"/>
                <w:szCs w:val="20"/>
              </w:rPr>
              <w:t xml:space="preserve"> - Havsbassänger</w:t>
            </w:r>
          </w:p>
        </w:tc>
        <w:tc>
          <w:tcPr>
            <w:tcW w:w="1559" w:type="dxa"/>
          </w:tcPr>
          <w:p w14:paraId="5833BA5F"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Tröskelvärde</w:t>
            </w:r>
          </w:p>
        </w:tc>
        <w:tc>
          <w:tcPr>
            <w:tcW w:w="1559" w:type="dxa"/>
          </w:tcPr>
          <w:p w14:paraId="5381AF18"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Observerat v</w:t>
            </w:r>
            <w:r w:rsidRPr="00D44830">
              <w:rPr>
                <w:rFonts w:asciiTheme="majorHAnsi" w:hAnsiTheme="majorHAnsi" w:cstheme="majorHAnsi"/>
                <w:b/>
                <w:sz w:val="20"/>
                <w:szCs w:val="20"/>
              </w:rPr>
              <w:t>ärde</w:t>
            </w:r>
          </w:p>
        </w:tc>
        <w:tc>
          <w:tcPr>
            <w:tcW w:w="1664" w:type="dxa"/>
          </w:tcPr>
          <w:p w14:paraId="31270ABB" w14:textId="77777777" w:rsidR="00475B09"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Bedömning</w:t>
            </w:r>
          </w:p>
        </w:tc>
        <w:tc>
          <w:tcPr>
            <w:tcW w:w="1597" w:type="dxa"/>
          </w:tcPr>
          <w:p w14:paraId="41D367B3" w14:textId="77777777" w:rsidR="00475B09" w:rsidRPr="00D44830" w:rsidRDefault="00475B09" w:rsidP="00D05BBE">
            <w:pPr>
              <w:tabs>
                <w:tab w:val="clear" w:pos="5041"/>
              </w:tabs>
              <w:spacing w:after="0"/>
              <w:rPr>
                <w:rFonts w:asciiTheme="majorHAnsi" w:hAnsiTheme="majorHAnsi" w:cstheme="majorHAnsi"/>
                <w:b/>
                <w:sz w:val="20"/>
                <w:szCs w:val="20"/>
              </w:rPr>
            </w:pPr>
            <w:r>
              <w:rPr>
                <w:rFonts w:asciiTheme="majorHAnsi" w:hAnsiTheme="majorHAnsi" w:cstheme="majorHAnsi"/>
                <w:b/>
                <w:sz w:val="20"/>
                <w:szCs w:val="20"/>
              </w:rPr>
              <w:t>Tillförlitlighet</w:t>
            </w:r>
          </w:p>
        </w:tc>
      </w:tr>
      <w:tr w:rsidR="007F08AC" w14:paraId="322EA5C8" w14:textId="77777777" w:rsidTr="007F08AC">
        <w:tc>
          <w:tcPr>
            <w:tcW w:w="2547" w:type="dxa"/>
            <w:vAlign w:val="center"/>
          </w:tcPr>
          <w:p w14:paraId="2470DA51"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Öresund</w:t>
            </w:r>
            <w:r>
              <w:rPr>
                <w:rFonts w:asciiTheme="minorHAnsi" w:hAnsiTheme="minorHAnsi"/>
                <w:sz w:val="18"/>
                <w:szCs w:val="18"/>
              </w:rPr>
              <w:t xml:space="preserve"> och Arkonahavet</w:t>
            </w:r>
          </w:p>
        </w:tc>
        <w:tc>
          <w:tcPr>
            <w:tcW w:w="1559" w:type="dxa"/>
            <w:vAlign w:val="center"/>
          </w:tcPr>
          <w:p w14:paraId="18741019" w14:textId="77777777" w:rsidR="007F08AC" w:rsidRDefault="007F08AC" w:rsidP="00796DF8">
            <w:pPr>
              <w:tabs>
                <w:tab w:val="clear" w:pos="5041"/>
              </w:tabs>
              <w:spacing w:after="0"/>
              <w:rPr>
                <w:sz w:val="18"/>
                <w:szCs w:val="18"/>
              </w:rPr>
            </w:pPr>
            <w:r>
              <w:rPr>
                <w:sz w:val="18"/>
                <w:szCs w:val="18"/>
              </w:rPr>
              <w:t>Som 1880</w:t>
            </w:r>
          </w:p>
          <w:p w14:paraId="379A4B2D" w14:textId="77777777" w:rsidR="007F08AC" w:rsidRPr="00CE6559" w:rsidRDefault="007F08AC" w:rsidP="00796DF8">
            <w:pPr>
              <w:tabs>
                <w:tab w:val="clear" w:pos="5041"/>
              </w:tabs>
              <w:spacing w:after="0"/>
              <w:rPr>
                <w:sz w:val="18"/>
                <w:szCs w:val="18"/>
              </w:rPr>
            </w:pPr>
            <w:r>
              <w:rPr>
                <w:sz w:val="18"/>
                <w:szCs w:val="18"/>
              </w:rPr>
              <w:t>Får ej minska -</w:t>
            </w:r>
          </w:p>
        </w:tc>
        <w:tc>
          <w:tcPr>
            <w:tcW w:w="1559" w:type="dxa"/>
            <w:vAlign w:val="center"/>
          </w:tcPr>
          <w:p w14:paraId="3542CAC0" w14:textId="77777777" w:rsidR="007F08AC" w:rsidRPr="00CE6559" w:rsidRDefault="007F08AC" w:rsidP="00D05BBE">
            <w:pPr>
              <w:tabs>
                <w:tab w:val="clear" w:pos="5041"/>
              </w:tabs>
              <w:spacing w:after="0"/>
              <w:rPr>
                <w:sz w:val="18"/>
                <w:szCs w:val="18"/>
              </w:rPr>
            </w:pPr>
            <w:r>
              <w:rPr>
                <w:sz w:val="18"/>
                <w:szCs w:val="18"/>
              </w:rPr>
              <w:t>&lt;1880</w:t>
            </w:r>
          </w:p>
        </w:tc>
        <w:tc>
          <w:tcPr>
            <w:tcW w:w="1664" w:type="dxa"/>
          </w:tcPr>
          <w:p w14:paraId="5E68F393" w14:textId="77777777" w:rsidR="007F08AC" w:rsidRDefault="007F08AC" w:rsidP="00D05BBE">
            <w:pPr>
              <w:tabs>
                <w:tab w:val="clear" w:pos="5041"/>
              </w:tabs>
              <w:spacing w:after="0"/>
              <w:rPr>
                <w:sz w:val="18"/>
                <w:szCs w:val="18"/>
              </w:rPr>
            </w:pPr>
            <w:r>
              <w:rPr>
                <w:sz w:val="18"/>
                <w:szCs w:val="18"/>
              </w:rPr>
              <w:t>Ej God status</w:t>
            </w:r>
          </w:p>
          <w:p w14:paraId="7B5547B5" w14:textId="77777777" w:rsidR="007F08AC" w:rsidRPr="00CE6559" w:rsidRDefault="007F08AC" w:rsidP="00D05BBE">
            <w:pPr>
              <w:tabs>
                <w:tab w:val="clear" w:pos="5041"/>
              </w:tabs>
              <w:spacing w:after="0"/>
              <w:rPr>
                <w:sz w:val="18"/>
                <w:szCs w:val="18"/>
              </w:rPr>
            </w:pPr>
          </w:p>
        </w:tc>
        <w:tc>
          <w:tcPr>
            <w:tcW w:w="1597" w:type="dxa"/>
            <w:vAlign w:val="center"/>
          </w:tcPr>
          <w:p w14:paraId="11ACEDE2" w14:textId="77777777" w:rsidR="007F08AC" w:rsidRPr="00CE6559" w:rsidRDefault="007F08AC" w:rsidP="00D05BBE">
            <w:pPr>
              <w:tabs>
                <w:tab w:val="clear" w:pos="5041"/>
              </w:tabs>
              <w:spacing w:after="0"/>
              <w:rPr>
                <w:sz w:val="18"/>
                <w:szCs w:val="18"/>
              </w:rPr>
            </w:pPr>
            <w:r>
              <w:rPr>
                <w:sz w:val="18"/>
                <w:szCs w:val="18"/>
              </w:rPr>
              <w:t>Hög</w:t>
            </w:r>
          </w:p>
        </w:tc>
      </w:tr>
      <w:tr w:rsidR="007F08AC" w14:paraId="4A5BFC6B" w14:textId="77777777" w:rsidTr="007F08AC">
        <w:tc>
          <w:tcPr>
            <w:tcW w:w="2547" w:type="dxa"/>
            <w:vAlign w:val="center"/>
          </w:tcPr>
          <w:p w14:paraId="2EABB02F"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Bornholmshavet och Hanöbukten</w:t>
            </w:r>
          </w:p>
        </w:tc>
        <w:tc>
          <w:tcPr>
            <w:tcW w:w="1559" w:type="dxa"/>
            <w:vAlign w:val="center"/>
          </w:tcPr>
          <w:p w14:paraId="0B92BC7E" w14:textId="77777777" w:rsidR="007F08AC" w:rsidRDefault="007F08AC" w:rsidP="005D09D2">
            <w:pPr>
              <w:tabs>
                <w:tab w:val="clear" w:pos="5041"/>
              </w:tabs>
              <w:spacing w:after="0"/>
              <w:rPr>
                <w:sz w:val="18"/>
                <w:szCs w:val="18"/>
              </w:rPr>
            </w:pPr>
            <w:r>
              <w:rPr>
                <w:sz w:val="18"/>
                <w:szCs w:val="18"/>
              </w:rPr>
              <w:t>Som 1880</w:t>
            </w:r>
          </w:p>
          <w:p w14:paraId="1755E7D8" w14:textId="77777777" w:rsidR="007F08AC" w:rsidRPr="00CE6559" w:rsidRDefault="007F08AC" w:rsidP="005D09D2">
            <w:pPr>
              <w:tabs>
                <w:tab w:val="clear" w:pos="5041"/>
              </w:tabs>
              <w:spacing w:after="0"/>
              <w:rPr>
                <w:sz w:val="18"/>
                <w:szCs w:val="18"/>
              </w:rPr>
            </w:pPr>
            <w:r>
              <w:rPr>
                <w:sz w:val="18"/>
                <w:szCs w:val="18"/>
              </w:rPr>
              <w:t>Får ej minska -</w:t>
            </w:r>
          </w:p>
        </w:tc>
        <w:tc>
          <w:tcPr>
            <w:tcW w:w="1559" w:type="dxa"/>
            <w:vAlign w:val="center"/>
          </w:tcPr>
          <w:p w14:paraId="55AC1A8A" w14:textId="77777777" w:rsidR="007F08AC" w:rsidRPr="00CE6559" w:rsidRDefault="007F08AC" w:rsidP="00D05BBE">
            <w:pPr>
              <w:tabs>
                <w:tab w:val="clear" w:pos="5041"/>
              </w:tabs>
              <w:spacing w:after="0"/>
              <w:rPr>
                <w:sz w:val="18"/>
                <w:szCs w:val="18"/>
              </w:rPr>
            </w:pPr>
            <w:r>
              <w:rPr>
                <w:sz w:val="18"/>
                <w:szCs w:val="18"/>
              </w:rPr>
              <w:t>&lt;1880</w:t>
            </w:r>
          </w:p>
        </w:tc>
        <w:tc>
          <w:tcPr>
            <w:tcW w:w="1664" w:type="dxa"/>
          </w:tcPr>
          <w:p w14:paraId="46830E81" w14:textId="77777777" w:rsidR="007F08AC" w:rsidRPr="00CE6559" w:rsidRDefault="007F08AC" w:rsidP="005D09D2">
            <w:pPr>
              <w:tabs>
                <w:tab w:val="clear" w:pos="5041"/>
              </w:tabs>
              <w:spacing w:after="0"/>
              <w:jc w:val="center"/>
              <w:rPr>
                <w:sz w:val="18"/>
                <w:szCs w:val="18"/>
              </w:rPr>
            </w:pPr>
            <w:r>
              <w:rPr>
                <w:sz w:val="18"/>
                <w:szCs w:val="18"/>
              </w:rPr>
              <w:t>Ej god status</w:t>
            </w:r>
          </w:p>
        </w:tc>
        <w:tc>
          <w:tcPr>
            <w:tcW w:w="1597" w:type="dxa"/>
            <w:vAlign w:val="center"/>
          </w:tcPr>
          <w:p w14:paraId="2CD033B2" w14:textId="77777777" w:rsidR="007F08AC" w:rsidRPr="00CE6559" w:rsidRDefault="007F08AC" w:rsidP="00D05BBE">
            <w:pPr>
              <w:tabs>
                <w:tab w:val="clear" w:pos="5041"/>
              </w:tabs>
              <w:spacing w:after="0"/>
              <w:rPr>
                <w:sz w:val="18"/>
                <w:szCs w:val="18"/>
              </w:rPr>
            </w:pPr>
            <w:r>
              <w:rPr>
                <w:sz w:val="18"/>
                <w:szCs w:val="18"/>
              </w:rPr>
              <w:t>Hög</w:t>
            </w:r>
          </w:p>
        </w:tc>
      </w:tr>
      <w:tr w:rsidR="007F08AC" w14:paraId="59788DCC" w14:textId="77777777" w:rsidTr="007F08AC">
        <w:tc>
          <w:tcPr>
            <w:tcW w:w="2547" w:type="dxa"/>
            <w:vAlign w:val="center"/>
          </w:tcPr>
          <w:p w14:paraId="0F9C1517" w14:textId="01AACE1A"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Östra Gotlandshavet</w:t>
            </w:r>
            <w:r>
              <w:rPr>
                <w:rFonts w:asciiTheme="minorHAnsi" w:hAnsiTheme="minorHAnsi"/>
                <w:sz w:val="18"/>
                <w:szCs w:val="18"/>
              </w:rPr>
              <w:t xml:space="preserve"> (Kalmarsund)*</w:t>
            </w:r>
          </w:p>
        </w:tc>
        <w:tc>
          <w:tcPr>
            <w:tcW w:w="1559" w:type="dxa"/>
            <w:vAlign w:val="center"/>
          </w:tcPr>
          <w:p w14:paraId="71E1D8E3" w14:textId="77777777" w:rsidR="007F08AC" w:rsidRPr="00CE6559" w:rsidRDefault="007F08AC" w:rsidP="00D05BBE">
            <w:pPr>
              <w:tabs>
                <w:tab w:val="clear" w:pos="5041"/>
              </w:tabs>
              <w:spacing w:after="0"/>
              <w:rPr>
                <w:sz w:val="18"/>
                <w:szCs w:val="18"/>
              </w:rPr>
            </w:pPr>
            <w:r>
              <w:rPr>
                <w:sz w:val="18"/>
                <w:szCs w:val="18"/>
              </w:rPr>
              <w:t>Ej tillämpligt</w:t>
            </w:r>
          </w:p>
        </w:tc>
        <w:tc>
          <w:tcPr>
            <w:tcW w:w="1559" w:type="dxa"/>
            <w:vAlign w:val="center"/>
          </w:tcPr>
          <w:p w14:paraId="004A6BE3" w14:textId="77777777" w:rsidR="007F08AC" w:rsidRPr="00CE6559" w:rsidRDefault="007F08AC" w:rsidP="00D05BBE">
            <w:pPr>
              <w:tabs>
                <w:tab w:val="clear" w:pos="5041"/>
              </w:tabs>
              <w:spacing w:after="0"/>
              <w:rPr>
                <w:sz w:val="18"/>
                <w:szCs w:val="18"/>
              </w:rPr>
            </w:pPr>
          </w:p>
        </w:tc>
        <w:tc>
          <w:tcPr>
            <w:tcW w:w="1664" w:type="dxa"/>
          </w:tcPr>
          <w:p w14:paraId="42199AD6" w14:textId="77777777" w:rsidR="007F08AC" w:rsidRPr="00CE6559" w:rsidRDefault="007F08AC" w:rsidP="00D05BBE">
            <w:pPr>
              <w:tabs>
                <w:tab w:val="clear" w:pos="5041"/>
              </w:tabs>
              <w:spacing w:after="0"/>
              <w:rPr>
                <w:sz w:val="18"/>
                <w:szCs w:val="18"/>
              </w:rPr>
            </w:pPr>
          </w:p>
        </w:tc>
        <w:tc>
          <w:tcPr>
            <w:tcW w:w="1597" w:type="dxa"/>
            <w:vAlign w:val="center"/>
          </w:tcPr>
          <w:p w14:paraId="6B55E67F" w14:textId="77777777" w:rsidR="007F08AC" w:rsidRPr="00CE6559" w:rsidRDefault="007F08AC" w:rsidP="00D05BBE">
            <w:pPr>
              <w:tabs>
                <w:tab w:val="clear" w:pos="5041"/>
              </w:tabs>
              <w:spacing w:after="0"/>
              <w:rPr>
                <w:sz w:val="18"/>
                <w:szCs w:val="18"/>
              </w:rPr>
            </w:pPr>
          </w:p>
        </w:tc>
      </w:tr>
      <w:tr w:rsidR="007F08AC" w14:paraId="086F097D" w14:textId="77777777" w:rsidTr="007F08AC">
        <w:tc>
          <w:tcPr>
            <w:tcW w:w="2547" w:type="dxa"/>
            <w:vAlign w:val="center"/>
          </w:tcPr>
          <w:p w14:paraId="5F118A84" w14:textId="1A73EFBF" w:rsidR="007F08AC" w:rsidRPr="00CE6559" w:rsidRDefault="007F08AC" w:rsidP="0004660D">
            <w:pPr>
              <w:tabs>
                <w:tab w:val="clear" w:pos="5041"/>
              </w:tabs>
              <w:spacing w:after="0"/>
              <w:rPr>
                <w:rFonts w:asciiTheme="minorHAnsi" w:hAnsiTheme="minorHAnsi"/>
                <w:sz w:val="18"/>
                <w:szCs w:val="18"/>
              </w:rPr>
            </w:pPr>
            <w:r w:rsidRPr="00CE6559">
              <w:rPr>
                <w:rFonts w:asciiTheme="minorHAnsi" w:hAnsiTheme="minorHAnsi"/>
                <w:sz w:val="18"/>
                <w:szCs w:val="18"/>
              </w:rPr>
              <w:t>Västra Gotlandshavet</w:t>
            </w:r>
            <w:r>
              <w:rPr>
                <w:rFonts w:asciiTheme="minorHAnsi" w:hAnsiTheme="minorHAnsi"/>
                <w:sz w:val="18"/>
                <w:szCs w:val="18"/>
              </w:rPr>
              <w:t xml:space="preserve"> (Kalmarsund)</w:t>
            </w:r>
          </w:p>
        </w:tc>
        <w:tc>
          <w:tcPr>
            <w:tcW w:w="1559" w:type="dxa"/>
            <w:vAlign w:val="center"/>
          </w:tcPr>
          <w:p w14:paraId="20833D9F" w14:textId="77777777" w:rsidR="007F08AC" w:rsidRDefault="007F08AC" w:rsidP="0004660D">
            <w:pPr>
              <w:tabs>
                <w:tab w:val="clear" w:pos="5041"/>
              </w:tabs>
              <w:spacing w:after="0"/>
              <w:rPr>
                <w:sz w:val="18"/>
                <w:szCs w:val="18"/>
              </w:rPr>
            </w:pPr>
            <w:r>
              <w:rPr>
                <w:sz w:val="18"/>
                <w:szCs w:val="18"/>
              </w:rPr>
              <w:t>Som 1880</w:t>
            </w:r>
          </w:p>
          <w:p w14:paraId="3EFBD614" w14:textId="65DFB4A8" w:rsidR="007F08AC" w:rsidRDefault="007F08AC" w:rsidP="0004660D">
            <w:r>
              <w:rPr>
                <w:sz w:val="18"/>
                <w:szCs w:val="18"/>
              </w:rPr>
              <w:t>Får ej minska -</w:t>
            </w:r>
          </w:p>
        </w:tc>
        <w:tc>
          <w:tcPr>
            <w:tcW w:w="1559" w:type="dxa"/>
            <w:vAlign w:val="center"/>
          </w:tcPr>
          <w:p w14:paraId="5E508053" w14:textId="52227E33" w:rsidR="007F08AC" w:rsidRPr="00CE6559" w:rsidRDefault="007F08AC" w:rsidP="0004660D">
            <w:pPr>
              <w:tabs>
                <w:tab w:val="clear" w:pos="5041"/>
              </w:tabs>
              <w:spacing w:after="0"/>
              <w:rPr>
                <w:sz w:val="18"/>
                <w:szCs w:val="18"/>
              </w:rPr>
            </w:pPr>
            <w:r>
              <w:rPr>
                <w:sz w:val="18"/>
                <w:szCs w:val="18"/>
              </w:rPr>
              <w:t>&lt;1880</w:t>
            </w:r>
          </w:p>
        </w:tc>
        <w:tc>
          <w:tcPr>
            <w:tcW w:w="1664" w:type="dxa"/>
          </w:tcPr>
          <w:p w14:paraId="10505D52" w14:textId="77777777" w:rsidR="007F08AC" w:rsidRDefault="007F08AC" w:rsidP="0004660D">
            <w:pPr>
              <w:tabs>
                <w:tab w:val="clear" w:pos="5041"/>
              </w:tabs>
              <w:spacing w:after="0"/>
              <w:rPr>
                <w:sz w:val="18"/>
                <w:szCs w:val="18"/>
              </w:rPr>
            </w:pPr>
            <w:r>
              <w:rPr>
                <w:sz w:val="18"/>
                <w:szCs w:val="18"/>
              </w:rPr>
              <w:t>Ej God status</w:t>
            </w:r>
          </w:p>
          <w:p w14:paraId="5157DFCB" w14:textId="77777777" w:rsidR="007F08AC" w:rsidRPr="00CE6559" w:rsidRDefault="007F08AC" w:rsidP="0004660D">
            <w:pPr>
              <w:tabs>
                <w:tab w:val="clear" w:pos="5041"/>
              </w:tabs>
              <w:spacing w:after="0"/>
              <w:rPr>
                <w:sz w:val="18"/>
                <w:szCs w:val="18"/>
              </w:rPr>
            </w:pPr>
          </w:p>
        </w:tc>
        <w:tc>
          <w:tcPr>
            <w:tcW w:w="1597" w:type="dxa"/>
            <w:vAlign w:val="center"/>
          </w:tcPr>
          <w:p w14:paraId="33316150" w14:textId="7618D0C0" w:rsidR="007F08AC" w:rsidRPr="00CE6559" w:rsidRDefault="007F08AC" w:rsidP="0004660D">
            <w:pPr>
              <w:tabs>
                <w:tab w:val="clear" w:pos="5041"/>
              </w:tabs>
              <w:spacing w:after="0"/>
              <w:rPr>
                <w:sz w:val="18"/>
                <w:szCs w:val="18"/>
              </w:rPr>
            </w:pPr>
            <w:r>
              <w:rPr>
                <w:sz w:val="18"/>
                <w:szCs w:val="18"/>
              </w:rPr>
              <w:t>Hög</w:t>
            </w:r>
          </w:p>
        </w:tc>
      </w:tr>
      <w:tr w:rsidR="007F08AC" w14:paraId="067A8440" w14:textId="77777777" w:rsidTr="007F08AC">
        <w:tc>
          <w:tcPr>
            <w:tcW w:w="2547" w:type="dxa"/>
            <w:vAlign w:val="center"/>
          </w:tcPr>
          <w:p w14:paraId="72DA3971"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Norra Gotlandshavet</w:t>
            </w:r>
          </w:p>
        </w:tc>
        <w:tc>
          <w:tcPr>
            <w:tcW w:w="1559" w:type="dxa"/>
          </w:tcPr>
          <w:p w14:paraId="38DA8AEE" w14:textId="77777777" w:rsidR="007F08AC" w:rsidRDefault="007F08AC">
            <w:r w:rsidRPr="00131604">
              <w:rPr>
                <w:sz w:val="18"/>
                <w:szCs w:val="18"/>
              </w:rPr>
              <w:t>Ej tillämpligt</w:t>
            </w:r>
          </w:p>
        </w:tc>
        <w:tc>
          <w:tcPr>
            <w:tcW w:w="1559" w:type="dxa"/>
            <w:vAlign w:val="center"/>
          </w:tcPr>
          <w:p w14:paraId="33108F13" w14:textId="77777777" w:rsidR="007F08AC" w:rsidRPr="00CE6559" w:rsidRDefault="007F08AC" w:rsidP="00D05BBE">
            <w:pPr>
              <w:tabs>
                <w:tab w:val="clear" w:pos="5041"/>
              </w:tabs>
              <w:spacing w:after="0"/>
              <w:rPr>
                <w:sz w:val="18"/>
                <w:szCs w:val="18"/>
              </w:rPr>
            </w:pPr>
          </w:p>
        </w:tc>
        <w:tc>
          <w:tcPr>
            <w:tcW w:w="1664" w:type="dxa"/>
          </w:tcPr>
          <w:p w14:paraId="1D4D91BD" w14:textId="77777777" w:rsidR="007F08AC" w:rsidRPr="00CE6559" w:rsidRDefault="007F08AC" w:rsidP="00D05BBE">
            <w:pPr>
              <w:tabs>
                <w:tab w:val="clear" w:pos="5041"/>
              </w:tabs>
              <w:spacing w:after="0"/>
              <w:rPr>
                <w:sz w:val="18"/>
                <w:szCs w:val="18"/>
              </w:rPr>
            </w:pPr>
          </w:p>
        </w:tc>
        <w:tc>
          <w:tcPr>
            <w:tcW w:w="1597" w:type="dxa"/>
            <w:vAlign w:val="center"/>
          </w:tcPr>
          <w:p w14:paraId="43DCBE3A" w14:textId="77777777" w:rsidR="007F08AC" w:rsidRPr="00CE6559" w:rsidRDefault="007F08AC" w:rsidP="00D05BBE">
            <w:pPr>
              <w:tabs>
                <w:tab w:val="clear" w:pos="5041"/>
              </w:tabs>
              <w:spacing w:after="0"/>
              <w:rPr>
                <w:sz w:val="18"/>
                <w:szCs w:val="18"/>
              </w:rPr>
            </w:pPr>
          </w:p>
        </w:tc>
      </w:tr>
      <w:tr w:rsidR="007F08AC" w14:paraId="6CDCCF83" w14:textId="77777777" w:rsidTr="007F08AC">
        <w:tc>
          <w:tcPr>
            <w:tcW w:w="2547" w:type="dxa"/>
            <w:vAlign w:val="center"/>
          </w:tcPr>
          <w:p w14:paraId="4767714B"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Ålands hav</w:t>
            </w:r>
          </w:p>
        </w:tc>
        <w:tc>
          <w:tcPr>
            <w:tcW w:w="1559" w:type="dxa"/>
          </w:tcPr>
          <w:p w14:paraId="667225E2" w14:textId="77777777" w:rsidR="007F08AC" w:rsidRDefault="007F08AC">
            <w:r w:rsidRPr="00131604">
              <w:rPr>
                <w:sz w:val="18"/>
                <w:szCs w:val="18"/>
              </w:rPr>
              <w:t>Ej tillämpligt</w:t>
            </w:r>
          </w:p>
        </w:tc>
        <w:tc>
          <w:tcPr>
            <w:tcW w:w="1559" w:type="dxa"/>
            <w:vAlign w:val="center"/>
          </w:tcPr>
          <w:p w14:paraId="44242E8F" w14:textId="77777777" w:rsidR="007F08AC" w:rsidRPr="00CE6559" w:rsidRDefault="007F08AC" w:rsidP="00D05BBE">
            <w:pPr>
              <w:tabs>
                <w:tab w:val="clear" w:pos="5041"/>
              </w:tabs>
              <w:spacing w:after="0"/>
              <w:rPr>
                <w:sz w:val="18"/>
                <w:szCs w:val="18"/>
              </w:rPr>
            </w:pPr>
          </w:p>
        </w:tc>
        <w:tc>
          <w:tcPr>
            <w:tcW w:w="1664" w:type="dxa"/>
          </w:tcPr>
          <w:p w14:paraId="3B1B0D86" w14:textId="77777777" w:rsidR="007F08AC" w:rsidRPr="00CE6559" w:rsidRDefault="007F08AC" w:rsidP="00D05BBE">
            <w:pPr>
              <w:tabs>
                <w:tab w:val="clear" w:pos="5041"/>
              </w:tabs>
              <w:spacing w:after="0"/>
              <w:rPr>
                <w:sz w:val="18"/>
                <w:szCs w:val="18"/>
              </w:rPr>
            </w:pPr>
          </w:p>
        </w:tc>
        <w:tc>
          <w:tcPr>
            <w:tcW w:w="1597" w:type="dxa"/>
            <w:vAlign w:val="center"/>
          </w:tcPr>
          <w:p w14:paraId="17E2A4E6" w14:textId="77777777" w:rsidR="007F08AC" w:rsidRPr="00CE6559" w:rsidRDefault="007F08AC" w:rsidP="00D05BBE">
            <w:pPr>
              <w:tabs>
                <w:tab w:val="clear" w:pos="5041"/>
              </w:tabs>
              <w:spacing w:after="0"/>
              <w:rPr>
                <w:sz w:val="18"/>
                <w:szCs w:val="18"/>
              </w:rPr>
            </w:pPr>
          </w:p>
        </w:tc>
      </w:tr>
      <w:tr w:rsidR="007F08AC" w14:paraId="4BE54954" w14:textId="77777777" w:rsidTr="007F08AC">
        <w:tc>
          <w:tcPr>
            <w:tcW w:w="2547" w:type="dxa"/>
            <w:vAlign w:val="center"/>
          </w:tcPr>
          <w:p w14:paraId="3BAA7240"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Bottenhavet</w:t>
            </w:r>
          </w:p>
        </w:tc>
        <w:tc>
          <w:tcPr>
            <w:tcW w:w="1559" w:type="dxa"/>
          </w:tcPr>
          <w:p w14:paraId="14EDE32F" w14:textId="77777777" w:rsidR="007F08AC" w:rsidRDefault="007F08AC">
            <w:r w:rsidRPr="00131604">
              <w:rPr>
                <w:sz w:val="18"/>
                <w:szCs w:val="18"/>
              </w:rPr>
              <w:t>Ej tillämpligt</w:t>
            </w:r>
          </w:p>
        </w:tc>
        <w:tc>
          <w:tcPr>
            <w:tcW w:w="1559" w:type="dxa"/>
            <w:vAlign w:val="center"/>
          </w:tcPr>
          <w:p w14:paraId="05314510" w14:textId="77777777" w:rsidR="007F08AC" w:rsidRPr="00CE6559" w:rsidRDefault="007F08AC" w:rsidP="00D05BBE">
            <w:pPr>
              <w:tabs>
                <w:tab w:val="clear" w:pos="5041"/>
              </w:tabs>
              <w:spacing w:after="0"/>
              <w:rPr>
                <w:sz w:val="18"/>
                <w:szCs w:val="18"/>
              </w:rPr>
            </w:pPr>
          </w:p>
        </w:tc>
        <w:tc>
          <w:tcPr>
            <w:tcW w:w="1664" w:type="dxa"/>
          </w:tcPr>
          <w:p w14:paraId="4E333920" w14:textId="77777777" w:rsidR="007F08AC" w:rsidRPr="00CE6559" w:rsidRDefault="007F08AC" w:rsidP="00D05BBE">
            <w:pPr>
              <w:tabs>
                <w:tab w:val="clear" w:pos="5041"/>
              </w:tabs>
              <w:spacing w:after="0"/>
              <w:rPr>
                <w:sz w:val="18"/>
                <w:szCs w:val="18"/>
              </w:rPr>
            </w:pPr>
          </w:p>
        </w:tc>
        <w:tc>
          <w:tcPr>
            <w:tcW w:w="1597" w:type="dxa"/>
            <w:vAlign w:val="center"/>
          </w:tcPr>
          <w:p w14:paraId="1E2350F3" w14:textId="77777777" w:rsidR="007F08AC" w:rsidRPr="00CE6559" w:rsidRDefault="007F08AC" w:rsidP="00D05BBE">
            <w:pPr>
              <w:tabs>
                <w:tab w:val="clear" w:pos="5041"/>
              </w:tabs>
              <w:spacing w:after="0"/>
              <w:rPr>
                <w:sz w:val="18"/>
                <w:szCs w:val="18"/>
              </w:rPr>
            </w:pPr>
          </w:p>
        </w:tc>
      </w:tr>
      <w:tr w:rsidR="007F08AC" w14:paraId="7CE410F0" w14:textId="77777777" w:rsidTr="007F08AC">
        <w:tc>
          <w:tcPr>
            <w:tcW w:w="2547" w:type="dxa"/>
            <w:vAlign w:val="center"/>
          </w:tcPr>
          <w:p w14:paraId="0CC42E2D"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Norra Kvarken</w:t>
            </w:r>
          </w:p>
        </w:tc>
        <w:tc>
          <w:tcPr>
            <w:tcW w:w="1559" w:type="dxa"/>
          </w:tcPr>
          <w:p w14:paraId="5D2C32FC" w14:textId="77777777" w:rsidR="007F08AC" w:rsidRDefault="007F08AC">
            <w:r w:rsidRPr="00131604">
              <w:rPr>
                <w:sz w:val="18"/>
                <w:szCs w:val="18"/>
              </w:rPr>
              <w:t>Ej tillämpligt</w:t>
            </w:r>
          </w:p>
        </w:tc>
        <w:tc>
          <w:tcPr>
            <w:tcW w:w="1559" w:type="dxa"/>
            <w:vAlign w:val="center"/>
          </w:tcPr>
          <w:p w14:paraId="03ACE80F" w14:textId="77777777" w:rsidR="007F08AC" w:rsidRPr="00CE6559" w:rsidRDefault="007F08AC" w:rsidP="00D05BBE">
            <w:pPr>
              <w:tabs>
                <w:tab w:val="clear" w:pos="5041"/>
              </w:tabs>
              <w:spacing w:after="0"/>
              <w:rPr>
                <w:sz w:val="18"/>
                <w:szCs w:val="18"/>
              </w:rPr>
            </w:pPr>
          </w:p>
        </w:tc>
        <w:tc>
          <w:tcPr>
            <w:tcW w:w="1664" w:type="dxa"/>
          </w:tcPr>
          <w:p w14:paraId="1B4F3A41" w14:textId="77777777" w:rsidR="007F08AC" w:rsidRPr="00CE6559" w:rsidRDefault="007F08AC" w:rsidP="00D05BBE">
            <w:pPr>
              <w:tabs>
                <w:tab w:val="clear" w:pos="5041"/>
              </w:tabs>
              <w:spacing w:after="0"/>
              <w:rPr>
                <w:sz w:val="18"/>
                <w:szCs w:val="18"/>
              </w:rPr>
            </w:pPr>
          </w:p>
        </w:tc>
        <w:tc>
          <w:tcPr>
            <w:tcW w:w="1597" w:type="dxa"/>
            <w:vAlign w:val="center"/>
          </w:tcPr>
          <w:p w14:paraId="497A88EF" w14:textId="77777777" w:rsidR="007F08AC" w:rsidRPr="00CE6559" w:rsidRDefault="007F08AC" w:rsidP="00D05BBE">
            <w:pPr>
              <w:tabs>
                <w:tab w:val="clear" w:pos="5041"/>
              </w:tabs>
              <w:spacing w:after="0"/>
              <w:rPr>
                <w:sz w:val="18"/>
                <w:szCs w:val="18"/>
              </w:rPr>
            </w:pPr>
          </w:p>
        </w:tc>
      </w:tr>
      <w:tr w:rsidR="007F08AC" w14:paraId="1365E507" w14:textId="77777777" w:rsidTr="007F08AC">
        <w:trPr>
          <w:trHeight w:val="268"/>
        </w:trPr>
        <w:tc>
          <w:tcPr>
            <w:tcW w:w="2547" w:type="dxa"/>
            <w:vAlign w:val="center"/>
          </w:tcPr>
          <w:p w14:paraId="1D3132F1" w14:textId="77777777" w:rsidR="007F08AC" w:rsidRPr="00CE6559" w:rsidRDefault="007F08AC" w:rsidP="00D05BBE">
            <w:pPr>
              <w:tabs>
                <w:tab w:val="clear" w:pos="5041"/>
              </w:tabs>
              <w:spacing w:after="0"/>
              <w:rPr>
                <w:rFonts w:asciiTheme="minorHAnsi" w:hAnsiTheme="minorHAnsi"/>
                <w:sz w:val="18"/>
                <w:szCs w:val="18"/>
              </w:rPr>
            </w:pPr>
            <w:r w:rsidRPr="00CE6559">
              <w:rPr>
                <w:rFonts w:asciiTheme="minorHAnsi" w:hAnsiTheme="minorHAnsi"/>
                <w:sz w:val="18"/>
                <w:szCs w:val="18"/>
              </w:rPr>
              <w:t>Bottenviken</w:t>
            </w:r>
          </w:p>
        </w:tc>
        <w:tc>
          <w:tcPr>
            <w:tcW w:w="1559" w:type="dxa"/>
          </w:tcPr>
          <w:p w14:paraId="037C1422" w14:textId="77777777" w:rsidR="007F08AC" w:rsidRDefault="007F08AC">
            <w:r w:rsidRPr="00131604">
              <w:rPr>
                <w:sz w:val="18"/>
                <w:szCs w:val="18"/>
              </w:rPr>
              <w:t>Ej tillämpligt</w:t>
            </w:r>
          </w:p>
        </w:tc>
        <w:tc>
          <w:tcPr>
            <w:tcW w:w="1559" w:type="dxa"/>
            <w:vAlign w:val="center"/>
          </w:tcPr>
          <w:p w14:paraId="4A1D01E4" w14:textId="77777777" w:rsidR="007F08AC" w:rsidRPr="00CE6559" w:rsidRDefault="007F08AC" w:rsidP="00D05BBE">
            <w:pPr>
              <w:tabs>
                <w:tab w:val="clear" w:pos="5041"/>
              </w:tabs>
              <w:spacing w:after="0"/>
              <w:rPr>
                <w:sz w:val="18"/>
                <w:szCs w:val="18"/>
              </w:rPr>
            </w:pPr>
          </w:p>
        </w:tc>
        <w:tc>
          <w:tcPr>
            <w:tcW w:w="1664" w:type="dxa"/>
          </w:tcPr>
          <w:p w14:paraId="55DE61BE" w14:textId="77777777" w:rsidR="007F08AC" w:rsidRPr="00CE6559" w:rsidRDefault="007F08AC" w:rsidP="00D05BBE">
            <w:pPr>
              <w:tabs>
                <w:tab w:val="clear" w:pos="5041"/>
              </w:tabs>
              <w:spacing w:after="0"/>
              <w:rPr>
                <w:sz w:val="18"/>
                <w:szCs w:val="18"/>
              </w:rPr>
            </w:pPr>
          </w:p>
        </w:tc>
        <w:tc>
          <w:tcPr>
            <w:tcW w:w="1597" w:type="dxa"/>
            <w:vAlign w:val="center"/>
          </w:tcPr>
          <w:p w14:paraId="4F588EAA" w14:textId="77777777" w:rsidR="007F08AC" w:rsidRPr="00CE6559" w:rsidRDefault="007F08AC" w:rsidP="00D05BBE">
            <w:pPr>
              <w:tabs>
                <w:tab w:val="clear" w:pos="5041"/>
              </w:tabs>
              <w:spacing w:after="0"/>
              <w:rPr>
                <w:sz w:val="18"/>
                <w:szCs w:val="18"/>
              </w:rPr>
            </w:pPr>
          </w:p>
        </w:tc>
      </w:tr>
      <w:tr w:rsidR="0004660D" w14:paraId="32D509B7" w14:textId="77777777" w:rsidTr="007F08AC">
        <w:tc>
          <w:tcPr>
            <w:tcW w:w="8926" w:type="dxa"/>
            <w:gridSpan w:val="5"/>
          </w:tcPr>
          <w:p w14:paraId="2E22F714" w14:textId="72733053" w:rsidR="0004660D" w:rsidRPr="00CE6559" w:rsidRDefault="007F08AC" w:rsidP="00D05BBE">
            <w:pPr>
              <w:tabs>
                <w:tab w:val="clear" w:pos="5041"/>
              </w:tabs>
              <w:spacing w:after="0"/>
              <w:rPr>
                <w:sz w:val="18"/>
                <w:szCs w:val="18"/>
              </w:rPr>
            </w:pPr>
            <w:r>
              <w:rPr>
                <w:sz w:val="18"/>
                <w:szCs w:val="18"/>
              </w:rPr>
              <w:t xml:space="preserve">* </w:t>
            </w:r>
            <w:r w:rsidRPr="009C10ED">
              <w:rPr>
                <w:sz w:val="18"/>
                <w:szCs w:val="18"/>
              </w:rPr>
              <w:t>Kalmarsundpopulationen intar bara en del av Östra Gotlandhavet.</w:t>
            </w:r>
          </w:p>
        </w:tc>
      </w:tr>
    </w:tbl>
    <w:p w14:paraId="429EF643" w14:textId="77777777" w:rsidR="00B13809" w:rsidRDefault="00B13809">
      <w:pPr>
        <w:tabs>
          <w:tab w:val="clear" w:pos="5041"/>
        </w:tabs>
        <w:spacing w:after="0"/>
      </w:pPr>
    </w:p>
    <w:p w14:paraId="0C817232" w14:textId="77777777" w:rsidR="00475B09" w:rsidRDefault="00475B09">
      <w:pPr>
        <w:tabs>
          <w:tab w:val="clear" w:pos="5041"/>
        </w:tabs>
        <w:spacing w:after="0"/>
        <w:rPr>
          <w:rFonts w:ascii="Arial" w:eastAsiaTheme="majorEastAsia" w:hAnsi="Arial" w:cstheme="majorBidi"/>
          <w:b/>
          <w:bCs/>
          <w:sz w:val="22"/>
          <w:szCs w:val="22"/>
          <w:lang w:eastAsia="en-US"/>
        </w:rPr>
      </w:pPr>
      <w:r>
        <w:br w:type="page"/>
      </w:r>
    </w:p>
    <w:p w14:paraId="5D06AE85" w14:textId="77777777" w:rsidR="0070387B" w:rsidRDefault="0070387B" w:rsidP="0070387B">
      <w:pPr>
        <w:pStyle w:val="Rubrik3"/>
      </w:pPr>
      <w:r>
        <w:lastRenderedPageBreak/>
        <w:t>Sektion 2. Detaljerad information.</w:t>
      </w:r>
    </w:p>
    <w:p w14:paraId="21991117" w14:textId="29E63E49" w:rsidR="0070387B" w:rsidRPr="007F08AC" w:rsidRDefault="0070387B" w:rsidP="0009349B">
      <w:pPr>
        <w:pStyle w:val="Brdtext"/>
        <w:rPr>
          <w:u w:val="single"/>
        </w:rPr>
      </w:pPr>
      <w:r w:rsidRPr="007F08AC">
        <w:rPr>
          <w:u w:val="single"/>
        </w:rPr>
        <w:t xml:space="preserve">2.1. </w:t>
      </w:r>
      <w:r w:rsidR="00F0386D" w:rsidRPr="007F08AC">
        <w:rPr>
          <w:u w:val="single"/>
        </w:rPr>
        <w:t>I</w:t>
      </w:r>
      <w:r w:rsidR="00F87DD4" w:rsidRPr="007F08AC">
        <w:rPr>
          <w:u w:val="single"/>
        </w:rPr>
        <w:t>ntrodu</w:t>
      </w:r>
      <w:r w:rsidR="007F08AC" w:rsidRPr="007F08AC">
        <w:rPr>
          <w:u w:val="single"/>
        </w:rPr>
        <w:t>k</w:t>
      </w:r>
      <w:r w:rsidR="00F87DD4" w:rsidRPr="007F08AC">
        <w:rPr>
          <w:u w:val="single"/>
        </w:rPr>
        <w:t>tion</w:t>
      </w:r>
    </w:p>
    <w:p w14:paraId="083158E7" w14:textId="77777777" w:rsidR="007D09B8" w:rsidRDefault="007D09B8" w:rsidP="0009349B">
      <w:pPr>
        <w:pStyle w:val="Brdtext"/>
      </w:pPr>
      <w:r>
        <w:t>Knubbsälen i västerhavet och Östersjön har haft en dramatisk historia</w:t>
      </w:r>
      <w:r w:rsidR="009E6EFE">
        <w:t>. Undersökningar visar att det fanns över 16000 knubbsälar i västerhavet och 5000 i Kalmarsund i början av 1900-talet (Heide-Jörgensen och Härkönen 1988</w:t>
      </w:r>
      <w:r w:rsidR="00225849">
        <w:t>, Härkönen och Isakson 2011</w:t>
      </w:r>
      <w:r w:rsidR="009E6EFE">
        <w:t xml:space="preserve">). En av internationella havsfroskningsrådet koordinerad kampanj ledde till att höga skottpengar anslogs till att utrota sälarna i Östersjön och Västerhavet. </w:t>
      </w:r>
      <w:r w:rsidR="0022674F">
        <w:t>Knubbsälen utrotades efter de polska och tyska kusterna redan innan 1912</w:t>
      </w:r>
      <w:r w:rsidR="0067660D">
        <w:t xml:space="preserve"> (Härkönen m. fl.</w:t>
      </w:r>
      <w:r w:rsidR="009C1873">
        <w:t xml:space="preserve"> </w:t>
      </w:r>
      <w:r w:rsidR="0067660D">
        <w:t>2005)</w:t>
      </w:r>
      <w:r w:rsidR="0022674F">
        <w:t>, och de minskade till c:a 2 500 i Västerhavet. Samtidigt minskade knubbsälarna i Kalmarsund till några hund</w:t>
      </w:r>
      <w:r w:rsidR="0067660D">
        <w:t>ratal (Härkönen och Isakson 2011</w:t>
      </w:r>
      <w:r w:rsidR="0022674F">
        <w:t>). Jakttrycket höll stammarna nere på denna låga nivå fram till 1965 då skottpenningen togs bort i Sverige, och sälskyddsområden inrättades på västkusten. Sedan ökade antalet sälar i västerhavet med 12% per år  och 9% i Kalmarsund fram till 1988</w:t>
      </w:r>
      <w:r w:rsidR="0067660D">
        <w:t xml:space="preserve"> (Heide-Jörgensen och Härkönen 1988)</w:t>
      </w:r>
      <w:r w:rsidR="0022674F">
        <w:t>. Under våren drabbades knubbsälarna av en epidemi där över 60% dog i de värst drabbade områdena (</w:t>
      </w:r>
      <w:r w:rsidR="0067660D">
        <w:t>Dietz m.fl 1989, Härkönen m.fl. 2006</w:t>
      </w:r>
      <w:r w:rsidR="0022674F">
        <w:t xml:space="preserve">). Det visade sig att ett virus </w:t>
      </w:r>
      <w:r w:rsidR="00C266C0">
        <w:t xml:space="preserve">PDV) </w:t>
      </w:r>
      <w:r w:rsidR="0022674F">
        <w:t xml:space="preserve">besläktat med hundens valpsjukevirus drabbat sälarna och att de som överlevde </w:t>
      </w:r>
      <w:r w:rsidR="00C266C0">
        <w:t xml:space="preserve"> fick livslång immunitet. Efter 1989 ökade sälstammarna åter med 12% per år fram till 2002 då en andra PDV epidemi bröt ut, och även denna gång dog omkring 50% av de sälar som fötts efter 1988. Sedan dess har </w:t>
      </w:r>
      <w:r w:rsidR="002B2182">
        <w:t>knubbsälana i västerhavet drabbats av smärre epidemier 2007 (Härkönen m. fl. 2008) samt av fågelinfluensa under 2014 (Zohari m.</w:t>
      </w:r>
      <w:r w:rsidR="00ED7AF4">
        <w:t xml:space="preserve"> </w:t>
      </w:r>
      <w:r w:rsidR="002B2182">
        <w:t>fl. 2014). PDV-epidemin påverkade knubbsälarna i södra Östersjön där 30% dog, men senare epidemier drabbade uteslutande knubbsälarna i Västerhavet</w:t>
      </w:r>
      <w:r w:rsidR="0067660D">
        <w:t xml:space="preserve"> (Härkönen m. fl 2006</w:t>
      </w:r>
      <w:r w:rsidR="00173BE8">
        <w:t>).</w:t>
      </w:r>
    </w:p>
    <w:p w14:paraId="682C5C93" w14:textId="77777777" w:rsidR="00450228" w:rsidRDefault="00450228" w:rsidP="0009349B">
      <w:pPr>
        <w:pStyle w:val="Brdtext"/>
      </w:pPr>
      <w:smartTag w:uri="urn:schemas-microsoft-com:office:smarttags" w:element="PersonName">
        <w:r>
          <w:t>F</w:t>
        </w:r>
      </w:smartTag>
      <w:r>
        <w:t xml:space="preserve">örvaltningen av knubbsäl i </w:t>
      </w:r>
      <w:smartTag w:uri="urn:schemas-microsoft-com:office:smarttags" w:element="PersonName">
        <w:r>
          <w:t>S</w:t>
        </w:r>
      </w:smartTag>
      <w:r>
        <w:t xml:space="preserve">kagerrak, </w:t>
      </w:r>
      <w:smartTag w:uri="urn:schemas-microsoft-com:office:smarttags" w:element="PersonName">
        <w:r>
          <w:t>K</w:t>
        </w:r>
      </w:smartTag>
      <w:r>
        <w:t xml:space="preserve">attegatt och Östersjön är en gemensam angelägenhet för de länder som gränsar till dessa hav. Knubbsälen  indelas i fyra skilda bestånd: </w:t>
      </w:r>
      <w:smartTag w:uri="urn:schemas-microsoft-com:office:smarttags" w:element="PersonName">
        <w:r>
          <w:t>S</w:t>
        </w:r>
      </w:smartTag>
      <w:r>
        <w:t xml:space="preserve">kagerrak,  </w:t>
      </w:r>
      <w:smartTag w:uri="urn:schemas-microsoft-com:office:smarttags" w:element="PersonName">
        <w:r>
          <w:t>K</w:t>
        </w:r>
      </w:smartTag>
      <w:r>
        <w:t xml:space="preserve">attegatt, södra Östersjön (Arkonahavet) inklusive Öresund, samt Kalmarsund. </w:t>
      </w:r>
      <w:r w:rsidR="007D09B8">
        <w:t xml:space="preserve"> Därför utvärderas dessa populationers status oberoende av nationella gränser.</w:t>
      </w:r>
      <w:r w:rsidR="002B2182">
        <w:t xml:space="preserve"> Förvaltning av knubbsälbestånden  regleras av Habitat direktivet samt havsmiljödi</w:t>
      </w:r>
      <w:r w:rsidR="0030626F">
        <w:t xml:space="preserve">rektivet, men även genom </w:t>
      </w:r>
      <w:smartTag w:uri="urn:schemas-microsoft-com:office:smarttags" w:element="PersonName">
        <w:r w:rsidR="0030626F">
          <w:t>H</w:t>
        </w:r>
      </w:smartTag>
      <w:smartTag w:uri="urn:schemas-microsoft-com:office:smarttags" w:element="PersonName">
        <w:r w:rsidR="0030626F">
          <w:t>E</w:t>
        </w:r>
      </w:smartTag>
      <w:r w:rsidR="0030626F">
        <w:t>LC</w:t>
      </w:r>
      <w:smartTag w:uri="urn:schemas-microsoft-com:office:smarttags" w:element="PersonName">
        <w:r w:rsidR="0030626F">
          <w:t>O</w:t>
        </w:r>
      </w:smartTag>
      <w:r w:rsidR="0030626F">
        <w:t>Ms  rekommendation 27-28/2</w:t>
      </w:r>
      <w:r w:rsidR="00173BE8">
        <w:t>, d</w:t>
      </w:r>
      <w:r w:rsidR="0030626F">
        <w:t>är det stadgas att de långskitiga målen för förvaltningen ska vara naturligt anta</w:t>
      </w:r>
      <w:r w:rsidR="00173BE8">
        <w:t>l</w:t>
      </w:r>
      <w:r w:rsidR="0030626F">
        <w:t>, naturlig utbredning, och en hälsostatus som säkrar deras fortsatta existens i ekosystemet.</w:t>
      </w:r>
    </w:p>
    <w:p w14:paraId="08E85842" w14:textId="77777777" w:rsidR="00450228" w:rsidRDefault="00450228" w:rsidP="0009349B">
      <w:pPr>
        <w:pStyle w:val="Brdtext"/>
      </w:pPr>
    </w:p>
    <w:p w14:paraId="548EA22F" w14:textId="626FFD91" w:rsidR="0030626F" w:rsidRDefault="0070387B" w:rsidP="0009349B">
      <w:pPr>
        <w:pStyle w:val="Brdtext"/>
      </w:pPr>
      <w:r w:rsidRPr="007F08AC">
        <w:rPr>
          <w:u w:val="single"/>
        </w:rPr>
        <w:t xml:space="preserve">2.2. </w:t>
      </w:r>
      <w:r w:rsidR="0030626F" w:rsidRPr="007F08AC">
        <w:rPr>
          <w:u w:val="single"/>
        </w:rPr>
        <w:t>Material och metoder</w:t>
      </w:r>
    </w:p>
    <w:p w14:paraId="7EF0C67A" w14:textId="77777777" w:rsidR="00173BE8" w:rsidRDefault="00173BE8" w:rsidP="0009349B">
      <w:pPr>
        <w:pStyle w:val="Brdtext"/>
      </w:pPr>
      <w:r>
        <w:t>Flyginventeringar utförs under de två sista veckorna i augusti då störst andel av knubbsälarna befinner sig på land. Under denna period byter de päls med högst intensitet och håret kan inte växa om de befinner sig i vattnet. Inventeringarna koordineras mellan Sverige, Norge och Danmark, varvid flygningarna sker samma dagar i de tre länderna. Det utförs tre inventeringar under denna period</w:t>
      </w:r>
      <w:r w:rsidR="00E44C14">
        <w:t xml:space="preserve"> varvid resultatet beräknas som genomsnittet av de två högsta räkningarna, et så kallat trimmat</w:t>
      </w:r>
      <w:r w:rsidR="0067660D">
        <w:t xml:space="preserve"> medelvärde (Teilman</w:t>
      </w:r>
      <w:r w:rsidR="009C1873">
        <w:t>n m. fl.</w:t>
      </w:r>
      <w:r w:rsidR="0067660D">
        <w:t xml:space="preserve"> 2011</w:t>
      </w:r>
      <w:r w:rsidR="00E44C14">
        <w:t>). Varje plats med säl fotograferas från 90 m höjd, och antalet sälar på fotona räknas senare. Detta ger dels tidserier för beräkning av tillväxthastighet, men även data på sälarnas utbredning. Andelen djur som ligger uppe på land är 65% om man använder trimmade medelvärden.</w:t>
      </w:r>
    </w:p>
    <w:p w14:paraId="422AFBA2" w14:textId="64037995" w:rsidR="00E44C14" w:rsidRDefault="00E44C14" w:rsidP="0009349B">
      <w:pPr>
        <w:pStyle w:val="Brdtext"/>
      </w:pPr>
      <w:r>
        <w:t xml:space="preserve">Utarbetandet av gränsvärden har skett genom HELCOMs CORESET program där det svenska deltagandet finansierats av HaV och Sverige </w:t>
      </w:r>
      <w:r w:rsidR="007F6F2B">
        <w:t>har varit huvudansvarigt</w:t>
      </w:r>
      <w:r>
        <w:t xml:space="preserve"> för indikatorerna ”Abundans och trender” samt ”Distribution</w:t>
      </w:r>
      <w:r w:rsidR="007F6F2B">
        <w:t>”</w:t>
      </w:r>
      <w:r w:rsidR="007F08AC">
        <w:t xml:space="preserve"> (Helcom 2017)</w:t>
      </w:r>
      <w:r w:rsidR="007F6F2B">
        <w:t>.</w:t>
      </w:r>
    </w:p>
    <w:p w14:paraId="6DAE93C4" w14:textId="77777777" w:rsidR="006902FA" w:rsidRDefault="006902FA" w:rsidP="0009349B">
      <w:pPr>
        <w:pStyle w:val="Brdtext"/>
      </w:pPr>
      <w:r>
        <w:t>Gränsvärdet för utbredning är</w:t>
      </w:r>
      <w:r w:rsidR="005D09D2">
        <w:t xml:space="preserve"> den utbredning knubbsälarna hade  innan utrotningsjakten startade på 1880-talet och </w:t>
      </w:r>
      <w:r>
        <w:t xml:space="preserve"> att ingen minskning sker.</w:t>
      </w:r>
    </w:p>
    <w:p w14:paraId="5D67AB48" w14:textId="77777777" w:rsidR="00E44C14" w:rsidRDefault="00E44C14" w:rsidP="0009349B">
      <w:pPr>
        <w:pStyle w:val="Brdtext"/>
      </w:pPr>
    </w:p>
    <w:p w14:paraId="6D22C457" w14:textId="454DE216" w:rsidR="00393373" w:rsidRDefault="0070387B" w:rsidP="00F87DD4">
      <w:pPr>
        <w:pStyle w:val="Brdtext"/>
      </w:pPr>
      <w:r w:rsidRPr="007F08AC">
        <w:rPr>
          <w:u w:val="single"/>
        </w:rPr>
        <w:t xml:space="preserve">2.3. </w:t>
      </w:r>
      <w:r w:rsidR="004921C2" w:rsidRPr="007F08AC">
        <w:rPr>
          <w:u w:val="single"/>
        </w:rPr>
        <w:t>Resultat</w:t>
      </w:r>
    </w:p>
    <w:p w14:paraId="69D33FFA" w14:textId="77777777" w:rsidR="006902FA" w:rsidRPr="00393373" w:rsidRDefault="009F467A" w:rsidP="00F87DD4">
      <w:pPr>
        <w:pStyle w:val="Brdtext"/>
        <w:rPr>
          <w:i/>
        </w:rPr>
      </w:pPr>
      <w:r>
        <w:rPr>
          <w:i/>
        </w:rPr>
        <w:t>Utbredning på land</w:t>
      </w:r>
      <w:r w:rsidR="00F87DD4" w:rsidRPr="00393373">
        <w:rPr>
          <w:i/>
        </w:rPr>
        <w:t xml:space="preserve"> </w:t>
      </w:r>
    </w:p>
    <w:p w14:paraId="684A5C1E" w14:textId="77777777" w:rsidR="006902FA" w:rsidRDefault="009F467A" w:rsidP="00F87DD4">
      <w:pPr>
        <w:pStyle w:val="Brdtext"/>
      </w:pPr>
      <w:r>
        <w:t>Knubbsälen är mycket stationär och använder vissa specifika skär där de går upp för att vila, föda kutar (juni) och byta päls (juli-augusti)</w:t>
      </w:r>
      <w:r w:rsidR="00674465">
        <w:t>.</w:t>
      </w:r>
      <w:r>
        <w:t xml:space="preserve"> Parningen sker under juli</w:t>
      </w:r>
      <w:r w:rsidR="00B27926">
        <w:t xml:space="preserve"> i närheten av dessa skär</w:t>
      </w:r>
      <w:r>
        <w:t xml:space="preserve"> och  alltid i vattnet där hanar håller undervattenrevir.</w:t>
      </w:r>
      <w:r w:rsidR="00282D3D">
        <w:t xml:space="preserve"> Knubbsälens på västkusten finns numer</w:t>
      </w:r>
      <w:r w:rsidR="00B27926">
        <w:t>a</w:t>
      </w:r>
      <w:r w:rsidR="00282D3D">
        <w:t xml:space="preserve">  i hela det område som de var utbredda på innan den skottpenningstödda jakten startade i Kattegatt och Skagerrak- Knubbsälen i Kalmarsund fanns under 1980-talet endast på lokalerna Värnanäs, </w:t>
      </w:r>
      <w:r w:rsidR="00B27926">
        <w:t xml:space="preserve">Isaks kläpp, </w:t>
      </w:r>
      <w:r w:rsidR="00282D3D">
        <w:t xml:space="preserve">Abramsäng, Eckelsudde (Öland) samt Ölands södra udde, men har under det senaste decenniet även spritt sig </w:t>
      </w:r>
      <w:r w:rsidR="00B27926">
        <w:t>till lokaler som utnyttjades innan jakten decimerade beståndet. Detta ger god miljöstatus för denna parameter för Skagerrak, Kattegatt och Kalmarsund.</w:t>
      </w:r>
    </w:p>
    <w:p w14:paraId="74D93E85" w14:textId="77777777" w:rsidR="00B27926" w:rsidRDefault="00B27926" w:rsidP="00F87DD4">
      <w:pPr>
        <w:pStyle w:val="Brdtext"/>
      </w:pPr>
      <w:r>
        <w:t>Knu</w:t>
      </w:r>
      <w:r w:rsidR="00CB04DA">
        <w:t>bbsälarna i Öresund, Hanöbukten, Arkonahavet och når ej god miljöstatus, då tidigare utnyttjade platser i området mellan de danska öarna i söder och tydka kusten inte återkoloniserats.</w:t>
      </w:r>
    </w:p>
    <w:p w14:paraId="4D407365" w14:textId="77777777" w:rsidR="00393373" w:rsidRDefault="00393373" w:rsidP="00F87DD4">
      <w:pPr>
        <w:pStyle w:val="Brdtext"/>
      </w:pPr>
    </w:p>
    <w:p w14:paraId="2D401395" w14:textId="77777777" w:rsidR="007F08AC" w:rsidRDefault="009F467A" w:rsidP="007F08AC">
      <w:pPr>
        <w:pStyle w:val="Brdtext"/>
        <w:keepNext/>
      </w:pPr>
      <w:r>
        <w:rPr>
          <w:noProof/>
          <w:lang w:eastAsia="sv-SE"/>
        </w:rPr>
        <w:drawing>
          <wp:inline distT="0" distB="0" distL="0" distR="0" wp14:anchorId="426A51E8" wp14:editId="03D51936">
            <wp:extent cx="2276475" cy="3212976"/>
            <wp:effectExtent l="0" t="0" r="0" b="6985"/>
            <wp:docPr id="29" name="Picture 29" descr="distributions of seals results figure 9_41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tributions of seals results figure 9_410px.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0941" cy="3219279"/>
                    </a:xfrm>
                    <a:prstGeom prst="rect">
                      <a:avLst/>
                    </a:prstGeom>
                    <a:noFill/>
                    <a:ln>
                      <a:noFill/>
                    </a:ln>
                  </pic:spPr>
                </pic:pic>
              </a:graphicData>
            </a:graphic>
          </wp:inline>
        </w:drawing>
      </w:r>
    </w:p>
    <w:p w14:paraId="3C97C5EE" w14:textId="19754062" w:rsidR="006902FA" w:rsidRDefault="007F08AC" w:rsidP="007F08AC">
      <w:pPr>
        <w:pStyle w:val="Beskrivning"/>
      </w:pPr>
      <w:r>
        <w:t xml:space="preserve">Figur </w:t>
      </w:r>
      <w:r>
        <w:fldChar w:fldCharType="begin"/>
      </w:r>
      <w:r>
        <w:instrText xml:space="preserve"> SEQ Figur \* ARABIC </w:instrText>
      </w:r>
      <w:r>
        <w:fldChar w:fldCharType="separate"/>
      </w:r>
      <w:r>
        <w:rPr>
          <w:noProof/>
        </w:rPr>
        <w:t>2</w:t>
      </w:r>
      <w:r>
        <w:fldChar w:fldCharType="end"/>
      </w:r>
      <w:r>
        <w:t xml:space="preserve"> </w:t>
      </w:r>
      <w:r w:rsidRPr="007F08AC">
        <w:t>Lokaler där det förekommer knubbsäl i Sverige och Danmark</w:t>
      </w:r>
    </w:p>
    <w:p w14:paraId="088853C0" w14:textId="77777777" w:rsidR="006902FA" w:rsidRPr="00B27926" w:rsidRDefault="00B27926" w:rsidP="00F87DD4">
      <w:pPr>
        <w:pStyle w:val="Brdtext"/>
        <w:rPr>
          <w:i/>
        </w:rPr>
      </w:pPr>
      <w:r w:rsidRPr="00B27926">
        <w:rPr>
          <w:i/>
        </w:rPr>
        <w:t>Utbredning till Havs</w:t>
      </w:r>
    </w:p>
    <w:p w14:paraId="71019489" w14:textId="77777777" w:rsidR="00B27926" w:rsidRDefault="00B27926" w:rsidP="00F87DD4">
      <w:pPr>
        <w:pStyle w:val="Brdtext"/>
      </w:pPr>
      <w:r>
        <w:t xml:space="preserve">Knubbsälar försedda med </w:t>
      </w:r>
      <w:r w:rsidR="00CB04DA">
        <w:t>GSM sändare visar att knubbsälen utnyttjar mindre havsområden än gråsälen . Men det finns inga tecken på att detta skulle bero på barriärer eller mänskliga aktiviteter, då de kan fritt utnyttja de havsområden de önskar.</w:t>
      </w:r>
    </w:p>
    <w:p w14:paraId="64AC36EA" w14:textId="77777777" w:rsidR="00CB04DA" w:rsidRDefault="00CB04DA" w:rsidP="00F87DD4">
      <w:pPr>
        <w:pStyle w:val="Brdtext"/>
      </w:pPr>
    </w:p>
    <w:p w14:paraId="37EAD05B" w14:textId="77777777" w:rsidR="007F08AC" w:rsidRDefault="00CB04DA" w:rsidP="007F08AC">
      <w:pPr>
        <w:pStyle w:val="Brdtext"/>
        <w:keepNext/>
      </w:pPr>
      <w:r>
        <w:rPr>
          <w:noProof/>
          <w:lang w:eastAsia="sv-SE"/>
        </w:rPr>
        <w:lastRenderedPageBreak/>
        <w:drawing>
          <wp:inline distT="0" distB="0" distL="0" distR="0" wp14:anchorId="2134DD9F" wp14:editId="0426EEAA">
            <wp:extent cx="5760720" cy="4267643"/>
            <wp:effectExtent l="0" t="0" r="0" b="0"/>
            <wp:docPr id="55" name="Bildobjekt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 and GS.jpg"/>
                    <pic:cNvPicPr/>
                  </pic:nvPicPr>
                  <pic:blipFill rotWithShape="1">
                    <a:blip r:embed="rId10" cstate="print">
                      <a:extLst>
                        <a:ext uri="{28A0092B-C50C-407E-A947-70E740481C1C}">
                          <a14:useLocalDpi xmlns:a14="http://schemas.microsoft.com/office/drawing/2010/main" val="0"/>
                        </a:ext>
                      </a:extLst>
                    </a:blip>
                    <a:srcRect b="3305"/>
                    <a:stretch/>
                  </pic:blipFill>
                  <pic:spPr bwMode="auto">
                    <a:xfrm>
                      <a:off x="0" y="0"/>
                      <a:ext cx="5760720" cy="4267643"/>
                    </a:xfrm>
                    <a:prstGeom prst="rect">
                      <a:avLst/>
                    </a:prstGeom>
                    <a:ln>
                      <a:noFill/>
                    </a:ln>
                    <a:extLst>
                      <a:ext uri="{53640926-AAD7-44D8-BBD7-CCE9431645EC}">
                        <a14:shadowObscured xmlns:a14="http://schemas.microsoft.com/office/drawing/2010/main"/>
                      </a:ext>
                    </a:extLst>
                  </pic:spPr>
                </pic:pic>
              </a:graphicData>
            </a:graphic>
          </wp:inline>
        </w:drawing>
      </w:r>
    </w:p>
    <w:p w14:paraId="3DC3A59F" w14:textId="4C51A445" w:rsidR="00CB04DA" w:rsidRDefault="007F08AC" w:rsidP="007F08AC">
      <w:pPr>
        <w:pStyle w:val="Beskrivning"/>
      </w:pPr>
      <w:r>
        <w:t xml:space="preserve">Figur </w:t>
      </w:r>
      <w:r>
        <w:fldChar w:fldCharType="begin"/>
      </w:r>
      <w:r>
        <w:instrText xml:space="preserve"> SEQ Figur \* ARABIC </w:instrText>
      </w:r>
      <w:r>
        <w:fldChar w:fldCharType="separate"/>
      </w:r>
      <w:r>
        <w:rPr>
          <w:noProof/>
        </w:rPr>
        <w:t>3</w:t>
      </w:r>
      <w:r>
        <w:fldChar w:fldCharType="end"/>
      </w:r>
      <w:r w:rsidRPr="007F08AC">
        <w:t xml:space="preserve"> Exempel på rörelsemönster hos knubbsälar (rött) försedda med GSM-sändare, jämfört med gråsäl (vitt). Samtliga djur fångades på Måkläppen vid Falsterbo</w:t>
      </w:r>
      <w:r>
        <w:t xml:space="preserve"> </w:t>
      </w:r>
    </w:p>
    <w:p w14:paraId="373BBDB4" w14:textId="77777777" w:rsidR="002217FF" w:rsidRDefault="00045426" w:rsidP="00045426">
      <w:pPr>
        <w:pStyle w:val="Brdtext"/>
      </w:pPr>
      <w:r>
        <w:t>Eftersom knubbsälarna kan fritt förflytta sig i havet uppnår de god miljöstatus utbredning till havs.</w:t>
      </w:r>
    </w:p>
    <w:p w14:paraId="59C35DF9" w14:textId="30F4676B" w:rsidR="00674465" w:rsidRDefault="00674465" w:rsidP="007C6A94">
      <w:pPr>
        <w:pStyle w:val="Brdtext"/>
      </w:pPr>
      <w:r w:rsidRPr="007F08AC">
        <w:rPr>
          <w:u w:val="single"/>
        </w:rPr>
        <w:t>2.4. Disk</w:t>
      </w:r>
      <w:r w:rsidR="00F87DD4" w:rsidRPr="007F08AC">
        <w:rPr>
          <w:u w:val="single"/>
        </w:rPr>
        <w:t>ussion</w:t>
      </w:r>
    </w:p>
    <w:p w14:paraId="36F8F0C0" w14:textId="77777777" w:rsidR="00045426" w:rsidRDefault="00DF5C27" w:rsidP="002E4B55">
      <w:pPr>
        <w:pStyle w:val="Brdtext"/>
      </w:pPr>
      <w:r>
        <w:t>Utvärderingen av knubbsälens status baseras på indikatorer utarbetade inom HELCOMs CORESET program, där det visas att analyserna ska baseras på biologiskt relevanta förvaltningsområden. För knubbsäl innebär detta att populationen i Skagerrak är gemensam för Sverige och Norge och populationen i Kattegatt är gemensam för Sverige och Danmark, medan knubbsälarna i södra</w:t>
      </w:r>
      <w:r w:rsidR="00ED7AF4">
        <w:t xml:space="preserve"> Östersjön inklusive Öresund gemen</w:t>
      </w:r>
      <w:r>
        <w:t>samt ska förvatlas av Sverige, Danmark och Tyskland. Populationen i Kalmarsund bef</w:t>
      </w:r>
      <w:r w:rsidR="00ED7AF4">
        <w:t>inner</w:t>
      </w:r>
      <w:r>
        <w:t xml:space="preserve"> sig helt i svenska vatten.</w:t>
      </w:r>
    </w:p>
    <w:p w14:paraId="0738C0AF" w14:textId="77777777" w:rsidR="00D93087" w:rsidRDefault="00D93087" w:rsidP="002E4B55">
      <w:pPr>
        <w:pStyle w:val="Brdtext"/>
      </w:pPr>
      <w:r>
        <w:t>Knubbsälens utbredning i historisk tid är väl</w:t>
      </w:r>
      <w:r w:rsidR="001741FB">
        <w:t xml:space="preserve"> </w:t>
      </w:r>
      <w:r>
        <w:t>känd</w:t>
      </w:r>
      <w:r w:rsidR="001741FB">
        <w:t>,</w:t>
      </w:r>
      <w:r>
        <w:t xml:space="preserve"> dels beroende på arkeologiska fynd</w:t>
      </w:r>
      <w:r w:rsidR="00045426">
        <w:t xml:space="preserve"> (Härkönen m.fl 2005)</w:t>
      </w:r>
      <w:r>
        <w:t>, men även detaljerad skottpenningstatistik</w:t>
      </w:r>
      <w:r w:rsidR="00045426">
        <w:t xml:space="preserve"> (Hårding och Härkönen 1999)</w:t>
      </w:r>
      <w:r>
        <w:t xml:space="preserve">. Många yttre skär har namn efter säl eller säljakt. Därför </w:t>
      </w:r>
      <w:r w:rsidR="001741FB">
        <w:t>kan man konstatera att knubbsälen expanderat</w:t>
      </w:r>
      <w:r w:rsidR="00914394">
        <w:t xml:space="preserve"> sin utbredning de senaste decennierna</w:t>
      </w:r>
      <w:r w:rsidR="00045426">
        <w:t xml:space="preserve"> till tidigare omfattning</w:t>
      </w:r>
      <w:r w:rsidR="00914394">
        <w:t>.</w:t>
      </w:r>
    </w:p>
    <w:p w14:paraId="0E9EB532" w14:textId="77777777" w:rsidR="00045426" w:rsidRDefault="00045426" w:rsidP="002E4B55">
      <w:pPr>
        <w:pStyle w:val="Brdtext"/>
      </w:pPr>
      <w:r>
        <w:t>I ett längre perspektiv har knubbsälens utbredning förän</w:t>
      </w:r>
      <w:r w:rsidR="008E5350">
        <w:t>drats kraftigt under de senaste årtusendena, där både Kattegatt och Östersjön koloniserades för 8000 år sedan (Härkönen m.fl. 2005). Knubbsälen fanns hela tiden kvar kring Kalmarsund, medan Kattegatt-populationen försvann periodvi under bronsåldern. Under vissa perioder fanns  knubbsäl även i det nuvarande Estland och Polen. De första fynden av knubbsäl från Skagerrak härrör från c:a 1750.</w:t>
      </w:r>
    </w:p>
    <w:p w14:paraId="7999E932" w14:textId="77777777" w:rsidR="008E5350" w:rsidRDefault="008E5350" w:rsidP="002E4B55">
      <w:pPr>
        <w:pStyle w:val="Brdtext"/>
      </w:pPr>
    </w:p>
    <w:p w14:paraId="20941F8C" w14:textId="77777777" w:rsidR="00F02DA4" w:rsidRDefault="008E5350" w:rsidP="002E4B55">
      <w:pPr>
        <w:pStyle w:val="Brdtext"/>
      </w:pPr>
      <w:r>
        <w:t xml:space="preserve">De viktigaste orsakerna till fluktuationerna  i utbredning fram till 1750  är sannolikt konkurrens med gråsäl samt människans jakt. </w:t>
      </w:r>
      <w:r w:rsidR="000460BA">
        <w:t xml:space="preserve"> Det har visat sig att även recenta populationer av knubbsäl blir st</w:t>
      </w:r>
      <w:r w:rsidR="00AC5CB9">
        <w:t>arkt negativt påverkade av grå</w:t>
      </w:r>
      <w:r w:rsidR="000460BA">
        <w:t>sälpopulationer och att knubbsälar endast kan kolonisera områden där människan först kraftigt decimerat gråsälbeståndet (Härkönen m.fl. 2007). Gråsälen</w:t>
      </w:r>
      <w:r w:rsidR="00AC5CB9">
        <w:t>s</w:t>
      </w:r>
      <w:r w:rsidR="000460BA">
        <w:t xml:space="preserve"> kut föds på land eller is, där den får di i c:a 20 dagar. Under denna tid är den lätt att fånga, och det finns data på att människor under stenåldern utrustade expeditioner för att klubba gråsälkutar. När dessa klubbades systematiskt från år till år, utrotades gråsälen från stora delar av Europa</w:t>
      </w:r>
      <w:r w:rsidR="00F02DA4">
        <w:t>, och ersattes av gråsälen (Härkönen m.fl. 2006).</w:t>
      </w:r>
    </w:p>
    <w:p w14:paraId="095B9F42" w14:textId="77777777" w:rsidR="00F02DA4" w:rsidRDefault="00F02DA4" w:rsidP="002E4B55">
      <w:pPr>
        <w:pStyle w:val="Brdtext"/>
      </w:pPr>
      <w:r>
        <w:t xml:space="preserve">Dessa arter kan dock samexistera under vissa förhållanden. Knubbsälen har funnits i området kring Kalmarsund i tusentals år trots stora mängder gråsäl. Här tycks knubbsälarna hålla till i större grundområden, </w:t>
      </w:r>
      <w:r w:rsidR="00AC5CB9">
        <w:t>där</w:t>
      </w:r>
      <w:r>
        <w:t xml:space="preserve"> gråsälarna sällan kommer in. På liknande sätt samexisterar arterna i norska fjordsystem där gråsälarna finns i mynningen av fjorden medan knubbsälarna finns längre in. Knubbsälarnas kutar kan simma redan vid födseln, varför knubbsälarna kan utnyttja de frilagda bankar som finns i tidvattenområden i Nordsjön. På sådana platser dominerar knubbsälen</w:t>
      </w:r>
      <w:r w:rsidR="00DD76C2">
        <w:t>.</w:t>
      </w:r>
    </w:p>
    <w:p w14:paraId="1AF9623F" w14:textId="77777777" w:rsidR="00DD76C2" w:rsidRDefault="00DD76C2" w:rsidP="002E4B55">
      <w:pPr>
        <w:pStyle w:val="Brdtext"/>
      </w:pPr>
    </w:p>
    <w:p w14:paraId="6C3AD85C" w14:textId="77777777" w:rsidR="00DD76C2" w:rsidRDefault="00DD76C2" w:rsidP="002E4B55">
      <w:pPr>
        <w:pStyle w:val="Brdtext"/>
      </w:pPr>
      <w:r>
        <w:t>Under slutet av 1750-talet koloniserar knubbsälen skär efter Skagerraks kust och börjar</w:t>
      </w:r>
      <w:r w:rsidR="00AC5CB9">
        <w:t xml:space="preserve"> även dominera i Kattegatt och s</w:t>
      </w:r>
      <w:r>
        <w:t>ödra Östersjön (Härkönen m.fl 2006). Knubbsälen blir snart den vanligaste och mest utbredda arten i området. Sälarna jaga</w:t>
      </w:r>
      <w:r w:rsidR="0002517E">
        <w:t xml:space="preserve">des under 1800-talet för </w:t>
      </w:r>
      <w:r>
        <w:t>tran</w:t>
      </w:r>
      <w:r w:rsidR="0002517E">
        <w:t>ets skull</w:t>
      </w:r>
      <w:r>
        <w:t>, men jakten blev mindre intensiv när billigare valtran kom ut på marknaden mot slutet av 1800-talet</w:t>
      </w:r>
      <w:r w:rsidR="0002517E">
        <w:t>. Fiskeri intressenter började då en kampanj för att införa skottpengar på säl.</w:t>
      </w:r>
    </w:p>
    <w:p w14:paraId="00533508" w14:textId="77777777" w:rsidR="0002517E" w:rsidRDefault="0002517E" w:rsidP="002E4B55">
      <w:pPr>
        <w:pStyle w:val="Brdtext"/>
      </w:pPr>
      <w:r>
        <w:t>En av det nybildade ICES första åtgärder var att internationellt koordinera insatserna där målet var att utrota sälarna som sågs som ett hot mot fisket. Danmark införde skottpengar 1889, Finland 1903, medan Sverige införde skottpengar länsvis 1908-1912 (Hårding och Härkönen 1999). Knubbsälarna utrotades efter tyska kusten redan 1912, och decimerades starkt fram till 1930 i hela sitt utbredningsområde. Glesa bestånd fanns dock kvar i de flesta andra områden</w:t>
      </w:r>
      <w:r w:rsidR="00044880">
        <w:t>.</w:t>
      </w:r>
    </w:p>
    <w:p w14:paraId="3B4B7A8F" w14:textId="77777777" w:rsidR="00044880" w:rsidRDefault="00044880" w:rsidP="002E4B55">
      <w:pPr>
        <w:pStyle w:val="Brdtext"/>
      </w:pPr>
      <w:r>
        <w:t>Skyddsåtgärder under främst 1970-talet ledde till expanderande populationer och den situation vi har idag.</w:t>
      </w:r>
    </w:p>
    <w:p w14:paraId="5874AB83" w14:textId="77777777" w:rsidR="00044880" w:rsidRDefault="00044880" w:rsidP="002E4B55">
      <w:pPr>
        <w:pStyle w:val="Brdtext"/>
      </w:pPr>
      <w:r>
        <w:t>De största kunskapsluckorna vi har idag är vilka havsområden som knubbsälarna i Skagerrak och Kalmarsund utnyttjar. Knubbsälar i Skåne och Kattegatt har försätts med GSM-sändare och gett goda data på hur dessa utnyttjar miljön, och de områden som är viktiga för deras födosök. Men vi har tillförlitliga data på sälarnas utbredning i landmiljö</w:t>
      </w:r>
    </w:p>
    <w:p w14:paraId="4399E134" w14:textId="77777777" w:rsidR="00992A90" w:rsidRDefault="00992A90" w:rsidP="007C6A94">
      <w:pPr>
        <w:pStyle w:val="Brdtext"/>
      </w:pPr>
    </w:p>
    <w:p w14:paraId="45F49193" w14:textId="6A72725A" w:rsidR="00744D37" w:rsidRPr="00992A90" w:rsidRDefault="00744D37" w:rsidP="007C6A94">
      <w:pPr>
        <w:pStyle w:val="Brdtext"/>
        <w:rPr>
          <w:u w:val="single"/>
        </w:rPr>
      </w:pPr>
      <w:r w:rsidRPr="00992A90">
        <w:rPr>
          <w:u w:val="single"/>
        </w:rPr>
        <w:t>2.5. Referenser</w:t>
      </w:r>
    </w:p>
    <w:p w14:paraId="4F0134C8" w14:textId="77777777" w:rsidR="000C037F" w:rsidRPr="006C0695" w:rsidRDefault="000C037F" w:rsidP="000C037F">
      <w:pPr>
        <w:rPr>
          <w:rFonts w:ascii="Georgia" w:eastAsiaTheme="minorHAnsi" w:hAnsi="Georgia" w:cstheme="minorBidi"/>
          <w:sz w:val="22"/>
          <w:szCs w:val="22"/>
          <w:lang w:val="en-US" w:eastAsia="en-US"/>
        </w:rPr>
      </w:pPr>
      <w:r w:rsidRPr="00225849">
        <w:rPr>
          <w:rFonts w:ascii="Georgia" w:eastAsiaTheme="minorHAnsi" w:hAnsi="Georgia" w:cstheme="minorBidi"/>
          <w:sz w:val="22"/>
          <w:szCs w:val="22"/>
          <w:lang w:eastAsia="en-US"/>
        </w:rPr>
        <w:t xml:space="preserve">Dietz, R., M.-P. Heide-Jørgensen and T. Härkönen 1989. </w:t>
      </w:r>
      <w:r w:rsidRPr="00F06B88">
        <w:rPr>
          <w:rFonts w:ascii="Georgia" w:eastAsiaTheme="minorHAnsi" w:hAnsi="Georgia" w:cstheme="minorBidi"/>
          <w:sz w:val="22"/>
          <w:szCs w:val="22"/>
          <w:lang w:val="en-US" w:eastAsia="en-US"/>
        </w:rPr>
        <w:t xml:space="preserve">Mass deaths of harbour </w:t>
      </w:r>
      <w:r w:rsidRPr="00F06B88">
        <w:rPr>
          <w:rFonts w:ascii="Georgia" w:eastAsiaTheme="minorHAnsi" w:hAnsi="Georgia" w:cstheme="minorBidi"/>
          <w:i/>
          <w:sz w:val="22"/>
          <w:szCs w:val="22"/>
          <w:lang w:val="en-US" w:eastAsia="en-US"/>
        </w:rPr>
        <w:t>seals  Phoca vitulina</w:t>
      </w:r>
      <w:r w:rsidRPr="00F06B88">
        <w:rPr>
          <w:rFonts w:ascii="Georgia" w:eastAsiaTheme="minorHAnsi" w:hAnsi="Georgia" w:cstheme="minorBidi"/>
          <w:sz w:val="22"/>
          <w:szCs w:val="22"/>
          <w:lang w:val="en-US" w:eastAsia="en-US"/>
        </w:rPr>
        <w:t xml:space="preserve"> in Europe. </w:t>
      </w:r>
      <w:r w:rsidRPr="006C0695">
        <w:rPr>
          <w:rFonts w:ascii="Georgia" w:eastAsiaTheme="minorHAnsi" w:hAnsi="Georgia" w:cstheme="minorBidi"/>
          <w:sz w:val="22"/>
          <w:szCs w:val="22"/>
          <w:lang w:val="en-US" w:eastAsia="en-US"/>
        </w:rPr>
        <w:t>Ambio 18(5): 258-264.</w:t>
      </w:r>
    </w:p>
    <w:p w14:paraId="0CF92EC2" w14:textId="77777777" w:rsidR="00663AF8" w:rsidRDefault="00663AF8" w:rsidP="00663AF8">
      <w:pPr>
        <w:spacing w:after="240"/>
        <w:rPr>
          <w:rStyle w:val="Normal1"/>
          <w:lang w:val="en-GB"/>
        </w:rPr>
      </w:pPr>
      <w:r w:rsidRPr="00385945">
        <w:rPr>
          <w:rStyle w:val="Normal1"/>
          <w:lang w:val="en-GB"/>
        </w:rPr>
        <w:t>Goodman SJ. 1998. Patterns of extensive genetic differentiation and variation among European harbor seals (</w:t>
      </w:r>
      <w:r w:rsidRPr="00225849">
        <w:rPr>
          <w:rStyle w:val="Normal1"/>
          <w:i/>
          <w:lang w:val="en-GB"/>
        </w:rPr>
        <w:t>Phoca vitulina vitulina</w:t>
      </w:r>
      <w:r w:rsidRPr="00385945">
        <w:rPr>
          <w:rStyle w:val="Normal1"/>
          <w:lang w:val="en-GB"/>
        </w:rPr>
        <w:t>) revealed using microsatellite DNA polymorphisms. Mol Biol Evol 15(2):104-118.</w:t>
      </w:r>
    </w:p>
    <w:p w14:paraId="4E838DEF" w14:textId="77777777" w:rsidR="000C037F" w:rsidRPr="00992A90" w:rsidRDefault="000C037F" w:rsidP="000C037F">
      <w:pPr>
        <w:rPr>
          <w:rStyle w:val="Normal1"/>
          <w:lang w:val="en-GB"/>
        </w:rPr>
      </w:pPr>
      <w:r w:rsidRPr="00F06B88">
        <w:rPr>
          <w:rStyle w:val="Normal1"/>
          <w:lang w:val="en-US"/>
        </w:rPr>
        <w:lastRenderedPageBreak/>
        <w:t xml:space="preserve">Harding, K.C. Härkönen, T. and H. Caswell 2002. </w:t>
      </w:r>
      <w:r w:rsidRPr="006C0695">
        <w:rPr>
          <w:rStyle w:val="Normal1"/>
          <w:lang w:val="en-US"/>
        </w:rPr>
        <w:t xml:space="preserve">The 2002 European seal plague: epidemiology and population consequences. </w:t>
      </w:r>
      <w:r w:rsidRPr="00992A90">
        <w:rPr>
          <w:rStyle w:val="Normal1"/>
          <w:lang w:val="en-GB"/>
        </w:rPr>
        <w:t>Ecology Letters, 5: 727-732.</w:t>
      </w:r>
    </w:p>
    <w:p w14:paraId="036564C9" w14:textId="77777777" w:rsidR="00992A90" w:rsidRPr="006C0695" w:rsidRDefault="00992A90" w:rsidP="00992A90">
      <w:pPr>
        <w:rPr>
          <w:rStyle w:val="Normal1"/>
          <w:lang w:val="en-US"/>
        </w:rPr>
      </w:pPr>
      <w:r w:rsidRPr="006C0695">
        <w:rPr>
          <w:rStyle w:val="Normal1"/>
          <w:lang w:val="en-US"/>
        </w:rPr>
        <w:t>Harkonen, T. and Isakson, E. 2011. Historical and current status of harbour seals in the Baltic proper. NAMMCO Sci. Publ. 8: 71-76.</w:t>
      </w:r>
    </w:p>
    <w:p w14:paraId="27E8F247" w14:textId="447DE67A" w:rsidR="00C266C0" w:rsidRPr="00225849" w:rsidRDefault="00C266C0" w:rsidP="007C6A94">
      <w:pPr>
        <w:pStyle w:val="Brdtext"/>
        <w:rPr>
          <w:rStyle w:val="Normal1"/>
          <w:rFonts w:ascii="Times New Roman" w:eastAsia="Times New Roman" w:hAnsi="Times New Roman" w:cs="Times New Roman"/>
          <w:sz w:val="24"/>
          <w:szCs w:val="24"/>
          <w:lang w:eastAsia="sv-SE"/>
        </w:rPr>
      </w:pPr>
      <w:r w:rsidRPr="00992A90">
        <w:rPr>
          <w:rStyle w:val="Normal1"/>
          <w:rFonts w:ascii="Times New Roman" w:eastAsia="Times New Roman" w:hAnsi="Times New Roman" w:cs="Times New Roman"/>
          <w:sz w:val="24"/>
          <w:szCs w:val="24"/>
          <w:lang w:val="en-US" w:eastAsia="sv-SE"/>
        </w:rPr>
        <w:t xml:space="preserve">Harkonen, T., Bäcklin, B-M., Barrett, T., Anders Bergman, A., Corteyn, M., Dietz, R., Harding, K., Malmsten, J., Roos, A., Teilmann, T. (2008). </w:t>
      </w:r>
      <w:r w:rsidRPr="00F06B88">
        <w:rPr>
          <w:rStyle w:val="Normal1"/>
          <w:rFonts w:ascii="Times New Roman" w:eastAsia="Times New Roman" w:hAnsi="Times New Roman" w:cs="Times New Roman"/>
          <w:sz w:val="24"/>
          <w:szCs w:val="24"/>
          <w:lang w:val="en-US" w:eastAsia="sv-SE"/>
        </w:rPr>
        <w:t xml:space="preserve">Mass mortality in harbour seals and harbour porpoises caused by an unknown pathogen. </w:t>
      </w:r>
      <w:r w:rsidRPr="00225849">
        <w:rPr>
          <w:rStyle w:val="Normal1"/>
          <w:rFonts w:ascii="Times New Roman" w:eastAsia="Times New Roman" w:hAnsi="Times New Roman" w:cs="Times New Roman"/>
          <w:sz w:val="24"/>
          <w:szCs w:val="24"/>
          <w:lang w:eastAsia="sv-SE"/>
        </w:rPr>
        <w:t xml:space="preserve">The Veterinary Record, </w:t>
      </w:r>
      <w:r w:rsidRPr="00225849">
        <w:rPr>
          <w:rStyle w:val="Normal1"/>
          <w:rFonts w:eastAsia="Times New Roman"/>
          <w:sz w:val="24"/>
          <w:szCs w:val="24"/>
          <w:lang w:eastAsia="sv-SE"/>
        </w:rPr>
        <w:t>162: 555-556</w:t>
      </w:r>
      <w:r w:rsidRPr="00225849">
        <w:rPr>
          <w:rStyle w:val="Normal1"/>
          <w:rFonts w:ascii="Times New Roman" w:eastAsia="Times New Roman" w:hAnsi="Times New Roman" w:cs="Times New Roman"/>
          <w:sz w:val="24"/>
          <w:szCs w:val="24"/>
          <w:lang w:eastAsia="sv-SE"/>
        </w:rPr>
        <w:t>.</w:t>
      </w:r>
    </w:p>
    <w:p w14:paraId="2EA34936" w14:textId="77777777" w:rsidR="000C037F" w:rsidRPr="00225849" w:rsidRDefault="000C037F" w:rsidP="000C037F">
      <w:pPr>
        <w:rPr>
          <w:rStyle w:val="Normal1"/>
          <w:lang w:val="en-US"/>
        </w:rPr>
      </w:pPr>
      <w:r w:rsidRPr="00F06B88">
        <w:rPr>
          <w:rStyle w:val="Normal1"/>
          <w:lang w:val="en-US"/>
        </w:rPr>
        <w:t xml:space="preserve">Heide-Jørgensen, M.-P., T. Härkönen, R. Dietz and P. Thompson 1992. Retrospective of the 1988 European seal epizootic. </w:t>
      </w:r>
      <w:r w:rsidRPr="00225849">
        <w:rPr>
          <w:rStyle w:val="Normal1"/>
          <w:lang w:val="en-US"/>
        </w:rPr>
        <w:t>Diseases of Aquatic Organisms. 13: 37-62.</w:t>
      </w:r>
    </w:p>
    <w:p w14:paraId="20250821" w14:textId="29AFA056" w:rsidR="00992A90" w:rsidRDefault="00992A90" w:rsidP="000C037F">
      <w:pPr>
        <w:rPr>
          <w:rStyle w:val="Normal1"/>
          <w:lang w:val="en-GB"/>
        </w:rPr>
      </w:pPr>
      <w:r w:rsidRPr="00992A90">
        <w:rPr>
          <w:rStyle w:val="Normal1"/>
          <w:lang w:val="en-GB"/>
        </w:rPr>
        <w:t>HELCOM (201</w:t>
      </w:r>
      <w:r>
        <w:rPr>
          <w:rStyle w:val="Normal1"/>
          <w:lang w:val="en-GB"/>
        </w:rPr>
        <w:t>7</w:t>
      </w:r>
      <w:r w:rsidRPr="00992A90">
        <w:rPr>
          <w:rStyle w:val="Normal1"/>
          <w:lang w:val="en-GB"/>
        </w:rPr>
        <w:t xml:space="preserve">) </w:t>
      </w:r>
      <w:r>
        <w:rPr>
          <w:rStyle w:val="Normal1"/>
          <w:lang w:val="en-GB"/>
        </w:rPr>
        <w:t>Distribution</w:t>
      </w:r>
      <w:r w:rsidRPr="00992A90">
        <w:rPr>
          <w:rStyle w:val="Normal1"/>
          <w:lang w:val="en-GB"/>
        </w:rPr>
        <w:t xml:space="preserve"> of seals. HELC</w:t>
      </w:r>
      <w:r>
        <w:rPr>
          <w:rStyle w:val="Normal1"/>
          <w:lang w:val="en-GB"/>
        </w:rPr>
        <w:t>OM core indicator report.</w:t>
      </w:r>
      <w:r w:rsidRPr="00992A90">
        <w:rPr>
          <w:lang w:val="en-GB"/>
        </w:rPr>
        <w:t xml:space="preserve"> </w:t>
      </w:r>
      <w:hyperlink r:id="rId11" w:history="1">
        <w:r w:rsidRPr="001A08E0">
          <w:rPr>
            <w:rStyle w:val="Hyperlnk"/>
            <w:lang w:val="en-GB"/>
          </w:rPr>
          <w:t>http://helcom.fi/baltic-sea-trends/indicators/</w:t>
        </w:r>
      </w:hyperlink>
    </w:p>
    <w:p w14:paraId="493C7808" w14:textId="37CF20AB" w:rsidR="000C037F" w:rsidRPr="006C0695" w:rsidRDefault="000C037F" w:rsidP="000C037F">
      <w:pPr>
        <w:rPr>
          <w:rStyle w:val="Normal1"/>
          <w:lang w:val="en-US"/>
        </w:rPr>
      </w:pPr>
      <w:r w:rsidRPr="00992A90">
        <w:rPr>
          <w:rStyle w:val="Normal1"/>
          <w:lang w:val="en-GB"/>
        </w:rPr>
        <w:t xml:space="preserve">Härkönen, T. and M.-P. Heide-Jørgensen 1990. </w:t>
      </w:r>
      <w:r w:rsidRPr="006C0695">
        <w:rPr>
          <w:rStyle w:val="Normal1"/>
          <w:lang w:val="en-US"/>
        </w:rPr>
        <w:t>Short-term effects of the mass dying of harbour seals in the Kattegat-Skagerrak area during 1988. Zeitschrift für Säugetierkunde, 55: 233-238.</w:t>
      </w:r>
    </w:p>
    <w:p w14:paraId="2FD59576" w14:textId="77777777" w:rsidR="000C037F" w:rsidRPr="006C0695" w:rsidRDefault="000C037F" w:rsidP="000C037F">
      <w:pPr>
        <w:rPr>
          <w:rStyle w:val="Normal1"/>
          <w:lang w:val="en-US"/>
        </w:rPr>
      </w:pPr>
      <w:r w:rsidRPr="006C0695">
        <w:rPr>
          <w:rStyle w:val="Normal1"/>
          <w:lang w:val="en-US"/>
        </w:rPr>
        <w:t xml:space="preserve"> Härkönen, T, K.C. Harding, S. Goodman, and K. Johannesson (2005) Colonization history of the Baltic harbor seals: Integrating archaeological, behavioural and genetic data. Marine Mammal Science 21: 695-716.</w:t>
      </w:r>
    </w:p>
    <w:p w14:paraId="2FD39F71" w14:textId="77777777" w:rsidR="000C037F" w:rsidRDefault="000C037F" w:rsidP="000C037F">
      <w:pPr>
        <w:rPr>
          <w:rStyle w:val="Normal1"/>
          <w:lang w:val="en-US"/>
        </w:rPr>
      </w:pPr>
      <w:r w:rsidRPr="006C0695">
        <w:rPr>
          <w:rStyle w:val="Normal1"/>
          <w:lang w:val="en-US"/>
        </w:rPr>
        <w:t xml:space="preserve"> Härkönen, T., R. Dietz, P. Reijnders, J. Teilmann, K. Harding, A. Hall, S. Brasseur, U. Siebert, S. Goodman, P. Jepson, T. Dau Rasmussen, P. Thompson (2006). A review of the 1988 and 2002 phocine distemper virus epidemics in European harbour seals. Diseases of Aquatic Organisms, 68: 115-130.</w:t>
      </w:r>
    </w:p>
    <w:p w14:paraId="64988824" w14:textId="77777777" w:rsidR="000460BA" w:rsidRPr="000460BA" w:rsidRDefault="000460BA" w:rsidP="000460BA">
      <w:pPr>
        <w:rPr>
          <w:rStyle w:val="Normal1"/>
          <w:lang w:val="en-US"/>
        </w:rPr>
      </w:pPr>
      <w:r w:rsidRPr="000460BA">
        <w:rPr>
          <w:rStyle w:val="Normal1"/>
          <w:lang w:val="en-US"/>
        </w:rPr>
        <w:t>Härkönen, T., S. Brasseur, J. Teilmann, C. Vincent, R. Dietz, P. Reijnders, K. Abt (2007) Status of grey seals along mainland Europe, from the Baltic to France. NAMMCO Scientific Publications, 6: 57-68.</w:t>
      </w:r>
    </w:p>
    <w:p w14:paraId="243D2F64" w14:textId="77777777" w:rsidR="00663AF8" w:rsidRDefault="00663AF8" w:rsidP="00663AF8">
      <w:pPr>
        <w:spacing w:after="240"/>
        <w:rPr>
          <w:rStyle w:val="Normal1"/>
          <w:lang w:val="en-GB"/>
        </w:rPr>
      </w:pPr>
      <w:r w:rsidRPr="00992A90">
        <w:rPr>
          <w:rStyle w:val="Normal1"/>
        </w:rPr>
        <w:t xml:space="preserve">Heide-Jørgensen MP, Härkönen T. 1988. </w:t>
      </w:r>
      <w:r w:rsidRPr="00385945">
        <w:rPr>
          <w:rStyle w:val="Normal1"/>
          <w:lang w:val="en-GB"/>
        </w:rPr>
        <w:t>Rebuilding seal stocks in the Kattegat-Skagerrak. Marine Mammal Science 4:231-246.</w:t>
      </w:r>
    </w:p>
    <w:p w14:paraId="5A4FD5C2" w14:textId="45A40E86" w:rsidR="00225849" w:rsidRPr="00225849" w:rsidRDefault="00225849" w:rsidP="00663AF8">
      <w:pPr>
        <w:spacing w:after="240"/>
        <w:rPr>
          <w:rStyle w:val="Normal1"/>
        </w:rPr>
      </w:pPr>
      <w:r w:rsidRPr="00F06B88">
        <w:rPr>
          <w:rStyle w:val="Normal1"/>
          <w:lang w:val="en-US"/>
        </w:rPr>
        <w:t>Olsen, M. T., L. Wesley Andersen, R. Dietz, J. Teilmann, T. Harkonen and H. R. Siegismund 2014. 'Integrating genetic data and population viability analyses for the identification of harbour seal (</w:t>
      </w:r>
      <w:r w:rsidRPr="00F06B88">
        <w:rPr>
          <w:rStyle w:val="Normal1"/>
          <w:i/>
          <w:lang w:val="en-US"/>
        </w:rPr>
        <w:t>Phoca vitulina</w:t>
      </w:r>
      <w:r w:rsidRPr="00F06B88">
        <w:rPr>
          <w:rStyle w:val="Normal1"/>
          <w:lang w:val="en-US"/>
        </w:rPr>
        <w:t xml:space="preserve">) populations and management units. </w:t>
      </w:r>
      <w:r w:rsidRPr="00225849">
        <w:rPr>
          <w:rStyle w:val="Normal1"/>
        </w:rPr>
        <w:t>Molecular Ecology. 23: 815-831.</w:t>
      </w:r>
    </w:p>
    <w:p w14:paraId="43C869CA" w14:textId="77777777" w:rsidR="00225849" w:rsidRDefault="00225849" w:rsidP="00663AF8">
      <w:pPr>
        <w:spacing w:after="240"/>
        <w:rPr>
          <w:rStyle w:val="Normal1"/>
          <w:lang w:val="en-GB"/>
        </w:rPr>
      </w:pPr>
      <w:r w:rsidRPr="00F06B88">
        <w:rPr>
          <w:rStyle w:val="Normal1"/>
        </w:rPr>
        <w:t xml:space="preserve">Svensson, C.J., Hansson, A. Harkonen, T. Harding, K .2011. </w:t>
      </w:r>
      <w:r w:rsidRPr="00F06B88">
        <w:rPr>
          <w:rStyle w:val="Normal1"/>
          <w:lang w:val="en-US"/>
        </w:rPr>
        <w:t xml:space="preserve">Detecting density dependence in growing seal populations. </w:t>
      </w:r>
      <w:r w:rsidRPr="006C0695">
        <w:rPr>
          <w:rStyle w:val="Normal1"/>
          <w:lang w:val="en-US"/>
        </w:rPr>
        <w:t>AMBIO (2011) 40:52–59, DOI 10.1007/s13280-010-0091</w:t>
      </w:r>
    </w:p>
    <w:p w14:paraId="7A8F3CF3" w14:textId="77777777" w:rsidR="000C037F" w:rsidRPr="00225849" w:rsidRDefault="000C037F" w:rsidP="000C037F">
      <w:pPr>
        <w:rPr>
          <w:rStyle w:val="Normal1"/>
          <w:lang w:val="en-US"/>
        </w:rPr>
      </w:pPr>
      <w:r w:rsidRPr="00225849">
        <w:rPr>
          <w:rStyle w:val="Normal1"/>
          <w:lang w:val="en-GB"/>
        </w:rPr>
        <w:t xml:space="preserve">Teilmann, J., F. Riget, T. Harkonen. </w:t>
      </w:r>
      <w:r w:rsidRPr="006C0695">
        <w:rPr>
          <w:rStyle w:val="Normal1"/>
          <w:lang w:val="en-US"/>
        </w:rPr>
        <w:t xml:space="preserve">2010. Optimising survey design in Scandinavian harbour seals: Population trend as an ecological quality element. </w:t>
      </w:r>
      <w:r w:rsidRPr="00225849">
        <w:rPr>
          <w:rStyle w:val="Normal1"/>
          <w:lang w:val="en-US"/>
        </w:rPr>
        <w:t>ICES Journal of Marine Science, 67: 952–958</w:t>
      </w:r>
      <w:r w:rsidR="00225849">
        <w:rPr>
          <w:rStyle w:val="Normal1"/>
          <w:lang w:val="en-US"/>
        </w:rPr>
        <w:t>.</w:t>
      </w:r>
    </w:p>
    <w:p w14:paraId="64223CEC" w14:textId="77777777" w:rsidR="00225849" w:rsidRPr="00225849" w:rsidRDefault="00225849" w:rsidP="000C037F">
      <w:pPr>
        <w:rPr>
          <w:rStyle w:val="Normal1"/>
          <w:lang w:val="en-GB"/>
        </w:rPr>
      </w:pPr>
      <w:r w:rsidRPr="00225849">
        <w:rPr>
          <w:rStyle w:val="Normal1"/>
          <w:lang w:val="en-US"/>
        </w:rPr>
        <w:t xml:space="preserve">Zohari S, Neimanis A, Härkönen T, Moraeus C, Valarcher JF. </w:t>
      </w:r>
      <w:r w:rsidRPr="00F06B88">
        <w:rPr>
          <w:rStyle w:val="Normal1"/>
          <w:lang w:val="en-US"/>
        </w:rPr>
        <w:t>Avian influenza A(H10N7) virus involvement in mass mortality of harbour seals (</w:t>
      </w:r>
      <w:r w:rsidRPr="00F06B88">
        <w:rPr>
          <w:rStyle w:val="Normal1"/>
          <w:i/>
          <w:lang w:val="en-US"/>
        </w:rPr>
        <w:t>Phoca vitulina</w:t>
      </w:r>
      <w:r w:rsidRPr="00F06B88">
        <w:rPr>
          <w:rStyle w:val="Normal1"/>
          <w:lang w:val="en-US"/>
        </w:rPr>
        <w:t xml:space="preserve">) in Sweden, March through October 2014. </w:t>
      </w:r>
      <w:r w:rsidRPr="006C0695">
        <w:rPr>
          <w:rStyle w:val="Normal1"/>
          <w:lang w:val="en-US"/>
        </w:rPr>
        <w:t xml:space="preserve">Euro Surveill. 2014;19(46):pii=20967. Available online: </w:t>
      </w:r>
      <w:hyperlink r:id="rId12" w:history="1">
        <w:r w:rsidRPr="006C0695">
          <w:rPr>
            <w:rStyle w:val="Normal1"/>
            <w:lang w:val="en-US"/>
          </w:rPr>
          <w:t>http://www.eurosurveillance.org/ViewArticle.aspx?ArticleId=20967</w:t>
        </w:r>
      </w:hyperlink>
    </w:p>
    <w:p w14:paraId="4F5994EA" w14:textId="5F74B5A9" w:rsidR="00663AF8" w:rsidRPr="00225849" w:rsidRDefault="00663AF8" w:rsidP="007C6A94">
      <w:pPr>
        <w:pStyle w:val="Brdtext"/>
        <w:rPr>
          <w:lang w:val="en-US"/>
        </w:rPr>
      </w:pPr>
      <w:bookmarkStart w:id="0" w:name="_GoBack"/>
      <w:bookmarkEnd w:id="0"/>
    </w:p>
    <w:sectPr w:rsidR="00663AF8" w:rsidRPr="0022584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2A07" w14:textId="77777777" w:rsidR="009F0497" w:rsidRDefault="009F0497" w:rsidP="00D846CA">
      <w:r>
        <w:separator/>
      </w:r>
    </w:p>
  </w:endnote>
  <w:endnote w:type="continuationSeparator" w:id="0">
    <w:p w14:paraId="1A833A04" w14:textId="77777777" w:rsidR="009F0497" w:rsidRDefault="009F0497" w:rsidP="00D8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74715"/>
      <w:docPartObj>
        <w:docPartGallery w:val="Page Numbers (Bottom of Page)"/>
        <w:docPartUnique/>
      </w:docPartObj>
    </w:sdtPr>
    <w:sdtEndPr/>
    <w:sdtContent>
      <w:p w14:paraId="6F7F2C0A" w14:textId="0A51E9C4" w:rsidR="00E217FD" w:rsidRDefault="00E217FD">
        <w:pPr>
          <w:pStyle w:val="Sidfot"/>
          <w:jc w:val="right"/>
        </w:pPr>
        <w:r w:rsidRPr="00D403D0">
          <w:rPr>
            <w:sz w:val="18"/>
            <w:szCs w:val="18"/>
          </w:rPr>
          <w:fldChar w:fldCharType="begin"/>
        </w:r>
        <w:r w:rsidRPr="00D403D0">
          <w:rPr>
            <w:sz w:val="18"/>
            <w:szCs w:val="18"/>
          </w:rPr>
          <w:instrText>PAGE   \* MERGEFORMAT</w:instrText>
        </w:r>
        <w:r w:rsidRPr="00D403D0">
          <w:rPr>
            <w:sz w:val="18"/>
            <w:szCs w:val="18"/>
          </w:rPr>
          <w:fldChar w:fldCharType="separate"/>
        </w:r>
        <w:r w:rsidR="003D5255">
          <w:rPr>
            <w:sz w:val="18"/>
            <w:szCs w:val="18"/>
          </w:rPr>
          <w:t>11</w:t>
        </w:r>
        <w:r w:rsidRPr="00D403D0">
          <w:rPr>
            <w:sz w:val="18"/>
            <w:szCs w:val="18"/>
          </w:rPr>
          <w:fldChar w:fldCharType="end"/>
        </w:r>
      </w:p>
    </w:sdtContent>
  </w:sdt>
  <w:p w14:paraId="7CC9705E" w14:textId="77777777" w:rsidR="00E217FD" w:rsidRPr="00356C54" w:rsidRDefault="00E217FD" w:rsidP="00356C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5782A" w14:textId="77777777" w:rsidR="009F0497" w:rsidRDefault="009F0497" w:rsidP="00D846CA">
      <w:r>
        <w:separator/>
      </w:r>
    </w:p>
  </w:footnote>
  <w:footnote w:type="continuationSeparator" w:id="0">
    <w:p w14:paraId="068E1686" w14:textId="77777777" w:rsidR="009F0497" w:rsidRDefault="009F0497" w:rsidP="00D8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8D70" w14:textId="77777777" w:rsidR="00E217FD" w:rsidRDefault="00E217FD">
    <w:pPr>
      <w:pStyle w:val="Sidhuvud"/>
    </w:pPr>
    <w:bookmarkStart w:id="1" w:name="bmLogga"/>
    <w:r>
      <w:rPr>
        <w:lang w:eastAsia="sv-SE"/>
      </w:rPr>
      <w:drawing>
        <wp:inline distT="0" distB="0" distL="0" distR="0" wp14:anchorId="2C319B69" wp14:editId="0623D541">
          <wp:extent cx="1443231" cy="583693"/>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V_SvFa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231" cy="583693"/>
                  </a:xfrm>
                  <a:prstGeom prst="rect">
                    <a:avLst/>
                  </a:prstGeom>
                </pic:spPr>
              </pic:pic>
            </a:graphicData>
          </a:graphic>
        </wp:inline>
      </w:drawing>
    </w:r>
    <w:bookmarkEnd w:id="1"/>
  </w:p>
  <w:p w14:paraId="3485FA40" w14:textId="77777777" w:rsidR="00E217FD" w:rsidRPr="005A4563" w:rsidRDefault="00E217FD" w:rsidP="005A456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4057F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A68E152"/>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A481705"/>
    <w:multiLevelType w:val="hybridMultilevel"/>
    <w:tmpl w:val="0994F0D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8D43DA"/>
    <w:multiLevelType w:val="hybridMultilevel"/>
    <w:tmpl w:val="900480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AE019B"/>
    <w:multiLevelType w:val="hybridMultilevel"/>
    <w:tmpl w:val="9780B50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5" w15:restartNumberingAfterBreak="0">
    <w:nsid w:val="260374B6"/>
    <w:multiLevelType w:val="hybridMultilevel"/>
    <w:tmpl w:val="02361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30B8D"/>
    <w:multiLevelType w:val="hybridMultilevel"/>
    <w:tmpl w:val="AD669C0C"/>
    <w:lvl w:ilvl="0" w:tplc="041D000F">
      <w:start w:val="1"/>
      <w:numFmt w:val="decimal"/>
      <w:lvlText w:val="%1."/>
      <w:lvlJc w:val="left"/>
      <w:pPr>
        <w:ind w:left="810" w:hanging="360"/>
      </w:pPr>
    </w:lvl>
    <w:lvl w:ilvl="1" w:tplc="041D0019">
      <w:start w:val="1"/>
      <w:numFmt w:val="lowerLetter"/>
      <w:lvlText w:val="%2."/>
      <w:lvlJc w:val="left"/>
      <w:pPr>
        <w:ind w:left="1530" w:hanging="360"/>
      </w:pPr>
    </w:lvl>
    <w:lvl w:ilvl="2" w:tplc="041D001B">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7" w15:restartNumberingAfterBreak="0">
    <w:nsid w:val="2A617EA7"/>
    <w:multiLevelType w:val="hybridMultilevel"/>
    <w:tmpl w:val="1F3A6FF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AAC3A51"/>
    <w:multiLevelType w:val="hybridMultilevel"/>
    <w:tmpl w:val="4D148D9E"/>
    <w:lvl w:ilvl="0" w:tplc="CABC420C">
      <w:start w:val="2"/>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C7536D3"/>
    <w:multiLevelType w:val="hybridMultilevel"/>
    <w:tmpl w:val="534A9A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E0F030C"/>
    <w:multiLevelType w:val="hybridMultilevel"/>
    <w:tmpl w:val="E5E41442"/>
    <w:lvl w:ilvl="0" w:tplc="B10A3E20">
      <w:start w:val="1"/>
      <w:numFmt w:val="bullet"/>
      <w:pStyle w:val="Lista-Punkter"/>
      <w:lvlText w:val=""/>
      <w:lvlJc w:val="left"/>
      <w:pPr>
        <w:tabs>
          <w:tab w:val="num" w:pos="360"/>
        </w:tabs>
        <w:ind w:left="360" w:hanging="360"/>
      </w:pPr>
      <w:rPr>
        <w:rFonts w:ascii="Symbol" w:hAnsi="Symbol" w:hint="default"/>
        <w:color w:val="80808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F7711"/>
    <w:multiLevelType w:val="hybridMultilevel"/>
    <w:tmpl w:val="2304D5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647421B"/>
    <w:multiLevelType w:val="hybridMultilevel"/>
    <w:tmpl w:val="E0EA3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665A29"/>
    <w:multiLevelType w:val="hybridMultilevel"/>
    <w:tmpl w:val="A90A8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8432B5"/>
    <w:multiLevelType w:val="hybridMultilevel"/>
    <w:tmpl w:val="FB84B268"/>
    <w:lvl w:ilvl="0" w:tplc="024ED43E">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BF7E4E"/>
    <w:multiLevelType w:val="hybridMultilevel"/>
    <w:tmpl w:val="B41C19F0"/>
    <w:lvl w:ilvl="0" w:tplc="AE1034CA">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D5376ED"/>
    <w:multiLevelType w:val="hybridMultilevel"/>
    <w:tmpl w:val="5390200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5D73414D"/>
    <w:multiLevelType w:val="multilevel"/>
    <w:tmpl w:val="D4B0EFF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5E720D13"/>
    <w:multiLevelType w:val="hybridMultilevel"/>
    <w:tmpl w:val="83EEEA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E822EE"/>
    <w:multiLevelType w:val="hybridMultilevel"/>
    <w:tmpl w:val="5B820840"/>
    <w:lvl w:ilvl="0" w:tplc="041D0001">
      <w:start w:val="1"/>
      <w:numFmt w:val="bullet"/>
      <w:lvlText w:val=""/>
      <w:lvlJc w:val="left"/>
      <w:pPr>
        <w:tabs>
          <w:tab w:val="num" w:pos="644"/>
        </w:tabs>
        <w:ind w:left="644" w:hanging="360"/>
      </w:pPr>
      <w:rPr>
        <w:rFonts w:ascii="Symbol" w:hAnsi="Symbol" w:hint="default"/>
      </w:rPr>
    </w:lvl>
    <w:lvl w:ilvl="1" w:tplc="041D0003" w:tentative="1">
      <w:start w:val="1"/>
      <w:numFmt w:val="bullet"/>
      <w:lvlText w:val="o"/>
      <w:lvlJc w:val="left"/>
      <w:pPr>
        <w:tabs>
          <w:tab w:val="num" w:pos="1364"/>
        </w:tabs>
        <w:ind w:left="1364" w:hanging="360"/>
      </w:pPr>
      <w:rPr>
        <w:rFonts w:ascii="Courier New" w:hAnsi="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0"/>
  </w:num>
  <w:num w:numId="8">
    <w:abstractNumId w:val="1"/>
  </w:num>
  <w:num w:numId="9">
    <w:abstractNumId w:val="0"/>
  </w:num>
  <w:num w:numId="10">
    <w:abstractNumId w:val="1"/>
  </w:num>
  <w:num w:numId="11">
    <w:abstractNumId w:val="0"/>
  </w:num>
  <w:num w:numId="12">
    <w:abstractNumId w:val="9"/>
  </w:num>
  <w:num w:numId="13">
    <w:abstractNumId w:val="16"/>
  </w:num>
  <w:num w:numId="14">
    <w:abstractNumId w:val="2"/>
  </w:num>
  <w:num w:numId="15">
    <w:abstractNumId w:val="17"/>
  </w:num>
  <w:num w:numId="16">
    <w:abstractNumId w:val="4"/>
  </w:num>
  <w:num w:numId="17">
    <w:abstractNumId w:val="3"/>
  </w:num>
  <w:num w:numId="18">
    <w:abstractNumId w:val="19"/>
  </w:num>
  <w:num w:numId="19">
    <w:abstractNumId w:val="18"/>
  </w:num>
  <w:num w:numId="20">
    <w:abstractNumId w:val="12"/>
  </w:num>
  <w:num w:numId="21">
    <w:abstractNumId w:val="6"/>
  </w:num>
  <w:num w:numId="22">
    <w:abstractNumId w:val="10"/>
  </w:num>
  <w:num w:numId="23">
    <w:abstractNumId w:val="11"/>
  </w:num>
  <w:num w:numId="24">
    <w:abstractNumId w:val="5"/>
  </w:num>
  <w:num w:numId="25">
    <w:abstractNumId w:val="13"/>
  </w:num>
  <w:num w:numId="26">
    <w:abstractNumId w:val="7"/>
  </w:num>
  <w:num w:numId="27">
    <w:abstractNumId w:val="15"/>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63"/>
    <w:rsid w:val="00001350"/>
    <w:rsid w:val="00013EF4"/>
    <w:rsid w:val="00017F8E"/>
    <w:rsid w:val="0002517E"/>
    <w:rsid w:val="000373D5"/>
    <w:rsid w:val="00044880"/>
    <w:rsid w:val="00045426"/>
    <w:rsid w:val="000460BA"/>
    <w:rsid w:val="0004660D"/>
    <w:rsid w:val="000537AF"/>
    <w:rsid w:val="0008257F"/>
    <w:rsid w:val="0008484B"/>
    <w:rsid w:val="0009349B"/>
    <w:rsid w:val="00096F5B"/>
    <w:rsid w:val="000B2C75"/>
    <w:rsid w:val="000C037F"/>
    <w:rsid w:val="0011411D"/>
    <w:rsid w:val="001319EF"/>
    <w:rsid w:val="00134617"/>
    <w:rsid w:val="00151EF7"/>
    <w:rsid w:val="00170F06"/>
    <w:rsid w:val="00173BE8"/>
    <w:rsid w:val="001741FB"/>
    <w:rsid w:val="001825A8"/>
    <w:rsid w:val="00192AF0"/>
    <w:rsid w:val="001A460F"/>
    <w:rsid w:val="001B300A"/>
    <w:rsid w:val="001B602A"/>
    <w:rsid w:val="001B6F45"/>
    <w:rsid w:val="001C2CEC"/>
    <w:rsid w:val="001C677F"/>
    <w:rsid w:val="001E6610"/>
    <w:rsid w:val="002047A7"/>
    <w:rsid w:val="002110E2"/>
    <w:rsid w:val="00215646"/>
    <w:rsid w:val="002217FF"/>
    <w:rsid w:val="002231C8"/>
    <w:rsid w:val="00225849"/>
    <w:rsid w:val="0022674F"/>
    <w:rsid w:val="00261373"/>
    <w:rsid w:val="00266B3C"/>
    <w:rsid w:val="0028242D"/>
    <w:rsid w:val="00282D3D"/>
    <w:rsid w:val="002A1915"/>
    <w:rsid w:val="002A24A2"/>
    <w:rsid w:val="002A75E8"/>
    <w:rsid w:val="002B2182"/>
    <w:rsid w:val="002D14B3"/>
    <w:rsid w:val="002E4B55"/>
    <w:rsid w:val="002E7F02"/>
    <w:rsid w:val="002F35E1"/>
    <w:rsid w:val="0030626F"/>
    <w:rsid w:val="0034175C"/>
    <w:rsid w:val="00344003"/>
    <w:rsid w:val="003523FF"/>
    <w:rsid w:val="00353866"/>
    <w:rsid w:val="00354126"/>
    <w:rsid w:val="00356C54"/>
    <w:rsid w:val="00373939"/>
    <w:rsid w:val="00393373"/>
    <w:rsid w:val="00397D26"/>
    <w:rsid w:val="003B4CD1"/>
    <w:rsid w:val="003B718B"/>
    <w:rsid w:val="003C1776"/>
    <w:rsid w:val="003C4075"/>
    <w:rsid w:val="003D5255"/>
    <w:rsid w:val="003D70BF"/>
    <w:rsid w:val="003F4193"/>
    <w:rsid w:val="00414CE6"/>
    <w:rsid w:val="00427C7F"/>
    <w:rsid w:val="00436DC2"/>
    <w:rsid w:val="00450228"/>
    <w:rsid w:val="0045136E"/>
    <w:rsid w:val="004705C4"/>
    <w:rsid w:val="00472353"/>
    <w:rsid w:val="00473D1A"/>
    <w:rsid w:val="00475B09"/>
    <w:rsid w:val="00477D2E"/>
    <w:rsid w:val="004823C7"/>
    <w:rsid w:val="004921C2"/>
    <w:rsid w:val="00494C42"/>
    <w:rsid w:val="004A3C30"/>
    <w:rsid w:val="004B7657"/>
    <w:rsid w:val="004D0270"/>
    <w:rsid w:val="004E35C5"/>
    <w:rsid w:val="00504259"/>
    <w:rsid w:val="00507177"/>
    <w:rsid w:val="005201F8"/>
    <w:rsid w:val="005215C9"/>
    <w:rsid w:val="00533574"/>
    <w:rsid w:val="00544886"/>
    <w:rsid w:val="00546A93"/>
    <w:rsid w:val="00565E25"/>
    <w:rsid w:val="0057175A"/>
    <w:rsid w:val="005A4400"/>
    <w:rsid w:val="005A4563"/>
    <w:rsid w:val="005B126E"/>
    <w:rsid w:val="005B76FC"/>
    <w:rsid w:val="005B7929"/>
    <w:rsid w:val="005C417C"/>
    <w:rsid w:val="005C5024"/>
    <w:rsid w:val="005C6985"/>
    <w:rsid w:val="005D09D2"/>
    <w:rsid w:val="005D132C"/>
    <w:rsid w:val="005D439F"/>
    <w:rsid w:val="006024F8"/>
    <w:rsid w:val="00610375"/>
    <w:rsid w:val="006122F7"/>
    <w:rsid w:val="00616EF0"/>
    <w:rsid w:val="0062144B"/>
    <w:rsid w:val="00663AF8"/>
    <w:rsid w:val="00665204"/>
    <w:rsid w:val="00674465"/>
    <w:rsid w:val="0067660D"/>
    <w:rsid w:val="00677F04"/>
    <w:rsid w:val="00680367"/>
    <w:rsid w:val="006902FA"/>
    <w:rsid w:val="006944D5"/>
    <w:rsid w:val="006A1C72"/>
    <w:rsid w:val="006B793D"/>
    <w:rsid w:val="006C0695"/>
    <w:rsid w:val="006E3BFE"/>
    <w:rsid w:val="006E53FF"/>
    <w:rsid w:val="006F648D"/>
    <w:rsid w:val="0070387B"/>
    <w:rsid w:val="00744D37"/>
    <w:rsid w:val="0074555C"/>
    <w:rsid w:val="00754000"/>
    <w:rsid w:val="007605D9"/>
    <w:rsid w:val="007620E9"/>
    <w:rsid w:val="0076326F"/>
    <w:rsid w:val="00764336"/>
    <w:rsid w:val="00773B4E"/>
    <w:rsid w:val="00785BB5"/>
    <w:rsid w:val="00786BCD"/>
    <w:rsid w:val="007959F1"/>
    <w:rsid w:val="00796C21"/>
    <w:rsid w:val="00796DF8"/>
    <w:rsid w:val="007A0C77"/>
    <w:rsid w:val="007A1EFA"/>
    <w:rsid w:val="007A39EC"/>
    <w:rsid w:val="007A4DC2"/>
    <w:rsid w:val="007C0D98"/>
    <w:rsid w:val="007C6A94"/>
    <w:rsid w:val="007C7C4A"/>
    <w:rsid w:val="007D09B8"/>
    <w:rsid w:val="007D0B24"/>
    <w:rsid w:val="007E2CB3"/>
    <w:rsid w:val="007F08AC"/>
    <w:rsid w:val="007F6F2B"/>
    <w:rsid w:val="00803A42"/>
    <w:rsid w:val="00804043"/>
    <w:rsid w:val="00804DBE"/>
    <w:rsid w:val="00831FA3"/>
    <w:rsid w:val="0083775B"/>
    <w:rsid w:val="00871A86"/>
    <w:rsid w:val="00871A93"/>
    <w:rsid w:val="00871B13"/>
    <w:rsid w:val="00880E4E"/>
    <w:rsid w:val="00884E7A"/>
    <w:rsid w:val="00884FCF"/>
    <w:rsid w:val="008879D8"/>
    <w:rsid w:val="008A483A"/>
    <w:rsid w:val="008B1796"/>
    <w:rsid w:val="008B5020"/>
    <w:rsid w:val="008C3A39"/>
    <w:rsid w:val="008C4950"/>
    <w:rsid w:val="008D1CB2"/>
    <w:rsid w:val="008D4006"/>
    <w:rsid w:val="008E5350"/>
    <w:rsid w:val="008E759E"/>
    <w:rsid w:val="009030C6"/>
    <w:rsid w:val="00914394"/>
    <w:rsid w:val="009173DF"/>
    <w:rsid w:val="00931192"/>
    <w:rsid w:val="009344CC"/>
    <w:rsid w:val="00936E12"/>
    <w:rsid w:val="00937FFE"/>
    <w:rsid w:val="0094035B"/>
    <w:rsid w:val="0094143D"/>
    <w:rsid w:val="009510BE"/>
    <w:rsid w:val="00962748"/>
    <w:rsid w:val="00963995"/>
    <w:rsid w:val="00966E18"/>
    <w:rsid w:val="009737DB"/>
    <w:rsid w:val="00976CD1"/>
    <w:rsid w:val="00983754"/>
    <w:rsid w:val="00992A90"/>
    <w:rsid w:val="0099593C"/>
    <w:rsid w:val="009A768D"/>
    <w:rsid w:val="009B4BAE"/>
    <w:rsid w:val="009C1873"/>
    <w:rsid w:val="009D5271"/>
    <w:rsid w:val="009E1C01"/>
    <w:rsid w:val="009E23BB"/>
    <w:rsid w:val="009E6EFE"/>
    <w:rsid w:val="009F0497"/>
    <w:rsid w:val="009F467A"/>
    <w:rsid w:val="00A03643"/>
    <w:rsid w:val="00A126B2"/>
    <w:rsid w:val="00A1284B"/>
    <w:rsid w:val="00A14805"/>
    <w:rsid w:val="00A410B2"/>
    <w:rsid w:val="00A755D7"/>
    <w:rsid w:val="00A82AAC"/>
    <w:rsid w:val="00A84F48"/>
    <w:rsid w:val="00A86055"/>
    <w:rsid w:val="00AA0079"/>
    <w:rsid w:val="00AA30A2"/>
    <w:rsid w:val="00AA46B6"/>
    <w:rsid w:val="00AC2496"/>
    <w:rsid w:val="00AC2815"/>
    <w:rsid w:val="00AC3B7F"/>
    <w:rsid w:val="00AC5CB9"/>
    <w:rsid w:val="00AE1B1D"/>
    <w:rsid w:val="00B0348F"/>
    <w:rsid w:val="00B13809"/>
    <w:rsid w:val="00B22B22"/>
    <w:rsid w:val="00B27926"/>
    <w:rsid w:val="00B41CBA"/>
    <w:rsid w:val="00B45879"/>
    <w:rsid w:val="00B54F8E"/>
    <w:rsid w:val="00B63A59"/>
    <w:rsid w:val="00B7632E"/>
    <w:rsid w:val="00B83C7B"/>
    <w:rsid w:val="00B85694"/>
    <w:rsid w:val="00B94615"/>
    <w:rsid w:val="00B94E43"/>
    <w:rsid w:val="00B966B8"/>
    <w:rsid w:val="00BC1B8A"/>
    <w:rsid w:val="00BC3F7B"/>
    <w:rsid w:val="00BC4AC5"/>
    <w:rsid w:val="00BC5D3C"/>
    <w:rsid w:val="00BC6F9E"/>
    <w:rsid w:val="00BE3240"/>
    <w:rsid w:val="00C00D60"/>
    <w:rsid w:val="00C075F4"/>
    <w:rsid w:val="00C14A5C"/>
    <w:rsid w:val="00C266C0"/>
    <w:rsid w:val="00C336D1"/>
    <w:rsid w:val="00C35FDA"/>
    <w:rsid w:val="00C368A7"/>
    <w:rsid w:val="00C412F0"/>
    <w:rsid w:val="00C44103"/>
    <w:rsid w:val="00C5124C"/>
    <w:rsid w:val="00C65497"/>
    <w:rsid w:val="00C76A0C"/>
    <w:rsid w:val="00C76BC1"/>
    <w:rsid w:val="00C8208C"/>
    <w:rsid w:val="00C92DEA"/>
    <w:rsid w:val="00CA526E"/>
    <w:rsid w:val="00CA7B54"/>
    <w:rsid w:val="00CB04DA"/>
    <w:rsid w:val="00CB57D2"/>
    <w:rsid w:val="00CB6DA4"/>
    <w:rsid w:val="00CD0774"/>
    <w:rsid w:val="00CE44D5"/>
    <w:rsid w:val="00CE6559"/>
    <w:rsid w:val="00CE71D2"/>
    <w:rsid w:val="00CF2AEF"/>
    <w:rsid w:val="00CF363B"/>
    <w:rsid w:val="00CF517E"/>
    <w:rsid w:val="00CF63E2"/>
    <w:rsid w:val="00CF6615"/>
    <w:rsid w:val="00D00924"/>
    <w:rsid w:val="00D0220B"/>
    <w:rsid w:val="00D05BBE"/>
    <w:rsid w:val="00D07703"/>
    <w:rsid w:val="00D110E3"/>
    <w:rsid w:val="00D15472"/>
    <w:rsid w:val="00D403D0"/>
    <w:rsid w:val="00D44830"/>
    <w:rsid w:val="00D607A5"/>
    <w:rsid w:val="00D60C47"/>
    <w:rsid w:val="00D80C15"/>
    <w:rsid w:val="00D846CA"/>
    <w:rsid w:val="00D93087"/>
    <w:rsid w:val="00DA66D1"/>
    <w:rsid w:val="00DB2CB5"/>
    <w:rsid w:val="00DB34D6"/>
    <w:rsid w:val="00DB5432"/>
    <w:rsid w:val="00DD2099"/>
    <w:rsid w:val="00DD2762"/>
    <w:rsid w:val="00DD76C2"/>
    <w:rsid w:val="00DE67DC"/>
    <w:rsid w:val="00DF56BE"/>
    <w:rsid w:val="00DF5C27"/>
    <w:rsid w:val="00E05C07"/>
    <w:rsid w:val="00E13817"/>
    <w:rsid w:val="00E217FD"/>
    <w:rsid w:val="00E233A0"/>
    <w:rsid w:val="00E2662C"/>
    <w:rsid w:val="00E34D20"/>
    <w:rsid w:val="00E369ED"/>
    <w:rsid w:val="00E373B3"/>
    <w:rsid w:val="00E3746D"/>
    <w:rsid w:val="00E44C14"/>
    <w:rsid w:val="00EA4CE3"/>
    <w:rsid w:val="00EC352B"/>
    <w:rsid w:val="00ED7AF4"/>
    <w:rsid w:val="00EF0761"/>
    <w:rsid w:val="00EF2BC0"/>
    <w:rsid w:val="00F0270F"/>
    <w:rsid w:val="00F02DA4"/>
    <w:rsid w:val="00F0386D"/>
    <w:rsid w:val="00F06B88"/>
    <w:rsid w:val="00F10452"/>
    <w:rsid w:val="00F159CF"/>
    <w:rsid w:val="00F161CF"/>
    <w:rsid w:val="00F21AC7"/>
    <w:rsid w:val="00F23544"/>
    <w:rsid w:val="00F265B9"/>
    <w:rsid w:val="00F32D1C"/>
    <w:rsid w:val="00F33717"/>
    <w:rsid w:val="00F43063"/>
    <w:rsid w:val="00F45946"/>
    <w:rsid w:val="00F45A1B"/>
    <w:rsid w:val="00F525BE"/>
    <w:rsid w:val="00F61D18"/>
    <w:rsid w:val="00F87720"/>
    <w:rsid w:val="00F87DD4"/>
    <w:rsid w:val="00F93C0F"/>
    <w:rsid w:val="00FB0ADA"/>
    <w:rsid w:val="00FC5460"/>
    <w:rsid w:val="00FD537A"/>
    <w:rsid w:val="00FD5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42A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uiPriority="5"/>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5"/>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2"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uiPriority="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563"/>
    <w:pPr>
      <w:tabs>
        <w:tab w:val="left" w:pos="5041"/>
      </w:tabs>
      <w:spacing w:after="120"/>
    </w:pPr>
    <w:rPr>
      <w:rFonts w:ascii="Times New Roman" w:eastAsia="Times New Roman" w:hAnsi="Times New Roman" w:cs="Times New Roman"/>
      <w:sz w:val="24"/>
      <w:szCs w:val="24"/>
      <w:lang w:eastAsia="sv-SE"/>
    </w:rPr>
  </w:style>
  <w:style w:type="paragraph" w:styleId="Rubrik1">
    <w:name w:val="heading 1"/>
    <w:next w:val="Brdtext"/>
    <w:link w:val="Rubrik1Char"/>
    <w:uiPriority w:val="9"/>
    <w:qFormat/>
    <w:rsid w:val="00D110E3"/>
    <w:pPr>
      <w:keepNext/>
      <w:keepLines/>
      <w:spacing w:after="120" w:line="520" w:lineRule="atLeast"/>
      <w:outlineLvl w:val="0"/>
    </w:pPr>
    <w:rPr>
      <w:rFonts w:ascii="Arial" w:eastAsiaTheme="majorEastAsia" w:hAnsi="Arial" w:cstheme="majorBidi"/>
      <w:b/>
      <w:bCs/>
      <w:sz w:val="36"/>
      <w:szCs w:val="28"/>
    </w:rPr>
  </w:style>
  <w:style w:type="paragraph" w:styleId="Rubrik2">
    <w:name w:val="heading 2"/>
    <w:next w:val="Brdtext"/>
    <w:link w:val="Rubrik2Char"/>
    <w:uiPriority w:val="9"/>
    <w:qFormat/>
    <w:rsid w:val="00D110E3"/>
    <w:pPr>
      <w:keepNext/>
      <w:keepLines/>
      <w:spacing w:before="360" w:after="80" w:line="340" w:lineRule="atLeast"/>
      <w:outlineLvl w:val="1"/>
    </w:pPr>
    <w:rPr>
      <w:rFonts w:ascii="Arial" w:eastAsiaTheme="majorEastAsia" w:hAnsi="Arial" w:cstheme="majorBidi"/>
      <w:b/>
      <w:bCs/>
      <w:sz w:val="28"/>
      <w:szCs w:val="26"/>
    </w:rPr>
  </w:style>
  <w:style w:type="paragraph" w:styleId="Rubrik3">
    <w:name w:val="heading 3"/>
    <w:next w:val="Brdtext"/>
    <w:link w:val="Rubrik3Char"/>
    <w:uiPriority w:val="1"/>
    <w:qFormat/>
    <w:rsid w:val="00D110E3"/>
    <w:pPr>
      <w:keepNext/>
      <w:keepLines/>
      <w:spacing w:before="240" w:after="80" w:line="280" w:lineRule="atLeast"/>
      <w:outlineLvl w:val="2"/>
    </w:pPr>
    <w:rPr>
      <w:rFonts w:ascii="Arial" w:eastAsiaTheme="majorEastAsia" w:hAnsi="Arial" w:cstheme="majorBidi"/>
      <w:b/>
      <w:bCs/>
    </w:rPr>
  </w:style>
  <w:style w:type="paragraph" w:styleId="Rubrik4">
    <w:name w:val="heading 4"/>
    <w:basedOn w:val="Normal"/>
    <w:next w:val="Normal"/>
    <w:link w:val="Rubrik4Char"/>
    <w:uiPriority w:val="1"/>
    <w:rsid w:val="00D110E3"/>
    <w:pPr>
      <w:keepNext/>
      <w:keepLines/>
      <w:spacing w:before="200" w:after="80" w:line="280" w:lineRule="atLeast"/>
      <w:outlineLvl w:val="3"/>
    </w:pPr>
    <w:rPr>
      <w:rFonts w:eastAsiaTheme="majorEastAsia" w:cstheme="majorBidi"/>
      <w:bCs/>
      <w:i/>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uiPriority w:val="2"/>
    <w:qFormat/>
    <w:rsid w:val="00D110E3"/>
    <w:pPr>
      <w:spacing w:after="120" w:line="280" w:lineRule="atLeast"/>
    </w:pPr>
    <w:rPr>
      <w:rFonts w:ascii="Georgia" w:hAnsi="Georgia"/>
    </w:rPr>
  </w:style>
  <w:style w:type="character" w:customStyle="1" w:styleId="BrdtextChar">
    <w:name w:val="Brödtext Char"/>
    <w:basedOn w:val="Standardstycketeckensnitt"/>
    <w:link w:val="Brdtext"/>
    <w:uiPriority w:val="2"/>
    <w:rsid w:val="00D110E3"/>
    <w:rPr>
      <w:rFonts w:ascii="Georgia" w:hAnsi="Georgia"/>
    </w:rPr>
  </w:style>
  <w:style w:type="character" w:customStyle="1" w:styleId="Rubrik1Char">
    <w:name w:val="Rubrik 1 Char"/>
    <w:basedOn w:val="Standardstycketeckensnitt"/>
    <w:link w:val="Rubrik1"/>
    <w:uiPriority w:val="9"/>
    <w:rsid w:val="00D110E3"/>
    <w:rPr>
      <w:rFonts w:ascii="Arial" w:eastAsiaTheme="majorEastAsia" w:hAnsi="Arial" w:cstheme="majorBidi"/>
      <w:b/>
      <w:bCs/>
      <w:sz w:val="36"/>
      <w:szCs w:val="28"/>
    </w:rPr>
  </w:style>
  <w:style w:type="character" w:customStyle="1" w:styleId="Rubrik2Char">
    <w:name w:val="Rubrik 2 Char"/>
    <w:basedOn w:val="Standardstycketeckensnitt"/>
    <w:link w:val="Rubrik2"/>
    <w:uiPriority w:val="9"/>
    <w:rsid w:val="00D110E3"/>
    <w:rPr>
      <w:rFonts w:ascii="Arial" w:eastAsiaTheme="majorEastAsia" w:hAnsi="Arial" w:cstheme="majorBidi"/>
      <w:b/>
      <w:bCs/>
      <w:sz w:val="28"/>
      <w:szCs w:val="26"/>
    </w:rPr>
  </w:style>
  <w:style w:type="character" w:customStyle="1" w:styleId="Rubrik3Char">
    <w:name w:val="Rubrik 3 Char"/>
    <w:basedOn w:val="Standardstycketeckensnitt"/>
    <w:link w:val="Rubrik3"/>
    <w:uiPriority w:val="1"/>
    <w:rsid w:val="00D110E3"/>
    <w:rPr>
      <w:rFonts w:ascii="Arial" w:eastAsiaTheme="majorEastAsia" w:hAnsi="Arial" w:cstheme="majorBidi"/>
      <w:b/>
      <w:bCs/>
    </w:rPr>
  </w:style>
  <w:style w:type="paragraph" w:styleId="Adress-brev">
    <w:name w:val="envelope address"/>
    <w:uiPriority w:val="5"/>
    <w:semiHidden/>
    <w:rsid w:val="00BC6F9E"/>
    <w:rPr>
      <w:rFonts w:ascii="Times New Roman" w:eastAsiaTheme="majorEastAsia" w:hAnsi="Times New Roman" w:cstheme="majorBidi"/>
      <w:noProof/>
      <w:sz w:val="24"/>
      <w:szCs w:val="24"/>
    </w:rPr>
  </w:style>
  <w:style w:type="paragraph" w:styleId="Datum">
    <w:name w:val="Date"/>
    <w:link w:val="DatumChar"/>
    <w:uiPriority w:val="5"/>
    <w:rsid w:val="00BC6F9E"/>
    <w:rPr>
      <w:rFonts w:ascii="Times New Roman" w:hAnsi="Times New Roman"/>
      <w:sz w:val="24"/>
    </w:rPr>
  </w:style>
  <w:style w:type="character" w:customStyle="1" w:styleId="DatumChar">
    <w:name w:val="Datum Char"/>
    <w:basedOn w:val="Standardstycketeckensnitt"/>
    <w:link w:val="Datum"/>
    <w:uiPriority w:val="5"/>
    <w:rsid w:val="00F45A1B"/>
    <w:rPr>
      <w:rFonts w:ascii="Times New Roman" w:hAnsi="Times New Roman"/>
      <w:sz w:val="24"/>
    </w:rPr>
  </w:style>
  <w:style w:type="paragraph" w:styleId="Sidhuvud">
    <w:name w:val="header"/>
    <w:link w:val="SidhuvudChar"/>
    <w:uiPriority w:val="99"/>
    <w:rsid w:val="00BC6F9E"/>
    <w:rPr>
      <w:rFonts w:ascii="Arial" w:hAnsi="Arial"/>
      <w:noProof/>
      <w:sz w:val="14"/>
    </w:rPr>
  </w:style>
  <w:style w:type="character" w:customStyle="1" w:styleId="SidhuvudChar">
    <w:name w:val="Sidhuvud Char"/>
    <w:basedOn w:val="Standardstycketeckensnitt"/>
    <w:link w:val="Sidhuvud"/>
    <w:uiPriority w:val="99"/>
    <w:rsid w:val="00F45A1B"/>
    <w:rPr>
      <w:rFonts w:ascii="Arial" w:hAnsi="Arial"/>
      <w:noProof/>
      <w:sz w:val="14"/>
    </w:rPr>
  </w:style>
  <w:style w:type="character" w:styleId="Sidnummer">
    <w:name w:val="page number"/>
    <w:basedOn w:val="Standardstycketeckensnitt"/>
    <w:uiPriority w:val="5"/>
    <w:semiHidden/>
    <w:rsid w:val="00BC6F9E"/>
    <w:rPr>
      <w:rFonts w:ascii="Arial" w:hAnsi="Arial"/>
      <w:sz w:val="16"/>
    </w:rPr>
  </w:style>
  <w:style w:type="paragraph" w:styleId="Numreradlista">
    <w:name w:val="List Number"/>
    <w:basedOn w:val="Brdtext"/>
    <w:uiPriority w:val="3"/>
    <w:qFormat/>
    <w:rsid w:val="00F45A1B"/>
    <w:pPr>
      <w:numPr>
        <w:numId w:val="11"/>
      </w:numPr>
      <w:spacing w:before="120"/>
    </w:pPr>
  </w:style>
  <w:style w:type="paragraph" w:styleId="Punktlista">
    <w:name w:val="List Bullet"/>
    <w:basedOn w:val="Brdtext"/>
    <w:uiPriority w:val="3"/>
    <w:qFormat/>
    <w:rsid w:val="00F45A1B"/>
    <w:pPr>
      <w:numPr>
        <w:numId w:val="10"/>
      </w:numPr>
      <w:spacing w:before="120"/>
    </w:pPr>
  </w:style>
  <w:style w:type="paragraph" w:styleId="Sidfot">
    <w:name w:val="footer"/>
    <w:link w:val="SidfotChar"/>
    <w:uiPriority w:val="99"/>
    <w:rsid w:val="00BC6F9E"/>
    <w:pPr>
      <w:spacing w:line="180" w:lineRule="exact"/>
    </w:pPr>
    <w:rPr>
      <w:rFonts w:ascii="Arial" w:hAnsi="Arial"/>
      <w:noProof/>
      <w:sz w:val="14"/>
    </w:rPr>
  </w:style>
  <w:style w:type="character" w:customStyle="1" w:styleId="SidfotChar">
    <w:name w:val="Sidfot Char"/>
    <w:basedOn w:val="Standardstycketeckensnitt"/>
    <w:link w:val="Sidfot"/>
    <w:uiPriority w:val="99"/>
    <w:rsid w:val="00F45A1B"/>
    <w:rPr>
      <w:rFonts w:ascii="Arial" w:hAnsi="Arial"/>
      <w:noProof/>
      <w:sz w:val="14"/>
    </w:rPr>
  </w:style>
  <w:style w:type="character" w:customStyle="1" w:styleId="Rubrik4Char">
    <w:name w:val="Rubrik 4 Char"/>
    <w:basedOn w:val="Standardstycketeckensnitt"/>
    <w:link w:val="Rubrik4"/>
    <w:uiPriority w:val="1"/>
    <w:rsid w:val="00D110E3"/>
    <w:rPr>
      <w:rFonts w:ascii="Georgia" w:eastAsiaTheme="majorEastAsia" w:hAnsi="Georgia" w:cstheme="majorBidi"/>
      <w:bCs/>
      <w:i/>
      <w:iCs/>
      <w:sz w:val="23"/>
    </w:rPr>
  </w:style>
  <w:style w:type="paragraph" w:customStyle="1" w:styleId="Rubrik-1">
    <w:name w:val="Rubrik-1"/>
    <w:basedOn w:val="Normal"/>
    <w:next w:val="Normal"/>
    <w:rsid w:val="005A4563"/>
    <w:pPr>
      <w:keepNext/>
      <w:suppressAutoHyphens/>
      <w:spacing w:after="40"/>
      <w:outlineLvl w:val="0"/>
    </w:pPr>
    <w:rPr>
      <w:b/>
      <w:sz w:val="28"/>
    </w:rPr>
  </w:style>
  <w:style w:type="table" w:styleId="Tabellrutnt">
    <w:name w:val="Table Grid"/>
    <w:basedOn w:val="Normaltabell"/>
    <w:uiPriority w:val="59"/>
    <w:rsid w:val="005A4563"/>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5A4563"/>
    <w:rPr>
      <w:color w:val="0000FF"/>
      <w:u w:val="single"/>
    </w:rPr>
  </w:style>
  <w:style w:type="paragraph" w:styleId="Liststycke">
    <w:name w:val="List Paragraph"/>
    <w:basedOn w:val="Normal"/>
    <w:link w:val="ListstyckeChar"/>
    <w:uiPriority w:val="99"/>
    <w:qFormat/>
    <w:rsid w:val="005A4563"/>
    <w:pPr>
      <w:tabs>
        <w:tab w:val="clear" w:pos="5041"/>
      </w:tabs>
      <w:spacing w:after="200" w:line="276" w:lineRule="auto"/>
      <w:ind w:left="720"/>
      <w:contextualSpacing/>
    </w:pPr>
    <w:rPr>
      <w:rFonts w:ascii="Calibri" w:eastAsia="Calibri" w:hAnsi="Calibri"/>
      <w:sz w:val="22"/>
      <w:szCs w:val="22"/>
      <w:lang w:eastAsia="en-US"/>
    </w:rPr>
  </w:style>
  <w:style w:type="character" w:customStyle="1" w:styleId="ListstyckeChar">
    <w:name w:val="Liststycke Char"/>
    <w:basedOn w:val="Standardstycketeckensnitt"/>
    <w:link w:val="Liststycke"/>
    <w:uiPriority w:val="34"/>
    <w:rsid w:val="005A4563"/>
    <w:rPr>
      <w:rFonts w:ascii="Calibri" w:eastAsia="Calibri" w:hAnsi="Calibri" w:cs="Times New Roman"/>
    </w:rPr>
  </w:style>
  <w:style w:type="paragraph" w:customStyle="1" w:styleId="brevhuvud">
    <w:name w:val="brevhuvud"/>
    <w:basedOn w:val="Normal"/>
    <w:rsid w:val="005A4563"/>
    <w:pPr>
      <w:tabs>
        <w:tab w:val="clear" w:pos="5041"/>
      </w:tabs>
      <w:overflowPunct w:val="0"/>
      <w:autoSpaceDE w:val="0"/>
      <w:autoSpaceDN w:val="0"/>
      <w:adjustRightInd w:val="0"/>
      <w:spacing w:after="0"/>
      <w:textAlignment w:val="baseline"/>
    </w:pPr>
    <w:rPr>
      <w:szCs w:val="20"/>
    </w:rPr>
  </w:style>
  <w:style w:type="paragraph" w:customStyle="1" w:styleId="LedRubrik">
    <w:name w:val="LedRubrik"/>
    <w:uiPriority w:val="5"/>
    <w:semiHidden/>
    <w:rsid w:val="005A4563"/>
    <w:pPr>
      <w:spacing w:after="20"/>
    </w:pPr>
    <w:rPr>
      <w:rFonts w:ascii="Arial" w:hAnsi="Arial"/>
      <w:b/>
      <w:sz w:val="15"/>
    </w:rPr>
  </w:style>
  <w:style w:type="paragraph" w:customStyle="1" w:styleId="LedText">
    <w:name w:val="LedText"/>
    <w:basedOn w:val="LedRubrik"/>
    <w:uiPriority w:val="5"/>
    <w:semiHidden/>
    <w:rsid w:val="005A4563"/>
    <w:pPr>
      <w:spacing w:after="40"/>
    </w:pPr>
    <w:rPr>
      <w:b w:val="0"/>
      <w:sz w:val="16"/>
    </w:rPr>
  </w:style>
  <w:style w:type="paragraph" w:customStyle="1" w:styleId="Default">
    <w:name w:val="Default"/>
    <w:rsid w:val="005A4563"/>
    <w:pPr>
      <w:autoSpaceDE w:val="0"/>
      <w:autoSpaceDN w:val="0"/>
      <w:adjustRightInd w:val="0"/>
    </w:pPr>
    <w:rPr>
      <w:rFonts w:ascii="Times New Roman" w:hAnsi="Times New Roman" w:cs="Times New Roman"/>
      <w:color w:val="000000"/>
      <w:sz w:val="24"/>
      <w:szCs w:val="24"/>
    </w:rPr>
  </w:style>
  <w:style w:type="paragraph" w:styleId="Brdtextmedindrag">
    <w:name w:val="Body Text Indent"/>
    <w:basedOn w:val="Normal"/>
    <w:link w:val="BrdtextmedindragChar"/>
    <w:uiPriority w:val="99"/>
    <w:semiHidden/>
    <w:unhideWhenUsed/>
    <w:rsid w:val="005A4563"/>
    <w:pPr>
      <w:tabs>
        <w:tab w:val="clear" w:pos="5041"/>
      </w:tabs>
      <w:ind w:left="283"/>
    </w:pPr>
    <w:rPr>
      <w:color w:val="000000"/>
    </w:rPr>
  </w:style>
  <w:style w:type="character" w:customStyle="1" w:styleId="BrdtextmedindragChar">
    <w:name w:val="Brödtext med indrag Char"/>
    <w:basedOn w:val="Standardstycketeckensnitt"/>
    <w:link w:val="Brdtextmedindrag"/>
    <w:uiPriority w:val="99"/>
    <w:semiHidden/>
    <w:rsid w:val="005A4563"/>
    <w:rPr>
      <w:rFonts w:ascii="Times New Roman" w:eastAsia="Times New Roman" w:hAnsi="Times New Roman" w:cs="Times New Roman"/>
      <w:color w:val="000000"/>
      <w:sz w:val="24"/>
      <w:szCs w:val="24"/>
      <w:lang w:eastAsia="sv-SE"/>
    </w:rPr>
  </w:style>
  <w:style w:type="paragraph" w:styleId="Brdtext2">
    <w:name w:val="Body Text 2"/>
    <w:basedOn w:val="Normal"/>
    <w:link w:val="Brdtext2Char"/>
    <w:uiPriority w:val="99"/>
    <w:unhideWhenUsed/>
    <w:rsid w:val="005A4563"/>
    <w:pPr>
      <w:tabs>
        <w:tab w:val="clear" w:pos="5041"/>
      </w:tabs>
      <w:spacing w:line="480" w:lineRule="auto"/>
    </w:pPr>
    <w:rPr>
      <w:color w:val="000000"/>
    </w:rPr>
  </w:style>
  <w:style w:type="character" w:customStyle="1" w:styleId="Brdtext2Char">
    <w:name w:val="Brödtext 2 Char"/>
    <w:basedOn w:val="Standardstycketeckensnitt"/>
    <w:link w:val="Brdtext2"/>
    <w:uiPriority w:val="99"/>
    <w:rsid w:val="005A4563"/>
    <w:rPr>
      <w:rFonts w:ascii="Times New Roman" w:eastAsia="Times New Roman" w:hAnsi="Times New Roman" w:cs="Times New Roman"/>
      <w:color w:val="000000"/>
      <w:sz w:val="24"/>
      <w:szCs w:val="24"/>
      <w:lang w:eastAsia="sv-SE"/>
    </w:rPr>
  </w:style>
  <w:style w:type="character" w:customStyle="1" w:styleId="st">
    <w:name w:val="st"/>
    <w:basedOn w:val="Standardstycketeckensnitt"/>
    <w:rsid w:val="005A4563"/>
  </w:style>
  <w:style w:type="paragraph" w:customStyle="1" w:styleId="Dokumenttyp">
    <w:name w:val="Dokumenttyp"/>
    <w:basedOn w:val="Normal"/>
    <w:next w:val="Normal"/>
    <w:rsid w:val="005A4563"/>
    <w:pPr>
      <w:spacing w:after="0"/>
    </w:pPr>
  </w:style>
  <w:style w:type="paragraph" w:customStyle="1" w:styleId="Datum-Beslut">
    <w:name w:val="Datum-Beslut"/>
    <w:basedOn w:val="Normal"/>
    <w:next w:val="Normal"/>
    <w:rsid w:val="005A4563"/>
    <w:pPr>
      <w:spacing w:after="0"/>
    </w:pPr>
  </w:style>
  <w:style w:type="paragraph" w:customStyle="1" w:styleId="Diarienr-Ert">
    <w:name w:val="Diarienr-Ert"/>
    <w:basedOn w:val="Normal"/>
    <w:next w:val="Normal"/>
    <w:rsid w:val="005A4563"/>
    <w:pPr>
      <w:spacing w:after="0"/>
    </w:pPr>
  </w:style>
  <w:style w:type="paragraph" w:customStyle="1" w:styleId="Logo-Namn">
    <w:name w:val="Logo-Namn"/>
    <w:basedOn w:val="Normal"/>
    <w:next w:val="Normal"/>
    <w:rsid w:val="005A4563"/>
    <w:pPr>
      <w:spacing w:after="0"/>
    </w:pPr>
  </w:style>
  <w:style w:type="paragraph" w:customStyle="1" w:styleId="Sidnumering-Frstasida">
    <w:name w:val="Sidnumering-Förstasida"/>
    <w:basedOn w:val="Normal"/>
    <w:next w:val="Normal"/>
    <w:rsid w:val="005A4563"/>
    <w:pPr>
      <w:spacing w:after="0"/>
      <w:jc w:val="right"/>
    </w:pPr>
  </w:style>
  <w:style w:type="paragraph" w:styleId="Ballongtext">
    <w:name w:val="Balloon Text"/>
    <w:basedOn w:val="Normal"/>
    <w:link w:val="BallongtextChar"/>
    <w:uiPriority w:val="99"/>
    <w:semiHidden/>
    <w:unhideWhenUsed/>
    <w:rsid w:val="005A4563"/>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4563"/>
    <w:rPr>
      <w:rFonts w:ascii="Tahoma" w:eastAsia="Times New Roman" w:hAnsi="Tahoma" w:cs="Tahoma"/>
      <w:sz w:val="16"/>
      <w:szCs w:val="16"/>
      <w:lang w:eastAsia="sv-SE"/>
    </w:rPr>
  </w:style>
  <w:style w:type="character" w:customStyle="1" w:styleId="pp-headline-item">
    <w:name w:val="pp-headline-item"/>
    <w:basedOn w:val="Standardstycketeckensnitt"/>
    <w:rsid w:val="009344CC"/>
  </w:style>
  <w:style w:type="paragraph" w:customStyle="1" w:styleId="Lista-Punkter">
    <w:name w:val="Lista-Punkter"/>
    <w:basedOn w:val="Normal"/>
    <w:rsid w:val="0045136E"/>
    <w:pPr>
      <w:numPr>
        <w:numId w:val="22"/>
      </w:numPr>
      <w:tabs>
        <w:tab w:val="clear" w:pos="5041"/>
        <w:tab w:val="left" w:pos="567"/>
      </w:tabs>
    </w:pPr>
    <w:rPr>
      <w:color w:val="000000"/>
    </w:rPr>
  </w:style>
  <w:style w:type="paragraph" w:styleId="Fotnotstext">
    <w:name w:val="footnote text"/>
    <w:basedOn w:val="Normal"/>
    <w:link w:val="FotnotstextChar"/>
    <w:uiPriority w:val="99"/>
    <w:unhideWhenUsed/>
    <w:qFormat/>
    <w:rsid w:val="00610375"/>
    <w:pPr>
      <w:tabs>
        <w:tab w:val="clear" w:pos="5041"/>
      </w:tabs>
      <w:suppressAutoHyphens/>
      <w:spacing w:after="0"/>
    </w:pPr>
    <w:rPr>
      <w:kern w:val="2"/>
      <w:sz w:val="20"/>
      <w:szCs w:val="20"/>
      <w:lang w:val="nl-NL" w:eastAsia="ar-SA"/>
    </w:rPr>
  </w:style>
  <w:style w:type="character" w:customStyle="1" w:styleId="FotnotstextChar">
    <w:name w:val="Fotnotstext Char"/>
    <w:basedOn w:val="Standardstycketeckensnitt"/>
    <w:link w:val="Fotnotstext"/>
    <w:uiPriority w:val="99"/>
    <w:rsid w:val="00610375"/>
    <w:rPr>
      <w:rFonts w:ascii="Times New Roman" w:eastAsia="Times New Roman" w:hAnsi="Times New Roman" w:cs="Times New Roman"/>
      <w:kern w:val="2"/>
      <w:sz w:val="20"/>
      <w:szCs w:val="20"/>
      <w:lang w:val="nl-NL" w:eastAsia="ar-SA"/>
    </w:rPr>
  </w:style>
  <w:style w:type="character" w:styleId="Kommentarsreferens">
    <w:name w:val="annotation reference"/>
    <w:basedOn w:val="Standardstycketeckensnitt"/>
    <w:uiPriority w:val="99"/>
    <w:semiHidden/>
    <w:unhideWhenUsed/>
    <w:rsid w:val="00DB34D6"/>
    <w:rPr>
      <w:sz w:val="16"/>
      <w:szCs w:val="16"/>
    </w:rPr>
  </w:style>
  <w:style w:type="paragraph" w:styleId="Kommentarer">
    <w:name w:val="annotation text"/>
    <w:basedOn w:val="Normal"/>
    <w:link w:val="KommentarerChar"/>
    <w:uiPriority w:val="99"/>
    <w:semiHidden/>
    <w:unhideWhenUsed/>
    <w:rsid w:val="00DB34D6"/>
    <w:rPr>
      <w:sz w:val="20"/>
      <w:szCs w:val="20"/>
    </w:rPr>
  </w:style>
  <w:style w:type="character" w:customStyle="1" w:styleId="KommentarerChar">
    <w:name w:val="Kommentarer Char"/>
    <w:basedOn w:val="Standardstycketeckensnitt"/>
    <w:link w:val="Kommentarer"/>
    <w:uiPriority w:val="99"/>
    <w:semiHidden/>
    <w:rsid w:val="00DB34D6"/>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B34D6"/>
    <w:rPr>
      <w:b/>
      <w:bCs/>
    </w:rPr>
  </w:style>
  <w:style w:type="character" w:customStyle="1" w:styleId="KommentarsmneChar">
    <w:name w:val="Kommentarsämne Char"/>
    <w:basedOn w:val="KommentarerChar"/>
    <w:link w:val="Kommentarsmne"/>
    <w:uiPriority w:val="99"/>
    <w:semiHidden/>
    <w:rsid w:val="00DB34D6"/>
    <w:rPr>
      <w:rFonts w:ascii="Times New Roman" w:eastAsia="Times New Roman" w:hAnsi="Times New Roman" w:cs="Times New Roman"/>
      <w:b/>
      <w:bCs/>
      <w:sz w:val="20"/>
      <w:szCs w:val="20"/>
      <w:lang w:eastAsia="sv-SE"/>
    </w:rPr>
  </w:style>
  <w:style w:type="paragraph" w:customStyle="1" w:styleId="default0">
    <w:name w:val="default"/>
    <w:basedOn w:val="Normal"/>
    <w:uiPriority w:val="99"/>
    <w:rsid w:val="007A0C77"/>
    <w:pPr>
      <w:tabs>
        <w:tab w:val="clear" w:pos="5041"/>
      </w:tabs>
      <w:spacing w:after="0"/>
    </w:pPr>
    <w:rPr>
      <w:rFonts w:eastAsiaTheme="minorHAnsi"/>
      <w:color w:val="000000"/>
    </w:rPr>
  </w:style>
  <w:style w:type="character" w:styleId="AnvndHyperlnk">
    <w:name w:val="FollowedHyperlink"/>
    <w:basedOn w:val="Standardstycketeckensnitt"/>
    <w:uiPriority w:val="99"/>
    <w:semiHidden/>
    <w:unhideWhenUsed/>
    <w:rsid w:val="00192AF0"/>
    <w:rPr>
      <w:color w:val="800080" w:themeColor="followedHyperlink"/>
      <w:u w:val="single"/>
    </w:rPr>
  </w:style>
  <w:style w:type="character" w:customStyle="1" w:styleId="apple-converted-space">
    <w:name w:val="apple-converted-space"/>
    <w:basedOn w:val="Standardstycketeckensnitt"/>
    <w:rsid w:val="00533574"/>
  </w:style>
  <w:style w:type="table" w:styleId="Ljusskuggning">
    <w:name w:val="Light Shading"/>
    <w:basedOn w:val="Normaltabell"/>
    <w:uiPriority w:val="60"/>
    <w:rsid w:val="00D4483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D44830"/>
    <w:rPr>
      <w:color w:val="147763" w:themeColor="accent1" w:themeShade="BF"/>
    </w:rPr>
    <w:tblPr>
      <w:tblStyleRowBandSize w:val="1"/>
      <w:tblStyleColBandSize w:val="1"/>
      <w:tblBorders>
        <w:top w:val="single" w:sz="8" w:space="0" w:color="1BA085" w:themeColor="accent1"/>
        <w:bottom w:val="single" w:sz="8" w:space="0" w:color="1BA085" w:themeColor="accent1"/>
      </w:tblBorders>
    </w:tblPr>
    <w:tblStylePr w:type="fir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lastRow">
      <w:pPr>
        <w:spacing w:before="0" w:after="0" w:line="240" w:lineRule="auto"/>
      </w:pPr>
      <w:rPr>
        <w:b/>
        <w:bCs/>
      </w:rPr>
      <w:tblPr/>
      <w:tcPr>
        <w:tcBorders>
          <w:top w:val="single" w:sz="8" w:space="0" w:color="1BA085" w:themeColor="accent1"/>
          <w:left w:val="nil"/>
          <w:bottom w:val="single" w:sz="8" w:space="0" w:color="1BA0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3E7" w:themeFill="accent1" w:themeFillTint="3F"/>
      </w:tcPr>
    </w:tblStylePr>
    <w:tblStylePr w:type="band1Horz">
      <w:tblPr/>
      <w:tcPr>
        <w:tcBorders>
          <w:left w:val="nil"/>
          <w:right w:val="nil"/>
          <w:insideH w:val="nil"/>
          <w:insideV w:val="nil"/>
        </w:tcBorders>
        <w:shd w:val="clear" w:color="auto" w:fill="BAF3E7" w:themeFill="accent1" w:themeFillTint="3F"/>
      </w:tcPr>
    </w:tblStylePr>
  </w:style>
  <w:style w:type="table" w:styleId="Ljusskuggning-dekorfrg2">
    <w:name w:val="Light Shading Accent 2"/>
    <w:basedOn w:val="Normaltabell"/>
    <w:uiPriority w:val="60"/>
    <w:rsid w:val="00D44830"/>
    <w:rPr>
      <w:color w:val="0999C3" w:themeColor="accent2" w:themeShade="BF"/>
    </w:rPr>
    <w:tblPr>
      <w:tblStyleRowBandSize w:val="1"/>
      <w:tblStyleColBandSize w:val="1"/>
      <w:tblBorders>
        <w:top w:val="single" w:sz="8" w:space="0" w:color="1FC4F4" w:themeColor="accent2"/>
        <w:bottom w:val="single" w:sz="8" w:space="0" w:color="1FC4F4" w:themeColor="accent2"/>
      </w:tblBorders>
    </w:tblPr>
    <w:tblStylePr w:type="fir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lastRow">
      <w:pPr>
        <w:spacing w:before="0" w:after="0" w:line="240" w:lineRule="auto"/>
      </w:pPr>
      <w:rPr>
        <w:b/>
        <w:bCs/>
      </w:rPr>
      <w:tblPr/>
      <w:tcPr>
        <w:tcBorders>
          <w:top w:val="single" w:sz="8" w:space="0" w:color="1FC4F4" w:themeColor="accent2"/>
          <w:left w:val="nil"/>
          <w:bottom w:val="single" w:sz="8" w:space="0" w:color="1FC4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F0FC" w:themeFill="accent2" w:themeFillTint="3F"/>
      </w:tcPr>
    </w:tblStylePr>
    <w:tblStylePr w:type="band1Horz">
      <w:tblPr/>
      <w:tcPr>
        <w:tcBorders>
          <w:left w:val="nil"/>
          <w:right w:val="nil"/>
          <w:insideH w:val="nil"/>
          <w:insideV w:val="nil"/>
        </w:tcBorders>
        <w:shd w:val="clear" w:color="auto" w:fill="C7F0FC" w:themeFill="accent2" w:themeFillTint="3F"/>
      </w:tcPr>
    </w:tblStylePr>
  </w:style>
  <w:style w:type="table" w:styleId="Ljusskuggning-dekorfrg3">
    <w:name w:val="Light Shading Accent 3"/>
    <w:basedOn w:val="Normaltabell"/>
    <w:uiPriority w:val="60"/>
    <w:rsid w:val="00D44830"/>
    <w:rPr>
      <w:color w:val="002648" w:themeColor="accent3" w:themeShade="BF"/>
    </w:rPr>
    <w:tblPr>
      <w:tblStyleRowBandSize w:val="1"/>
      <w:tblStyleColBandSize w:val="1"/>
      <w:tblBorders>
        <w:top w:val="single" w:sz="8" w:space="0" w:color="003461" w:themeColor="accent3"/>
        <w:bottom w:val="single" w:sz="8" w:space="0" w:color="003461" w:themeColor="accent3"/>
      </w:tblBorders>
    </w:tblPr>
    <w:tblStylePr w:type="fir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lastRow">
      <w:pPr>
        <w:spacing w:before="0" w:after="0" w:line="240" w:lineRule="auto"/>
      </w:pPr>
      <w:rPr>
        <w:b/>
        <w:bCs/>
      </w:rPr>
      <w:tblPr/>
      <w:tcPr>
        <w:tcBorders>
          <w:top w:val="single" w:sz="8" w:space="0" w:color="003461" w:themeColor="accent3"/>
          <w:left w:val="nil"/>
          <w:bottom w:val="single" w:sz="8" w:space="0" w:color="0034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FFF" w:themeFill="accent3" w:themeFillTint="3F"/>
      </w:tcPr>
    </w:tblStylePr>
    <w:tblStylePr w:type="band1Horz">
      <w:tblPr/>
      <w:tcPr>
        <w:tcBorders>
          <w:left w:val="nil"/>
          <w:right w:val="nil"/>
          <w:insideH w:val="nil"/>
          <w:insideV w:val="nil"/>
        </w:tcBorders>
        <w:shd w:val="clear" w:color="auto" w:fill="98CFFF" w:themeFill="accent3" w:themeFillTint="3F"/>
      </w:tcPr>
    </w:tblStylePr>
  </w:style>
  <w:style w:type="table" w:styleId="Ljuslista-dekorfrg5">
    <w:name w:val="Light List Accent 5"/>
    <w:basedOn w:val="Normaltabell"/>
    <w:uiPriority w:val="61"/>
    <w:rsid w:val="00D44830"/>
    <w:tblPr>
      <w:tblStyleRowBandSize w:val="1"/>
      <w:tblStyleColBandSize w:val="1"/>
      <w:tblBorders>
        <w:top w:val="single" w:sz="8" w:space="0" w:color="9DDCF9" w:themeColor="accent5"/>
        <w:left w:val="single" w:sz="8" w:space="0" w:color="9DDCF9" w:themeColor="accent5"/>
        <w:bottom w:val="single" w:sz="8" w:space="0" w:color="9DDCF9" w:themeColor="accent5"/>
        <w:right w:val="single" w:sz="8" w:space="0" w:color="9DDCF9" w:themeColor="accent5"/>
      </w:tblBorders>
    </w:tblPr>
    <w:tblStylePr w:type="firstRow">
      <w:pPr>
        <w:spacing w:before="0" w:after="0" w:line="240" w:lineRule="auto"/>
      </w:pPr>
      <w:rPr>
        <w:b/>
        <w:bCs/>
        <w:color w:val="FFFFFF" w:themeColor="background1"/>
      </w:rPr>
      <w:tblPr/>
      <w:tcPr>
        <w:shd w:val="clear" w:color="auto" w:fill="9DDCF9" w:themeFill="accent5"/>
      </w:tcPr>
    </w:tblStylePr>
    <w:tblStylePr w:type="lastRow">
      <w:pPr>
        <w:spacing w:before="0" w:after="0" w:line="240" w:lineRule="auto"/>
      </w:pPr>
      <w:rPr>
        <w:b/>
        <w:bCs/>
      </w:rPr>
      <w:tblPr/>
      <w:tcPr>
        <w:tcBorders>
          <w:top w:val="double" w:sz="6" w:space="0" w:color="9DDCF9" w:themeColor="accent5"/>
          <w:left w:val="single" w:sz="8" w:space="0" w:color="9DDCF9" w:themeColor="accent5"/>
          <w:bottom w:val="single" w:sz="8" w:space="0" w:color="9DDCF9" w:themeColor="accent5"/>
          <w:right w:val="single" w:sz="8" w:space="0" w:color="9DDCF9" w:themeColor="accent5"/>
        </w:tcBorders>
      </w:tcPr>
    </w:tblStylePr>
    <w:tblStylePr w:type="firstCol">
      <w:rPr>
        <w:b/>
        <w:bCs/>
      </w:rPr>
    </w:tblStylePr>
    <w:tblStylePr w:type="lastCol">
      <w:rPr>
        <w:b/>
        <w:bCs/>
      </w:rPr>
    </w:tblStylePr>
    <w:tblStylePr w:type="band1Vert">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tblStylePr w:type="band1Horz">
      <w:tblPr/>
      <w:tcPr>
        <w:tcBorders>
          <w:top w:val="single" w:sz="8" w:space="0" w:color="9DDCF9" w:themeColor="accent5"/>
          <w:left w:val="single" w:sz="8" w:space="0" w:color="9DDCF9" w:themeColor="accent5"/>
          <w:bottom w:val="single" w:sz="8" w:space="0" w:color="9DDCF9" w:themeColor="accent5"/>
          <w:right w:val="single" w:sz="8" w:space="0" w:color="9DDCF9" w:themeColor="accent5"/>
        </w:tcBorders>
      </w:tcPr>
    </w:tblStylePr>
  </w:style>
  <w:style w:type="table" w:styleId="Ljuslista-dekorfrg4">
    <w:name w:val="Light List Accent 4"/>
    <w:basedOn w:val="Normaltabell"/>
    <w:uiPriority w:val="61"/>
    <w:rsid w:val="00D44830"/>
    <w:tblPr>
      <w:tblStyleRowBandSize w:val="1"/>
      <w:tblStyleColBandSize w:val="1"/>
      <w:tblBorders>
        <w:top w:val="single" w:sz="8" w:space="0" w:color="9AD3B7" w:themeColor="accent4"/>
        <w:left w:val="single" w:sz="8" w:space="0" w:color="9AD3B7" w:themeColor="accent4"/>
        <w:bottom w:val="single" w:sz="8" w:space="0" w:color="9AD3B7" w:themeColor="accent4"/>
        <w:right w:val="single" w:sz="8" w:space="0" w:color="9AD3B7" w:themeColor="accent4"/>
      </w:tblBorders>
    </w:tblPr>
    <w:tblStylePr w:type="firstRow">
      <w:pPr>
        <w:spacing w:before="0" w:after="0" w:line="240" w:lineRule="auto"/>
      </w:pPr>
      <w:rPr>
        <w:b/>
        <w:bCs/>
        <w:color w:val="FFFFFF" w:themeColor="background1"/>
      </w:rPr>
      <w:tblPr/>
      <w:tcPr>
        <w:shd w:val="clear" w:color="auto" w:fill="9AD3B7" w:themeFill="accent4"/>
      </w:tcPr>
    </w:tblStylePr>
    <w:tblStylePr w:type="lastRow">
      <w:pPr>
        <w:spacing w:before="0" w:after="0" w:line="240" w:lineRule="auto"/>
      </w:pPr>
      <w:rPr>
        <w:b/>
        <w:bCs/>
      </w:rPr>
      <w:tblPr/>
      <w:tcPr>
        <w:tcBorders>
          <w:top w:val="double" w:sz="6" w:space="0" w:color="9AD3B7" w:themeColor="accent4"/>
          <w:left w:val="single" w:sz="8" w:space="0" w:color="9AD3B7" w:themeColor="accent4"/>
          <w:bottom w:val="single" w:sz="8" w:space="0" w:color="9AD3B7" w:themeColor="accent4"/>
          <w:right w:val="single" w:sz="8" w:space="0" w:color="9AD3B7" w:themeColor="accent4"/>
        </w:tcBorders>
      </w:tcPr>
    </w:tblStylePr>
    <w:tblStylePr w:type="firstCol">
      <w:rPr>
        <w:b/>
        <w:bCs/>
      </w:rPr>
    </w:tblStylePr>
    <w:tblStylePr w:type="lastCol">
      <w:rPr>
        <w:b/>
        <w:bCs/>
      </w:rPr>
    </w:tblStylePr>
    <w:tblStylePr w:type="band1Vert">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tblStylePr w:type="band1Horz">
      <w:tblPr/>
      <w:tcPr>
        <w:tcBorders>
          <w:top w:val="single" w:sz="8" w:space="0" w:color="9AD3B7" w:themeColor="accent4"/>
          <w:left w:val="single" w:sz="8" w:space="0" w:color="9AD3B7" w:themeColor="accent4"/>
          <w:bottom w:val="single" w:sz="8" w:space="0" w:color="9AD3B7" w:themeColor="accent4"/>
          <w:right w:val="single" w:sz="8" w:space="0" w:color="9AD3B7" w:themeColor="accent4"/>
        </w:tcBorders>
      </w:tcPr>
    </w:tblStylePr>
  </w:style>
  <w:style w:type="paragraph" w:styleId="Ingetavstnd">
    <w:name w:val="No Spacing"/>
    <w:link w:val="IngetavstndChar"/>
    <w:uiPriority w:val="1"/>
    <w:qFormat/>
    <w:rsid w:val="00D05BBE"/>
    <w:rPr>
      <w:rFonts w:eastAsiaTheme="minorEastAsia"/>
      <w:lang w:eastAsia="sv-SE"/>
    </w:rPr>
  </w:style>
  <w:style w:type="character" w:customStyle="1" w:styleId="IngetavstndChar">
    <w:name w:val="Inget avstånd Char"/>
    <w:basedOn w:val="Standardstycketeckensnitt"/>
    <w:link w:val="Ingetavstnd"/>
    <w:uiPriority w:val="1"/>
    <w:rsid w:val="00D05BBE"/>
    <w:rPr>
      <w:rFonts w:eastAsiaTheme="minorEastAsia"/>
      <w:lang w:eastAsia="sv-SE"/>
    </w:rPr>
  </w:style>
  <w:style w:type="character" w:styleId="HTML-citat">
    <w:name w:val="HTML Cite"/>
    <w:basedOn w:val="Standardstycketeckensnitt"/>
    <w:uiPriority w:val="99"/>
    <w:semiHidden/>
    <w:unhideWhenUsed/>
    <w:rsid w:val="00A755D7"/>
    <w:rPr>
      <w:i/>
      <w:iCs/>
    </w:rPr>
  </w:style>
  <w:style w:type="character" w:customStyle="1" w:styleId="Normal1">
    <w:name w:val="Normal1"/>
    <w:basedOn w:val="Standardstycketeckensnitt"/>
    <w:rsid w:val="00663AF8"/>
  </w:style>
  <w:style w:type="paragraph" w:styleId="Beskrivning">
    <w:name w:val="caption"/>
    <w:basedOn w:val="Normal"/>
    <w:next w:val="Normal"/>
    <w:uiPriority w:val="35"/>
    <w:unhideWhenUsed/>
    <w:qFormat/>
    <w:rsid w:val="0004660D"/>
    <w:pPr>
      <w:spacing w:after="200"/>
    </w:pPr>
    <w:rPr>
      <w:i/>
      <w:iCs/>
      <w:color w:val="000000" w:themeColor="text2"/>
      <w:sz w:val="18"/>
      <w:szCs w:val="18"/>
    </w:rPr>
  </w:style>
  <w:style w:type="table" w:customStyle="1" w:styleId="Tabellrutnt1">
    <w:name w:val="Tabellrutnät1"/>
    <w:basedOn w:val="Normaltabell"/>
    <w:next w:val="Tabellrutnt"/>
    <w:uiPriority w:val="59"/>
    <w:rsid w:val="0004660D"/>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59"/>
    <w:rsid w:val="0004660D"/>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8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surveillance.org/ViewArticle.aspx?ArticleId=2096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com.fi/baltic-sea-trends/indicat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Färger - HaV">
      <a:dk1>
        <a:sysClr val="windowText" lastClr="000000"/>
      </a:dk1>
      <a:lt1>
        <a:sysClr val="window" lastClr="FFFFFF"/>
      </a:lt1>
      <a:dk2>
        <a:srgbClr val="000000"/>
      </a:dk2>
      <a:lt2>
        <a:srgbClr val="FFFFFF"/>
      </a:lt2>
      <a:accent1>
        <a:srgbClr val="1BA085"/>
      </a:accent1>
      <a:accent2>
        <a:srgbClr val="1FC4F4"/>
      </a:accent2>
      <a:accent3>
        <a:srgbClr val="003461"/>
      </a:accent3>
      <a:accent4>
        <a:srgbClr val="9AD3B7"/>
      </a:accent4>
      <a:accent5>
        <a:srgbClr val="9DDCF9"/>
      </a:accent5>
      <a:accent6>
        <a:srgbClr val="597281"/>
      </a:accent6>
      <a:hlink>
        <a:srgbClr val="0000FF"/>
      </a:hlink>
      <a:folHlink>
        <a:srgbClr val="800080"/>
      </a:folHlink>
    </a:clrScheme>
    <a:fontScheme name="Word-typsnitt-HaV">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815D5-4E42-4335-A3B9-64BAFD66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2987</Words>
  <Characters>15833</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Normal - HaV</cp:keywords>
  <cp:lastModifiedBy/>
  <cp:revision>1</cp:revision>
  <dcterms:created xsi:type="dcterms:W3CDTF">2017-11-19T20:36:00Z</dcterms:created>
  <dcterms:modified xsi:type="dcterms:W3CDTF">2017-11-19T20:36:00Z</dcterms:modified>
</cp:coreProperties>
</file>