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3C1E7" w14:textId="77777777" w:rsidR="00C412F0" w:rsidRDefault="00C412F0" w:rsidP="00C412F0">
      <w:pPr>
        <w:pStyle w:val="Rubrik1"/>
      </w:pPr>
      <w:r>
        <w:t>Havsmiljödirektivets inledande bedömning</w:t>
      </w:r>
    </w:p>
    <w:p w14:paraId="55827942" w14:textId="77777777" w:rsidR="00354126" w:rsidRDefault="00880E4E" w:rsidP="00354126">
      <w:pPr>
        <w:pStyle w:val="Rubrik2"/>
      </w:pPr>
      <w:r>
        <w:t>Artfaktablad för knubbsäl (</w:t>
      </w:r>
      <w:proofErr w:type="spellStart"/>
      <w:r w:rsidRPr="00880E4E">
        <w:rPr>
          <w:i/>
        </w:rPr>
        <w:t>Phoca</w:t>
      </w:r>
      <w:proofErr w:type="spellEnd"/>
      <w:r w:rsidRPr="00880E4E">
        <w:rPr>
          <w:i/>
        </w:rPr>
        <w:t xml:space="preserve"> </w:t>
      </w:r>
      <w:proofErr w:type="spellStart"/>
      <w:r w:rsidRPr="00880E4E">
        <w:rPr>
          <w:i/>
        </w:rPr>
        <w:t>vitulina</w:t>
      </w:r>
      <w:proofErr w:type="spellEnd"/>
      <w:r>
        <w:t>)</w:t>
      </w:r>
      <w:r w:rsidR="005C3FF3">
        <w:t>: Abundans och trender</w:t>
      </w:r>
    </w:p>
    <w:p w14:paraId="0972B79D" w14:textId="77777777" w:rsidR="00C412F0" w:rsidRDefault="00C412F0" w:rsidP="00C412F0">
      <w:pPr>
        <w:pStyle w:val="Brdtext"/>
      </w:pPr>
      <w:r>
        <w:rPr>
          <w:noProof/>
          <w:lang w:eastAsia="sv-SE"/>
        </w:rPr>
        <mc:AlternateContent>
          <mc:Choice Requires="wps">
            <w:drawing>
              <wp:anchor distT="0" distB="0" distL="114300" distR="114300" simplePos="0" relativeHeight="251659264" behindDoc="0" locked="0" layoutInCell="1" allowOverlap="1" wp14:anchorId="10D60F79" wp14:editId="7F1C52B2">
                <wp:simplePos x="0" y="0"/>
                <wp:positionH relativeFrom="column">
                  <wp:posOffset>-81915</wp:posOffset>
                </wp:positionH>
                <wp:positionV relativeFrom="paragraph">
                  <wp:posOffset>69850</wp:posOffset>
                </wp:positionV>
                <wp:extent cx="5718810" cy="3602990"/>
                <wp:effectExtent l="0" t="0" r="15240" b="1651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602990"/>
                        </a:xfrm>
                        <a:prstGeom prst="rect">
                          <a:avLst/>
                        </a:prstGeom>
                        <a:solidFill>
                          <a:srgbClr val="FFFFFF"/>
                        </a:solidFill>
                        <a:ln w="9525">
                          <a:solidFill>
                            <a:srgbClr val="000000"/>
                          </a:solidFill>
                          <a:miter lim="800000"/>
                          <a:headEnd/>
                          <a:tailEnd/>
                        </a:ln>
                      </wps:spPr>
                      <wps:txbx>
                        <w:txbxContent>
                          <w:p w14:paraId="21A2E950" w14:textId="77777777" w:rsidR="00393373" w:rsidRDefault="003933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60F79" id="_x0000_t202" coordsize="21600,21600" o:spt="202" path="m,l,21600r21600,l21600,xe">
                <v:stroke joinstyle="miter"/>
                <v:path gradientshapeok="t" o:connecttype="rect"/>
              </v:shapetype>
              <v:shape id="Textruta 2" o:spid="_x0000_s1026" type="#_x0000_t202" style="position:absolute;margin-left:-6.45pt;margin-top:5.5pt;width:450.3pt;height:2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XFJg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">
                <v:textbox>
                  <w:txbxContent>
                    <w:p w14:paraId="21A2E950" w14:textId="77777777" w:rsidR="00393373" w:rsidRDefault="00393373"/>
                  </w:txbxContent>
                </v:textbox>
              </v:shape>
            </w:pict>
          </mc:Fallback>
        </mc:AlternateContent>
      </w:r>
    </w:p>
    <w:p w14:paraId="10FAC553" w14:textId="77777777" w:rsidR="00C412F0" w:rsidRPr="00C412F0" w:rsidRDefault="00C412F0" w:rsidP="00C412F0">
      <w:pPr>
        <w:pStyle w:val="Brdtext"/>
      </w:pPr>
    </w:p>
    <w:p w14:paraId="7F70B8F8" w14:textId="77777777" w:rsidR="00354126" w:rsidRDefault="00354126" w:rsidP="0062144B"/>
    <w:p w14:paraId="22750EA9" w14:textId="77777777" w:rsidR="0062144B" w:rsidRDefault="0062144B" w:rsidP="0062144B"/>
    <w:p w14:paraId="7FC039F0" w14:textId="77777777" w:rsidR="0062144B" w:rsidRDefault="0062144B" w:rsidP="0062144B"/>
    <w:p w14:paraId="0C7BB682" w14:textId="77777777" w:rsidR="0062144B" w:rsidRDefault="0062144B" w:rsidP="0062144B"/>
    <w:p w14:paraId="011558B2" w14:textId="77777777" w:rsidR="0062144B" w:rsidRDefault="0062144B" w:rsidP="0062144B"/>
    <w:p w14:paraId="2AF8525F" w14:textId="77777777" w:rsidR="0062144B" w:rsidRDefault="0062144B" w:rsidP="0062144B"/>
    <w:p w14:paraId="137CD8B6" w14:textId="77777777" w:rsidR="0062144B" w:rsidRDefault="0062144B" w:rsidP="0062144B"/>
    <w:p w14:paraId="37928710" w14:textId="77777777" w:rsidR="0062144B" w:rsidRDefault="0062144B" w:rsidP="0062144B"/>
    <w:p w14:paraId="0B5430D8" w14:textId="77777777" w:rsidR="0062144B" w:rsidRDefault="0062144B" w:rsidP="0062144B"/>
    <w:p w14:paraId="37E276EE" w14:textId="77777777" w:rsidR="0062144B" w:rsidRDefault="0062144B" w:rsidP="0062144B"/>
    <w:p w14:paraId="05F9659A" w14:textId="77777777" w:rsidR="0062144B" w:rsidRDefault="0062144B" w:rsidP="0062144B"/>
    <w:p w14:paraId="4BBB6FF4" w14:textId="77777777" w:rsidR="0062144B" w:rsidRDefault="0062144B" w:rsidP="0062144B"/>
    <w:p w14:paraId="70C2C784" w14:textId="77777777" w:rsidR="0062144B" w:rsidRDefault="0062144B" w:rsidP="0062144B"/>
    <w:p w14:paraId="1D33233B" w14:textId="57167C0A" w:rsidR="00D0220B" w:rsidRPr="00DF47E2" w:rsidRDefault="00764336" w:rsidP="00D05BBE">
      <w:pPr>
        <w:pStyle w:val="Brdtext"/>
        <w:rPr>
          <w:highlight w:val="yellow"/>
        </w:rPr>
      </w:pPr>
      <w:r>
        <w:t xml:space="preserve">Havsmiljödirektivet syftar till </w:t>
      </w:r>
      <w:r w:rsidR="00DF47E2">
        <w:t>att uppnå</w:t>
      </w:r>
      <w:r w:rsidR="00F10452">
        <w:t xml:space="preserve"> ett hållbart nyttjande av EUs havsområden, samtidigt som biologisk mångfald bevaras och ekosystemen hålls friska och fria från föroreningar. Som en del av </w:t>
      </w:r>
      <w:r w:rsidR="006944D5">
        <w:t xml:space="preserve">förvaltningen av havet genomförs vart 6e år en bedömning av havsmiljöns tillstånd, i relation till ett definierat önskvärt tillstånd som karaktäriserar en god miljöstatus. </w:t>
      </w:r>
      <w:r w:rsidR="00C336D1">
        <w:t>Som underlag</w:t>
      </w:r>
      <w:r w:rsidR="006944D5">
        <w:t xml:space="preserve"> </w:t>
      </w:r>
      <w:r w:rsidR="00354126">
        <w:t xml:space="preserve">till bedömningen </w:t>
      </w:r>
      <w:r w:rsidR="006944D5">
        <w:t xml:space="preserve">publicerar Havs- och vattenmyndigheten faktablad </w:t>
      </w:r>
      <w:r w:rsidR="0062144B">
        <w:t xml:space="preserve">eller liknande rapporter </w:t>
      </w:r>
      <w:r w:rsidR="006944D5">
        <w:t xml:space="preserve">som i </w:t>
      </w:r>
      <w:r w:rsidR="0062144B">
        <w:t xml:space="preserve">högre </w:t>
      </w:r>
      <w:r w:rsidR="006944D5">
        <w:t xml:space="preserve">detalj redovisar de metoder och observationer som </w:t>
      </w:r>
      <w:r w:rsidR="00354126">
        <w:t>används</w:t>
      </w:r>
      <w:r w:rsidR="006944D5">
        <w:t xml:space="preserve">. Den samlade bedömningen som görs på en mer sammanfattande nivå finns publicerad i </w:t>
      </w:r>
      <w:r w:rsidR="006944D5" w:rsidRPr="00DF47E2">
        <w:rPr>
          <w:highlight w:val="yellow"/>
        </w:rPr>
        <w:t xml:space="preserve">Havs- och </w:t>
      </w:r>
      <w:proofErr w:type="spellStart"/>
      <w:r w:rsidR="006944D5" w:rsidRPr="00DF47E2">
        <w:rPr>
          <w:highlight w:val="yellow"/>
        </w:rPr>
        <w:t>vattenmyndighetens</w:t>
      </w:r>
      <w:proofErr w:type="spellEnd"/>
      <w:r w:rsidR="006944D5" w:rsidRPr="00DF47E2">
        <w:rPr>
          <w:highlight w:val="yellow"/>
        </w:rPr>
        <w:t xml:space="preserve"> rapport </w:t>
      </w:r>
      <w:proofErr w:type="spellStart"/>
      <w:r w:rsidR="006944D5" w:rsidRPr="00DF47E2">
        <w:rPr>
          <w:highlight w:val="yellow"/>
        </w:rPr>
        <w:t>xxxx-xx</w:t>
      </w:r>
      <w:proofErr w:type="spellEnd"/>
      <w:r w:rsidR="006944D5">
        <w:t>.</w:t>
      </w:r>
      <w:r w:rsidR="00CF517E">
        <w:t xml:space="preserve"> Vad som kännetecknar en god miljöstatus, samt </w:t>
      </w:r>
      <w:r w:rsidR="00CF517E" w:rsidRPr="00CF517E">
        <w:t>miljökvalitetsnormer med indikatorer för Nordsjön och Östersjön</w:t>
      </w:r>
      <w:r w:rsidR="00CF517E">
        <w:t xml:space="preserve">, fastställs i Havs- och </w:t>
      </w:r>
      <w:proofErr w:type="spellStart"/>
      <w:r w:rsidR="00CF517E">
        <w:t>vattenmyndighetens</w:t>
      </w:r>
      <w:proofErr w:type="spellEnd"/>
      <w:r w:rsidR="00CF517E">
        <w:t xml:space="preserve"> föreskrifter 2012:18.</w:t>
      </w:r>
      <w:r w:rsidR="00D44830" w:rsidRPr="00DF47E2">
        <w:rPr>
          <w:highlight w:val="yellow"/>
        </w:rPr>
        <w:t xml:space="preserve">Version Nr., </w:t>
      </w:r>
      <w:r w:rsidR="001319EF" w:rsidRPr="00DF47E2">
        <w:rPr>
          <w:highlight w:val="yellow"/>
        </w:rPr>
        <w:t>Publiceringsdatum.</w:t>
      </w:r>
    </w:p>
    <w:p w14:paraId="4DDB5E3B" w14:textId="77777777" w:rsidR="00B63A59" w:rsidRPr="0062144B" w:rsidRDefault="00D0220B" w:rsidP="00D05BBE">
      <w:pPr>
        <w:pStyle w:val="Brdtext"/>
      </w:pPr>
      <w:r w:rsidRPr="00DF47E2">
        <w:rPr>
          <w:highlight w:val="yellow"/>
        </w:rPr>
        <w:t>Citeras som</w:t>
      </w:r>
      <w:r w:rsidR="0062144B" w:rsidRPr="00DF47E2">
        <w:rPr>
          <w:highlight w:val="yellow"/>
        </w:rPr>
        <w:t>:</w:t>
      </w:r>
      <w:r w:rsidR="00D05BBE">
        <w:rPr>
          <w:sz w:val="24"/>
          <w:szCs w:val="24"/>
        </w:rPr>
        <w:br w:type="page"/>
      </w:r>
      <w:r w:rsidR="00E13817" w:rsidRPr="000537AF">
        <w:rPr>
          <w:rStyle w:val="Rubrik3Char"/>
          <w:rFonts w:asciiTheme="majorHAnsi" w:hAnsiTheme="majorHAnsi" w:cstheme="majorHAnsi"/>
          <w:sz w:val="24"/>
          <w:szCs w:val="24"/>
        </w:rPr>
        <w:lastRenderedPageBreak/>
        <w:t xml:space="preserve">Sektion </w:t>
      </w:r>
      <w:r w:rsidR="0070387B" w:rsidRPr="000537AF">
        <w:rPr>
          <w:rStyle w:val="Rubrik3Char"/>
          <w:rFonts w:asciiTheme="majorHAnsi" w:hAnsiTheme="majorHAnsi" w:cstheme="majorHAnsi"/>
          <w:sz w:val="24"/>
          <w:szCs w:val="24"/>
        </w:rPr>
        <w:t>1</w:t>
      </w:r>
      <w:r w:rsidR="003B4CD1" w:rsidRPr="000537AF">
        <w:rPr>
          <w:rStyle w:val="Rubrik3Char"/>
          <w:rFonts w:asciiTheme="majorHAnsi" w:hAnsiTheme="majorHAnsi" w:cstheme="majorHAnsi"/>
          <w:sz w:val="24"/>
          <w:szCs w:val="24"/>
        </w:rPr>
        <w:t xml:space="preserve"> </w:t>
      </w:r>
      <w:r w:rsidR="0070387B" w:rsidRPr="000537AF">
        <w:rPr>
          <w:rStyle w:val="Rubrik3Char"/>
          <w:rFonts w:asciiTheme="majorHAnsi" w:hAnsiTheme="majorHAnsi" w:cstheme="majorHAnsi"/>
          <w:sz w:val="24"/>
          <w:szCs w:val="24"/>
        </w:rPr>
        <w:t xml:space="preserve">Del 1. </w:t>
      </w:r>
      <w:r w:rsidR="0009349B" w:rsidRPr="000537AF">
        <w:rPr>
          <w:rStyle w:val="Rubrik3Char"/>
          <w:rFonts w:asciiTheme="majorHAnsi" w:hAnsiTheme="majorHAnsi" w:cstheme="majorHAnsi"/>
          <w:sz w:val="24"/>
          <w:szCs w:val="24"/>
        </w:rPr>
        <w:t>S</w:t>
      </w:r>
      <w:r w:rsidR="00B63A59" w:rsidRPr="000537AF">
        <w:rPr>
          <w:rStyle w:val="Rubrik3Char"/>
          <w:rFonts w:asciiTheme="majorHAnsi" w:hAnsiTheme="majorHAnsi" w:cstheme="majorHAnsi"/>
          <w:sz w:val="24"/>
          <w:szCs w:val="24"/>
        </w:rPr>
        <w:t>ammanfattning</w:t>
      </w:r>
    </w:p>
    <w:p w14:paraId="73BAE86E" w14:textId="3DE54E95" w:rsidR="00B85694" w:rsidRDefault="00BC3F7B" w:rsidP="0009349B">
      <w:pPr>
        <w:pStyle w:val="Brdtext"/>
      </w:pPr>
      <w:r>
        <w:t>Knubbsälen står högst upp i näringskedjan i sitt utbredningsområde och utgör en viktig indikatorart för ekosystemets status. Sälarna har påverkats negativt av miljögifter på ett flertal sätt. Knubbsälarnas skelett var under 1980-talet urkalkat (</w:t>
      </w:r>
      <w:proofErr w:type="spellStart"/>
      <w:r>
        <w:t>s,k</w:t>
      </w:r>
      <w:proofErr w:type="spellEnd"/>
      <w:r>
        <w:t>. osteoporos) och sår läkte inte på ett normalt sätt, men dessa förändringar har minskat kraftigt samtidigt som miljögifterna PCB och DDT minskat i miljön. Sälarna påverkas även av de stora fluktuationer i fiskbeståndens sammansättning förorsakade av människans storskaliga fiske</w:t>
      </w:r>
      <w:r w:rsidR="001825A8">
        <w:t xml:space="preserve">. De vuxna sälarna hittar nog med föda då de till stor del även äter fiskarter typ tobis och lerskädda  som människan endast industrifiskar. Men årsungarna har efter avvänjning betydligt lägre dykkapacitet varvid de måste söka sig allt längre ut och djupare när fiskbestånden tunnas ut. Kutarnas vikt på hösten har minskat med 20% under de senaste 30 åren, vilket lett till högre dödlighet. De som överlevt första året har utsatts för ökad energetisk stress vilket lett till att de blev 10 cm kortare som vuxna jämfört med sina far- och morföräldrar. De </w:t>
      </w:r>
      <w:proofErr w:type="spellStart"/>
      <w:r w:rsidR="001825A8">
        <w:t>könsmognade</w:t>
      </w:r>
      <w:proofErr w:type="spellEnd"/>
      <w:r w:rsidR="001825A8">
        <w:t xml:space="preserve"> ett år senare och eftersom honorna var små, kunde de inte </w:t>
      </w:r>
      <w:r w:rsidR="00786BCD">
        <w:t>ge sina kutar lika mycket di – vilket ledde till svagare kutar. En nedåtgående spiral som leder till att populationens tillväxthastighet minskar.</w:t>
      </w:r>
    </w:p>
    <w:p w14:paraId="6473AC7C" w14:textId="77777777" w:rsidR="00BC3F7B" w:rsidRDefault="00786BCD" w:rsidP="0009349B">
      <w:pPr>
        <w:pStyle w:val="Brdtext"/>
      </w:pPr>
      <w:r>
        <w:t xml:space="preserve"> Antalet knubbsälar</w:t>
      </w:r>
      <w:r w:rsidR="00B85694">
        <w:t xml:space="preserve"> </w:t>
      </w:r>
      <w:r>
        <w:t>i västerhavet ökade med 12%</w:t>
      </w:r>
      <w:r w:rsidR="00B85694">
        <w:t xml:space="preserve"> </w:t>
      </w:r>
      <w:r>
        <w:t>årligen mellan 1979-2002, dock avbrutet av en epidemi 1988 då hälften av sälarna dog</w:t>
      </w:r>
      <w:r w:rsidR="00DC75BF">
        <w:t>. E</w:t>
      </w:r>
      <w:r w:rsidR="00B85694">
        <w:t xml:space="preserve">n andra epidemi reducerade beståndet i samma omfattning 2002. Efter den andra epidemin har </w:t>
      </w:r>
      <w:proofErr w:type="spellStart"/>
      <w:r w:rsidR="00B85694">
        <w:t>tillväxthasigheten</w:t>
      </w:r>
      <w:proofErr w:type="spellEnd"/>
      <w:r w:rsidR="00B85694">
        <w:t xml:space="preserve"> minskat till cirka 7%. Tillväxthastigheten utgör en viktig indikator för tillståndet i populationen och används av HELCOM i Östersjöområdet och OSPAR i Nordsjöområdet som indikator för miljötillståndet. Men för att veta orsaken till lägre tillväxthastighet behövs information om sälarnas näringsstatus och reproduktiva hälsa. Därför utarbetas för närvarande indikatorer som täcker in dessa parametrar.</w:t>
      </w:r>
    </w:p>
    <w:p w14:paraId="44ACF9DF" w14:textId="360D6D58" w:rsidR="00FB0ADA" w:rsidRDefault="00FB0ADA" w:rsidP="0009349B">
      <w:pPr>
        <w:pStyle w:val="Brdtext"/>
      </w:pPr>
      <w:r>
        <w:t>Om en knubbsälpopulation ökar med över 9% per år efter att de varit hårt nedpressade i antal bedöms populationen god miljömässig status. Och om populationen nått sin maximala naturliga storlek bedöms miljöstatusen var god om populationen inte minskar med mer än 10% under en 10-årsperiod. Detta sista kriterium används både av HELCOM och OSPAR (</w:t>
      </w:r>
      <w:proofErr w:type="spellStart"/>
      <w:r w:rsidR="007367F2">
        <w:fldChar w:fldCharType="begin"/>
      </w:r>
      <w:r w:rsidR="007367F2">
        <w:instrText xml:space="preserve"> HYPERLINK "http://stateofthebalticsea.helcom.fi/biodiversity-and-its-status/marine-mammals/" </w:instrText>
      </w:r>
      <w:r w:rsidR="007367F2">
        <w:fldChar w:fldCharType="separate"/>
      </w:r>
      <w:r w:rsidR="00957BFD" w:rsidRPr="00957BFD">
        <w:rPr>
          <w:rStyle w:val="Hyperlnk"/>
        </w:rPr>
        <w:t>Holas</w:t>
      </w:r>
      <w:proofErr w:type="spellEnd"/>
      <w:r w:rsidR="00957BFD" w:rsidRPr="00957BFD">
        <w:rPr>
          <w:rStyle w:val="Hyperlnk"/>
        </w:rPr>
        <w:t xml:space="preserve"> II</w:t>
      </w:r>
      <w:r w:rsidR="007367F2">
        <w:rPr>
          <w:rStyle w:val="Hyperlnk"/>
        </w:rPr>
        <w:fldChar w:fldCharType="end"/>
      </w:r>
      <w:r w:rsidR="00957BFD">
        <w:t xml:space="preserve"> och </w:t>
      </w:r>
      <w:hyperlink r:id="rId8" w:history="1">
        <w:r w:rsidR="00957BFD" w:rsidRPr="00957BFD">
          <w:rPr>
            <w:rStyle w:val="Hyperlnk"/>
          </w:rPr>
          <w:t>IA 2017</w:t>
        </w:r>
      </w:hyperlink>
      <w:r>
        <w:t>).</w:t>
      </w:r>
    </w:p>
    <w:p w14:paraId="3AFABE46" w14:textId="77777777" w:rsidR="00FB0ADA" w:rsidRDefault="00FB0ADA" w:rsidP="0009349B">
      <w:pPr>
        <w:pStyle w:val="Brdtext"/>
      </w:pPr>
      <w:r>
        <w:t xml:space="preserve">Det måste även finnas en lägre gräns för hur många </w:t>
      </w:r>
      <w:r w:rsidR="00E3746D">
        <w:t>sälar det kan vara fö</w:t>
      </w:r>
      <w:r w:rsidR="00DC75BF">
        <w:t>r att en sälpopulation ska ha go</w:t>
      </w:r>
      <w:r w:rsidR="00E3746D">
        <w:t>d miljömässig status. Detta gränsvärde har satts till 10 000 djur för genetiskt isolerade populationer  och för konglomerat av genetiskt förbundna populationer.</w:t>
      </w:r>
    </w:p>
    <w:p w14:paraId="40624A3D" w14:textId="77777777" w:rsidR="00B85694" w:rsidRPr="00BC3F7B" w:rsidRDefault="00FB0ADA" w:rsidP="0009349B">
      <w:pPr>
        <w:pStyle w:val="Brdtext"/>
      </w:pPr>
      <w:r>
        <w:t>Dessa bedömningar görs i fyra förvaltningsområden: Skagerrak, Kattegatt, södra Östersjön inklusive Öresund, samt Kalmarsund. Populationerna i Skagerrak och Kattegatt bedöms ha god miljömässig status. Medan populationerna i södra Östersjön och Kalmarsund ej når denna status.</w:t>
      </w:r>
      <w:r w:rsidR="00B85694">
        <w:t xml:space="preserve"> </w:t>
      </w:r>
    </w:p>
    <w:p w14:paraId="0AF8E34A" w14:textId="77777777" w:rsidR="00693D90" w:rsidRDefault="00693D90" w:rsidP="00693D90">
      <w:pPr>
        <w:pStyle w:val="Brdtext"/>
        <w:keepNext/>
      </w:pPr>
      <w:r>
        <w:rPr>
          <w:noProof/>
          <w:lang w:eastAsia="sv-SE"/>
        </w:rPr>
        <w:lastRenderedPageBreak/>
        <w:drawing>
          <wp:inline distT="0" distB="0" distL="0" distR="0" wp14:anchorId="06929A49" wp14:editId="43A8ED5A">
            <wp:extent cx="5760720" cy="8146415"/>
            <wp:effectExtent l="0" t="0" r="0" b="698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ubbsal_abundans_17102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8146415"/>
                    </a:xfrm>
                    <a:prstGeom prst="rect">
                      <a:avLst/>
                    </a:prstGeom>
                  </pic:spPr>
                </pic:pic>
              </a:graphicData>
            </a:graphic>
          </wp:inline>
        </w:drawing>
      </w:r>
    </w:p>
    <w:p w14:paraId="15C6D297" w14:textId="54A1E4BA" w:rsidR="003B4CD1" w:rsidRDefault="00693D90" w:rsidP="00693D90">
      <w:pPr>
        <w:pStyle w:val="Beskrivning"/>
      </w:pPr>
      <w:r>
        <w:t xml:space="preserve">Figur </w:t>
      </w:r>
      <w:fldSimple w:instr=" SEQ Figur \* ARABIC ">
        <w:r w:rsidR="00FC351F">
          <w:rPr>
            <w:noProof/>
          </w:rPr>
          <w:t>1</w:t>
        </w:r>
      </w:fldSimple>
      <w:r w:rsidRPr="00693D90">
        <w:t xml:space="preserve"> Bedömning av abundans  för</w:t>
      </w:r>
      <w:r w:rsidR="00741350">
        <w:t xml:space="preserve"> Knubbsäl</w:t>
      </w:r>
      <w:r w:rsidRPr="00693D90">
        <w:t xml:space="preserve"> i svenska vatten. Gröna områden indikerar God miljöstatus, medans röda områden återspeglar</w:t>
      </w:r>
      <w:r>
        <w:t xml:space="preserve"> Ej</w:t>
      </w:r>
      <w:r w:rsidRPr="00693D90">
        <w:t xml:space="preserve"> God miljöstatus.</w:t>
      </w:r>
    </w:p>
    <w:p w14:paraId="0789A8D3" w14:textId="77777777" w:rsidR="00E3746D" w:rsidRDefault="00E3746D" w:rsidP="0009349B">
      <w:pPr>
        <w:pStyle w:val="Brdtext"/>
      </w:pPr>
    </w:p>
    <w:p w14:paraId="32BC8C99" w14:textId="77777777" w:rsidR="00E13817" w:rsidRPr="004B7657" w:rsidRDefault="0070387B" w:rsidP="0009349B">
      <w:pPr>
        <w:pStyle w:val="Brdtext"/>
        <w:rPr>
          <w:rFonts w:asciiTheme="majorHAnsi" w:hAnsiTheme="majorHAnsi" w:cstheme="majorHAnsi"/>
          <w:b/>
          <w:sz w:val="24"/>
          <w:szCs w:val="24"/>
        </w:rPr>
      </w:pPr>
      <w:r w:rsidRPr="004B7657">
        <w:rPr>
          <w:rFonts w:asciiTheme="majorHAnsi" w:hAnsiTheme="majorHAnsi" w:cstheme="majorHAnsi"/>
          <w:b/>
          <w:sz w:val="24"/>
          <w:szCs w:val="24"/>
        </w:rPr>
        <w:t>Sektion 1 Del 2</w:t>
      </w:r>
      <w:r w:rsidR="001A460F" w:rsidRPr="004B7657">
        <w:rPr>
          <w:rFonts w:asciiTheme="majorHAnsi" w:hAnsiTheme="majorHAnsi" w:cstheme="majorHAnsi"/>
          <w:b/>
          <w:sz w:val="24"/>
          <w:szCs w:val="24"/>
        </w:rPr>
        <w:t xml:space="preserve">. </w:t>
      </w:r>
      <w:r w:rsidR="00D44830" w:rsidRPr="004B7657">
        <w:rPr>
          <w:rFonts w:asciiTheme="majorHAnsi" w:hAnsiTheme="majorHAnsi" w:cstheme="majorHAnsi"/>
          <w:b/>
          <w:sz w:val="24"/>
          <w:szCs w:val="24"/>
        </w:rPr>
        <w:t>D</w:t>
      </w:r>
      <w:r w:rsidR="001A460F" w:rsidRPr="004B7657">
        <w:rPr>
          <w:rFonts w:asciiTheme="majorHAnsi" w:hAnsiTheme="majorHAnsi" w:cstheme="majorHAnsi"/>
          <w:b/>
          <w:sz w:val="24"/>
          <w:szCs w:val="24"/>
        </w:rPr>
        <w:t>etaljerad info</w:t>
      </w:r>
      <w:r w:rsidR="00D44830" w:rsidRPr="004B7657">
        <w:rPr>
          <w:rFonts w:asciiTheme="majorHAnsi" w:hAnsiTheme="majorHAnsi" w:cstheme="majorHAnsi"/>
          <w:b/>
          <w:sz w:val="24"/>
          <w:szCs w:val="24"/>
        </w:rPr>
        <w:t>rmation</w:t>
      </w:r>
    </w:p>
    <w:p w14:paraId="066AA42D" w14:textId="77777777" w:rsidR="00E13817" w:rsidRDefault="001A460F" w:rsidP="0009349B">
      <w:pPr>
        <w:pStyle w:val="Brdtext"/>
        <w:rPr>
          <w:rFonts w:asciiTheme="minorHAnsi" w:hAnsiTheme="minorHAnsi" w:cstheme="majorHAnsi"/>
        </w:rPr>
      </w:pPr>
      <w:r w:rsidRPr="004B7657">
        <w:rPr>
          <w:rFonts w:asciiTheme="minorHAnsi" w:hAnsiTheme="minorHAnsi" w:cstheme="majorHAnsi"/>
        </w:rPr>
        <w:t>A.</w:t>
      </w:r>
      <w:r>
        <w:rPr>
          <w:rFonts w:asciiTheme="minorHAnsi" w:hAnsiTheme="minorHAnsi" w:cstheme="majorHAnsi"/>
        </w:rPr>
        <w:t xml:space="preserve"> Policyrelevans.</w:t>
      </w:r>
    </w:p>
    <w:tbl>
      <w:tblPr>
        <w:tblStyle w:val="Tabellrutnt"/>
        <w:tblW w:w="0" w:type="auto"/>
        <w:tblLook w:val="04A0" w:firstRow="1" w:lastRow="0" w:firstColumn="1" w:lastColumn="0" w:noHBand="0" w:noVBand="1"/>
      </w:tblPr>
      <w:tblGrid>
        <w:gridCol w:w="1820"/>
        <w:gridCol w:w="1829"/>
        <w:gridCol w:w="1814"/>
        <w:gridCol w:w="1802"/>
        <w:gridCol w:w="1797"/>
      </w:tblGrid>
      <w:tr w:rsidR="00741350" w14:paraId="0F350476" w14:textId="77777777" w:rsidTr="000F5DA6">
        <w:tc>
          <w:tcPr>
            <w:tcW w:w="1820" w:type="dxa"/>
          </w:tcPr>
          <w:p w14:paraId="002673E2" w14:textId="77777777" w:rsidR="00741350" w:rsidRDefault="00741350" w:rsidP="000F5DA6">
            <w:pPr>
              <w:pStyle w:val="Brdtext"/>
              <w:rPr>
                <w:rFonts w:asciiTheme="minorHAnsi" w:hAnsiTheme="minorHAnsi" w:cstheme="majorHAnsi"/>
              </w:rPr>
            </w:pPr>
            <w:r>
              <w:rPr>
                <w:rFonts w:asciiTheme="minorHAnsi" w:hAnsiTheme="minorHAnsi" w:cstheme="majorHAnsi"/>
              </w:rPr>
              <w:t>MSFD - kriterium</w:t>
            </w:r>
          </w:p>
        </w:tc>
        <w:tc>
          <w:tcPr>
            <w:tcW w:w="1829" w:type="dxa"/>
          </w:tcPr>
          <w:p w14:paraId="5E385C9F" w14:textId="77777777" w:rsidR="00741350" w:rsidRDefault="00741350" w:rsidP="000F5DA6">
            <w:pPr>
              <w:pStyle w:val="Brdtext"/>
              <w:rPr>
                <w:rFonts w:asciiTheme="minorHAnsi" w:hAnsiTheme="minorHAnsi" w:cstheme="majorHAnsi"/>
              </w:rPr>
            </w:pPr>
            <w:r>
              <w:rPr>
                <w:rFonts w:asciiTheme="minorHAnsi" w:hAnsiTheme="minorHAnsi" w:cstheme="majorHAnsi"/>
              </w:rPr>
              <w:t>WFD - kvalitetsnorm</w:t>
            </w:r>
          </w:p>
        </w:tc>
        <w:tc>
          <w:tcPr>
            <w:tcW w:w="1814" w:type="dxa"/>
          </w:tcPr>
          <w:p w14:paraId="33463075" w14:textId="77777777" w:rsidR="00741350" w:rsidRDefault="00741350" w:rsidP="000F5DA6">
            <w:pPr>
              <w:pStyle w:val="Brdtext"/>
              <w:rPr>
                <w:rFonts w:asciiTheme="minorHAnsi" w:hAnsiTheme="minorHAnsi" w:cstheme="majorHAnsi"/>
              </w:rPr>
            </w:pPr>
            <w:r>
              <w:rPr>
                <w:rFonts w:asciiTheme="minorHAnsi" w:hAnsiTheme="minorHAnsi" w:cstheme="majorHAnsi"/>
              </w:rPr>
              <w:t>Miljömål</w:t>
            </w:r>
          </w:p>
        </w:tc>
        <w:tc>
          <w:tcPr>
            <w:tcW w:w="1802" w:type="dxa"/>
          </w:tcPr>
          <w:p w14:paraId="26BDC190" w14:textId="77777777" w:rsidR="00741350" w:rsidRDefault="00741350" w:rsidP="000F5DA6">
            <w:pPr>
              <w:pStyle w:val="Brdtext"/>
              <w:rPr>
                <w:rFonts w:asciiTheme="minorHAnsi" w:hAnsiTheme="minorHAnsi" w:cstheme="majorHAnsi"/>
              </w:rPr>
            </w:pPr>
            <w:r>
              <w:rPr>
                <w:rFonts w:asciiTheme="minorHAnsi" w:hAnsiTheme="minorHAnsi" w:cstheme="majorHAnsi"/>
              </w:rPr>
              <w:t>BSAP</w:t>
            </w:r>
          </w:p>
        </w:tc>
        <w:tc>
          <w:tcPr>
            <w:tcW w:w="1797" w:type="dxa"/>
          </w:tcPr>
          <w:p w14:paraId="58B7689C" w14:textId="77777777" w:rsidR="00741350" w:rsidRDefault="00741350" w:rsidP="000F5DA6">
            <w:pPr>
              <w:pStyle w:val="Brdtext"/>
              <w:rPr>
                <w:rFonts w:asciiTheme="minorHAnsi" w:hAnsiTheme="minorHAnsi" w:cstheme="majorHAnsi"/>
              </w:rPr>
            </w:pPr>
            <w:r>
              <w:rPr>
                <w:rFonts w:asciiTheme="minorHAnsi" w:hAnsiTheme="minorHAnsi" w:cstheme="majorHAnsi"/>
              </w:rPr>
              <w:t>Mer</w:t>
            </w:r>
          </w:p>
        </w:tc>
      </w:tr>
      <w:tr w:rsidR="00741350" w14:paraId="6F818B41" w14:textId="77777777" w:rsidTr="000F5DA6">
        <w:tc>
          <w:tcPr>
            <w:tcW w:w="1820" w:type="dxa"/>
          </w:tcPr>
          <w:p w14:paraId="7FF8E9E5" w14:textId="77777777" w:rsidR="00741350" w:rsidRDefault="00741350" w:rsidP="000F5DA6">
            <w:pPr>
              <w:pStyle w:val="Brdtext"/>
              <w:rPr>
                <w:rFonts w:asciiTheme="minorHAnsi" w:hAnsiTheme="minorHAnsi" w:cstheme="majorHAnsi"/>
              </w:rPr>
            </w:pPr>
            <w:r>
              <w:rPr>
                <w:rFonts w:asciiTheme="minorHAnsi" w:hAnsiTheme="minorHAnsi" w:cstheme="majorHAnsi"/>
              </w:rPr>
              <w:t>D1C2</w:t>
            </w:r>
          </w:p>
        </w:tc>
        <w:tc>
          <w:tcPr>
            <w:tcW w:w="1829" w:type="dxa"/>
          </w:tcPr>
          <w:p w14:paraId="0B31FDE4" w14:textId="77777777" w:rsidR="00741350" w:rsidRDefault="00741350" w:rsidP="000F5DA6">
            <w:pPr>
              <w:pStyle w:val="Brdtext"/>
              <w:rPr>
                <w:rFonts w:asciiTheme="minorHAnsi" w:hAnsiTheme="minorHAnsi" w:cstheme="majorHAnsi"/>
              </w:rPr>
            </w:pPr>
            <w:r>
              <w:rPr>
                <w:rFonts w:asciiTheme="minorHAnsi" w:hAnsiTheme="minorHAnsi" w:cstheme="majorHAnsi"/>
              </w:rPr>
              <w:t>saknas</w:t>
            </w:r>
          </w:p>
        </w:tc>
        <w:tc>
          <w:tcPr>
            <w:tcW w:w="1814" w:type="dxa"/>
          </w:tcPr>
          <w:p w14:paraId="17E5C582" w14:textId="77777777" w:rsidR="00741350" w:rsidRDefault="00741350" w:rsidP="000F5DA6">
            <w:pPr>
              <w:pStyle w:val="Brdtext"/>
              <w:rPr>
                <w:rFonts w:asciiTheme="minorHAnsi" w:hAnsiTheme="minorHAnsi" w:cstheme="majorHAnsi"/>
              </w:rPr>
            </w:pPr>
            <w:r>
              <w:rPr>
                <w:rFonts w:asciiTheme="minorHAnsi" w:hAnsiTheme="minorHAnsi" w:cstheme="majorHAnsi"/>
              </w:rPr>
              <w:t>Hav i balans och levande kust och skärgård; Ett rikt växt- och djurliv</w:t>
            </w:r>
          </w:p>
        </w:tc>
        <w:tc>
          <w:tcPr>
            <w:tcW w:w="1802" w:type="dxa"/>
          </w:tcPr>
          <w:p w14:paraId="64D6D01C" w14:textId="77777777" w:rsidR="00741350" w:rsidRDefault="00741350" w:rsidP="000F5DA6">
            <w:pPr>
              <w:pStyle w:val="Brdtext"/>
              <w:rPr>
                <w:rFonts w:asciiTheme="minorHAnsi" w:hAnsiTheme="minorHAnsi" w:cstheme="majorHAnsi"/>
              </w:rPr>
            </w:pPr>
          </w:p>
        </w:tc>
        <w:tc>
          <w:tcPr>
            <w:tcW w:w="1797" w:type="dxa"/>
          </w:tcPr>
          <w:p w14:paraId="1FFAB1BE" w14:textId="77777777" w:rsidR="00741350" w:rsidRDefault="00741350" w:rsidP="000F5DA6">
            <w:pPr>
              <w:pStyle w:val="Brdtext"/>
              <w:rPr>
                <w:rFonts w:asciiTheme="minorHAnsi" w:hAnsiTheme="minorHAnsi" w:cstheme="majorHAnsi"/>
              </w:rPr>
            </w:pPr>
          </w:p>
        </w:tc>
      </w:tr>
    </w:tbl>
    <w:p w14:paraId="3B57E919" w14:textId="77777777" w:rsidR="00741350" w:rsidRDefault="00741350" w:rsidP="0009349B">
      <w:pPr>
        <w:pStyle w:val="Brdtext"/>
      </w:pPr>
    </w:p>
    <w:p w14:paraId="3213771F" w14:textId="265C3B33" w:rsidR="00E13817" w:rsidRPr="004B7657" w:rsidRDefault="001A460F" w:rsidP="0009349B">
      <w:pPr>
        <w:pStyle w:val="Brdtext"/>
      </w:pPr>
      <w:r w:rsidRPr="004B7657">
        <w:t xml:space="preserve">B. </w:t>
      </w:r>
      <w:r w:rsidR="006F648D" w:rsidRPr="004B7657">
        <w:t>K</w:t>
      </w:r>
      <w:r w:rsidR="008C3A39" w:rsidRPr="004B7657">
        <w:t>oppling till</w:t>
      </w:r>
      <w:r w:rsidRPr="004B7657">
        <w:t xml:space="preserve"> MSFD Bilaga III</w:t>
      </w:r>
    </w:p>
    <w:tbl>
      <w:tblPr>
        <w:tblStyle w:val="Tabellrutnt"/>
        <w:tblW w:w="0" w:type="auto"/>
        <w:tblLook w:val="04A0" w:firstRow="1" w:lastRow="0" w:firstColumn="1" w:lastColumn="0" w:noHBand="0" w:noVBand="1"/>
      </w:tblPr>
      <w:tblGrid>
        <w:gridCol w:w="4521"/>
        <w:gridCol w:w="4541"/>
      </w:tblGrid>
      <w:tr w:rsidR="00741350" w14:paraId="55C9B20F" w14:textId="77777777" w:rsidTr="000F5DA6">
        <w:tc>
          <w:tcPr>
            <w:tcW w:w="9212" w:type="dxa"/>
            <w:gridSpan w:val="2"/>
          </w:tcPr>
          <w:p w14:paraId="77035466" w14:textId="77777777" w:rsidR="00741350" w:rsidRDefault="00741350" w:rsidP="000F5DA6">
            <w:pPr>
              <w:tabs>
                <w:tab w:val="clear" w:pos="5041"/>
              </w:tabs>
              <w:spacing w:after="0"/>
            </w:pPr>
            <w:r>
              <w:t>Grundläggande förhållanden (Bilaga III, Tabell 1)</w:t>
            </w:r>
          </w:p>
        </w:tc>
      </w:tr>
      <w:tr w:rsidR="00741350" w14:paraId="43AA1449" w14:textId="77777777" w:rsidTr="000F5DA6">
        <w:tc>
          <w:tcPr>
            <w:tcW w:w="4606" w:type="dxa"/>
          </w:tcPr>
          <w:p w14:paraId="35C0BD98" w14:textId="77777777" w:rsidR="00741350" w:rsidRDefault="00741350" w:rsidP="000F5DA6">
            <w:pPr>
              <w:tabs>
                <w:tab w:val="clear" w:pos="5041"/>
              </w:tabs>
              <w:spacing w:after="0"/>
            </w:pPr>
            <w:r w:rsidRPr="00072A56">
              <w:t>Grupper av arter av marina fåglar, däggdjur, reptiler, fiskar och bläckfiskar i den marina regionen eller delregionen</w:t>
            </w:r>
          </w:p>
        </w:tc>
        <w:tc>
          <w:tcPr>
            <w:tcW w:w="4606" w:type="dxa"/>
          </w:tcPr>
          <w:p w14:paraId="3E364962" w14:textId="77777777" w:rsidR="00741350" w:rsidRDefault="00741350" w:rsidP="000F5DA6">
            <w:pPr>
              <w:tabs>
                <w:tab w:val="clear" w:pos="5041"/>
              </w:tabs>
              <w:spacing w:after="0"/>
            </w:pPr>
            <w:r w:rsidRPr="00072A56">
              <w:t>Geografisk och tidsmässig variation per art eller population:</w:t>
            </w:r>
            <w:r>
              <w:t xml:space="preserve"> </w:t>
            </w:r>
            <w:r w:rsidRPr="00072A56">
              <w:t>utbredning, abundans och/eller biomassa</w:t>
            </w:r>
            <w:r>
              <w:t xml:space="preserve"> </w:t>
            </w:r>
          </w:p>
        </w:tc>
      </w:tr>
      <w:tr w:rsidR="00741350" w14:paraId="17C69412" w14:textId="77777777" w:rsidTr="000F5DA6">
        <w:tc>
          <w:tcPr>
            <w:tcW w:w="9212" w:type="dxa"/>
            <w:gridSpan w:val="2"/>
          </w:tcPr>
          <w:p w14:paraId="6ED90CA2" w14:textId="77777777" w:rsidR="00741350" w:rsidRDefault="00741350" w:rsidP="000F5DA6">
            <w:pPr>
              <w:tabs>
                <w:tab w:val="clear" w:pos="5041"/>
              </w:tabs>
              <w:spacing w:after="0"/>
            </w:pPr>
            <w:r>
              <w:t>Belastning och påverkan (Bilaga III, Tabell 2)</w:t>
            </w:r>
          </w:p>
        </w:tc>
      </w:tr>
      <w:tr w:rsidR="00741350" w14:paraId="38AED74B" w14:textId="77777777" w:rsidTr="000F5DA6">
        <w:tc>
          <w:tcPr>
            <w:tcW w:w="4606" w:type="dxa"/>
          </w:tcPr>
          <w:p w14:paraId="382B3BB3" w14:textId="77777777" w:rsidR="00741350" w:rsidRDefault="00741350" w:rsidP="000F5DA6">
            <w:pPr>
              <w:tabs>
                <w:tab w:val="clear" w:pos="5041"/>
              </w:tabs>
              <w:spacing w:after="0"/>
            </w:pPr>
            <w:r w:rsidRPr="00072A56">
              <w:t xml:space="preserve">Biologiskt </w:t>
            </w:r>
          </w:p>
        </w:tc>
        <w:tc>
          <w:tcPr>
            <w:tcW w:w="4606" w:type="dxa"/>
          </w:tcPr>
          <w:p w14:paraId="6D9E0E9A" w14:textId="77777777" w:rsidR="00741350" w:rsidRDefault="00741350" w:rsidP="000F5DA6">
            <w:pPr>
              <w:tabs>
                <w:tab w:val="clear" w:pos="5041"/>
              </w:tabs>
              <w:spacing w:after="0"/>
            </w:pPr>
            <w:r w:rsidRPr="00072A56">
              <w:t>Tillförsel av patogena mikroorganismer</w:t>
            </w:r>
          </w:p>
          <w:p w14:paraId="63A31C36" w14:textId="77777777" w:rsidR="00741350" w:rsidRDefault="00741350" w:rsidP="000F5DA6">
            <w:pPr>
              <w:tabs>
                <w:tab w:val="clear" w:pos="5041"/>
              </w:tabs>
              <w:spacing w:after="0"/>
            </w:pPr>
          </w:p>
          <w:p w14:paraId="037E1D9C" w14:textId="77777777" w:rsidR="00741350" w:rsidRDefault="00741350" w:rsidP="000F5DA6">
            <w:pPr>
              <w:tabs>
                <w:tab w:val="clear" w:pos="5041"/>
              </w:tabs>
              <w:spacing w:after="0"/>
            </w:pPr>
            <w:r w:rsidRPr="00072A56">
              <w:t>Uttag av, eller dödlighet/skada hos, vilda arter, däribland mål- och icke-</w:t>
            </w:r>
            <w:proofErr w:type="spellStart"/>
            <w:r w:rsidRPr="00072A56">
              <w:t>målarter</w:t>
            </w:r>
            <w:proofErr w:type="spellEnd"/>
            <w:r w:rsidRPr="00072A56">
              <w:t xml:space="preserve"> (genom yrkes- och fritidsfiske och annan verksamhet)</w:t>
            </w:r>
          </w:p>
          <w:p w14:paraId="1842A2EB" w14:textId="77777777" w:rsidR="00741350" w:rsidRDefault="00741350" w:rsidP="000F5DA6">
            <w:pPr>
              <w:tabs>
                <w:tab w:val="clear" w:pos="5041"/>
              </w:tabs>
              <w:spacing w:after="0"/>
            </w:pPr>
          </w:p>
          <w:p w14:paraId="4F70E285" w14:textId="77777777" w:rsidR="00741350" w:rsidRDefault="00741350" w:rsidP="000F5DA6">
            <w:pPr>
              <w:tabs>
                <w:tab w:val="clear" w:pos="5041"/>
              </w:tabs>
              <w:spacing w:after="0"/>
            </w:pPr>
            <w:r w:rsidRPr="00072A56">
              <w:t>Störning av arter (t.ex. i lek- rast- och födosöksområden) på grund av mänsklig närvaro</w:t>
            </w:r>
          </w:p>
        </w:tc>
      </w:tr>
      <w:tr w:rsidR="00741350" w14:paraId="7B0578FA" w14:textId="77777777" w:rsidTr="000F5DA6">
        <w:tc>
          <w:tcPr>
            <w:tcW w:w="4606" w:type="dxa"/>
          </w:tcPr>
          <w:p w14:paraId="26861CF5" w14:textId="77777777" w:rsidR="00741350" w:rsidRPr="00072A56" w:rsidRDefault="00741350" w:rsidP="000F5DA6">
            <w:pPr>
              <w:tabs>
                <w:tab w:val="clear" w:pos="5041"/>
              </w:tabs>
              <w:spacing w:after="0"/>
            </w:pPr>
            <w:r>
              <w:t>Fysiskt</w:t>
            </w:r>
          </w:p>
        </w:tc>
        <w:tc>
          <w:tcPr>
            <w:tcW w:w="4606" w:type="dxa"/>
          </w:tcPr>
          <w:p w14:paraId="0211AC23" w14:textId="77777777" w:rsidR="00741350" w:rsidRPr="00072A56" w:rsidRDefault="00741350" w:rsidP="000F5DA6">
            <w:pPr>
              <w:tabs>
                <w:tab w:val="clear" w:pos="5041"/>
              </w:tabs>
              <w:spacing w:after="0"/>
            </w:pPr>
            <w:r w:rsidRPr="00072A56">
              <w:t>Fysisk förlust (på grund av varaktig förändring av havsbottensubstrat eller havsbottnens morfologi och på grund av utvinning av havsbottensubstrat)</w:t>
            </w:r>
          </w:p>
        </w:tc>
      </w:tr>
      <w:tr w:rsidR="00741350" w14:paraId="45F3156C" w14:textId="77777777" w:rsidTr="000F5DA6">
        <w:tc>
          <w:tcPr>
            <w:tcW w:w="4606" w:type="dxa"/>
          </w:tcPr>
          <w:p w14:paraId="1BFF0CDB" w14:textId="77777777" w:rsidR="00741350" w:rsidRDefault="00741350" w:rsidP="000F5DA6">
            <w:pPr>
              <w:tabs>
                <w:tab w:val="clear" w:pos="5041"/>
              </w:tabs>
              <w:spacing w:after="0"/>
            </w:pPr>
            <w:r w:rsidRPr="00072A56">
              <w:t>Ämnen, skräp och energi</w:t>
            </w:r>
          </w:p>
        </w:tc>
        <w:tc>
          <w:tcPr>
            <w:tcW w:w="4606" w:type="dxa"/>
          </w:tcPr>
          <w:p w14:paraId="229CE5AF" w14:textId="77777777" w:rsidR="00741350" w:rsidRDefault="00741350" w:rsidP="000F5DA6">
            <w:pPr>
              <w:tabs>
                <w:tab w:val="clear" w:pos="5041"/>
              </w:tabs>
              <w:spacing w:after="0"/>
            </w:pPr>
            <w:r w:rsidRPr="00072A56">
              <w:t>Tillförsel av farliga ämnen (syntetiska ämnen, icke syntetiska ämnen, radionuklider) – diffusa källor, punktkällor, atmosfärisk deposition, akuta händelser</w:t>
            </w:r>
          </w:p>
          <w:p w14:paraId="78241FEC" w14:textId="77777777" w:rsidR="00741350" w:rsidRDefault="00741350" w:rsidP="000F5DA6">
            <w:pPr>
              <w:tabs>
                <w:tab w:val="clear" w:pos="5041"/>
              </w:tabs>
              <w:spacing w:after="0"/>
            </w:pPr>
          </w:p>
          <w:p w14:paraId="1CE9872A" w14:textId="77777777" w:rsidR="00741350" w:rsidRPr="00072A56" w:rsidRDefault="00741350" w:rsidP="000F5DA6">
            <w:pPr>
              <w:tabs>
                <w:tab w:val="clear" w:pos="5041"/>
              </w:tabs>
              <w:spacing w:after="0"/>
            </w:pPr>
            <w:r w:rsidRPr="00072A56">
              <w:t xml:space="preserve">Påverkan av </w:t>
            </w:r>
            <w:proofErr w:type="spellStart"/>
            <w:r w:rsidRPr="00072A56">
              <w:t>antropogent</w:t>
            </w:r>
            <w:proofErr w:type="spellEnd"/>
            <w:r w:rsidRPr="00072A56">
              <w:t xml:space="preserve"> ljud (impulsljud, kontinuerligt ljud)</w:t>
            </w:r>
          </w:p>
        </w:tc>
      </w:tr>
    </w:tbl>
    <w:p w14:paraId="7454C62F" w14:textId="77777777" w:rsidR="00A84F48" w:rsidRDefault="00A84F48">
      <w:pPr>
        <w:tabs>
          <w:tab w:val="clear" w:pos="5041"/>
        </w:tabs>
        <w:spacing w:after="0"/>
      </w:pPr>
    </w:p>
    <w:p w14:paraId="7343E498" w14:textId="77777777" w:rsidR="00A84F48" w:rsidRDefault="00A84F48">
      <w:pPr>
        <w:tabs>
          <w:tab w:val="clear" w:pos="5041"/>
        </w:tabs>
        <w:spacing w:after="0"/>
      </w:pPr>
    </w:p>
    <w:p w14:paraId="0EA58E3D" w14:textId="77777777" w:rsidR="005D132C" w:rsidRDefault="005D132C">
      <w:pPr>
        <w:tabs>
          <w:tab w:val="clear" w:pos="5041"/>
        </w:tabs>
        <w:spacing w:after="0"/>
      </w:pPr>
      <w:r>
        <w:t>C. Ingående parametrar, övervakning och dataägare</w:t>
      </w:r>
    </w:p>
    <w:tbl>
      <w:tblPr>
        <w:tblStyle w:val="Tabellrutnt"/>
        <w:tblW w:w="9076" w:type="dxa"/>
        <w:tblLayout w:type="fixed"/>
        <w:tblLook w:val="04A0" w:firstRow="1" w:lastRow="0" w:firstColumn="1" w:lastColumn="0" w:noHBand="0" w:noVBand="1"/>
      </w:tblPr>
      <w:tblGrid>
        <w:gridCol w:w="2376"/>
        <w:gridCol w:w="2114"/>
        <w:gridCol w:w="2293"/>
        <w:gridCol w:w="2293"/>
      </w:tblGrid>
      <w:tr w:rsidR="00544886" w14:paraId="5CB2E6FE" w14:textId="77777777" w:rsidTr="00741350">
        <w:trPr>
          <w:trHeight w:val="1694"/>
        </w:trPr>
        <w:tc>
          <w:tcPr>
            <w:tcW w:w="2376" w:type="dxa"/>
          </w:tcPr>
          <w:p w14:paraId="004E66BF" w14:textId="77777777" w:rsidR="00544886" w:rsidRDefault="00544886">
            <w:pPr>
              <w:tabs>
                <w:tab w:val="clear" w:pos="5041"/>
              </w:tabs>
              <w:spacing w:after="0"/>
            </w:pPr>
            <w:r>
              <w:lastRenderedPageBreak/>
              <w:t>Parameter</w:t>
            </w:r>
          </w:p>
        </w:tc>
        <w:tc>
          <w:tcPr>
            <w:tcW w:w="2114" w:type="dxa"/>
          </w:tcPr>
          <w:p w14:paraId="5AC863C9" w14:textId="77777777" w:rsidR="00544886" w:rsidRDefault="00544886">
            <w:pPr>
              <w:tabs>
                <w:tab w:val="clear" w:pos="5041"/>
              </w:tabs>
              <w:spacing w:after="0"/>
            </w:pPr>
            <w:r>
              <w:t xml:space="preserve">Program resp. underprogram i </w:t>
            </w:r>
            <w:proofErr w:type="spellStart"/>
            <w:r>
              <w:t>HaVs</w:t>
            </w:r>
            <w:proofErr w:type="spellEnd"/>
            <w:r>
              <w:t xml:space="preserve"> övervakningsprogram</w:t>
            </w:r>
          </w:p>
        </w:tc>
        <w:tc>
          <w:tcPr>
            <w:tcW w:w="2293" w:type="dxa"/>
          </w:tcPr>
          <w:p w14:paraId="54A8EAEA" w14:textId="77777777" w:rsidR="00544886" w:rsidRDefault="00544886" w:rsidP="00544886">
            <w:pPr>
              <w:tabs>
                <w:tab w:val="clear" w:pos="5041"/>
              </w:tabs>
              <w:spacing w:after="0"/>
            </w:pPr>
            <w:r>
              <w:t>Dataägare samt databas med hyperlänk</w:t>
            </w:r>
          </w:p>
        </w:tc>
        <w:tc>
          <w:tcPr>
            <w:tcW w:w="2293" w:type="dxa"/>
          </w:tcPr>
          <w:p w14:paraId="6F48F383" w14:textId="77777777" w:rsidR="00544886" w:rsidRDefault="00544886" w:rsidP="00544886">
            <w:pPr>
              <w:tabs>
                <w:tab w:val="clear" w:pos="5041"/>
              </w:tabs>
              <w:spacing w:after="0"/>
            </w:pPr>
            <w:r>
              <w:t>Hyperlänk till rådata-snapshot</w:t>
            </w:r>
          </w:p>
        </w:tc>
      </w:tr>
      <w:tr w:rsidR="00544886" w14:paraId="13F71E8E" w14:textId="77777777" w:rsidTr="00741350">
        <w:trPr>
          <w:trHeight w:val="277"/>
        </w:trPr>
        <w:tc>
          <w:tcPr>
            <w:tcW w:w="2376" w:type="dxa"/>
          </w:tcPr>
          <w:p w14:paraId="56548898" w14:textId="77777777" w:rsidR="00544886" w:rsidRPr="00880E4E" w:rsidRDefault="00880E4E">
            <w:pPr>
              <w:tabs>
                <w:tab w:val="clear" w:pos="5041"/>
              </w:tabs>
              <w:spacing w:after="0"/>
            </w:pPr>
            <w:r>
              <w:t>Abundans</w:t>
            </w:r>
          </w:p>
        </w:tc>
        <w:tc>
          <w:tcPr>
            <w:tcW w:w="2114" w:type="dxa"/>
          </w:tcPr>
          <w:p w14:paraId="040925C2" w14:textId="77777777" w:rsidR="00544886" w:rsidRDefault="00F32D1C">
            <w:pPr>
              <w:tabs>
                <w:tab w:val="clear" w:pos="5041"/>
              </w:tabs>
              <w:spacing w:after="0"/>
            </w:pPr>
            <w:r>
              <w:t>Kust och hav, miljöövervakning</w:t>
            </w:r>
          </w:p>
        </w:tc>
        <w:tc>
          <w:tcPr>
            <w:tcW w:w="2293" w:type="dxa"/>
          </w:tcPr>
          <w:p w14:paraId="6DFA4496" w14:textId="77777777" w:rsidR="00544886" w:rsidRDefault="00880E4E">
            <w:pPr>
              <w:tabs>
                <w:tab w:val="clear" w:pos="5041"/>
              </w:tabs>
              <w:spacing w:after="0"/>
            </w:pPr>
            <w:r>
              <w:t>HaV, SMHI</w:t>
            </w:r>
            <w:r w:rsidR="00A755D7">
              <w:t xml:space="preserve">, </w:t>
            </w:r>
            <w:r w:rsidR="00A755D7">
              <w:rPr>
                <w:rStyle w:val="HTML-citat"/>
                <w:rFonts w:eastAsiaTheme="majorEastAsia" w:cs="Arial"/>
                <w:color w:val="666666"/>
              </w:rPr>
              <w:t>https://www.smhi.se/klimatdata/oceanografi/havsmiljodata</w:t>
            </w:r>
          </w:p>
        </w:tc>
        <w:tc>
          <w:tcPr>
            <w:tcW w:w="2293" w:type="dxa"/>
          </w:tcPr>
          <w:p w14:paraId="352628C7" w14:textId="77777777" w:rsidR="00544886" w:rsidRDefault="00A755D7">
            <w:pPr>
              <w:tabs>
                <w:tab w:val="clear" w:pos="5041"/>
              </w:tabs>
              <w:spacing w:after="0"/>
            </w:pPr>
            <w:r>
              <w:rPr>
                <w:rStyle w:val="HTML-citat"/>
                <w:rFonts w:eastAsiaTheme="majorEastAsia" w:cs="Arial"/>
                <w:color w:val="666666"/>
              </w:rPr>
              <w:t>https://www.smhi.se/klimatdata/oceanografi/havsmiljodata</w:t>
            </w:r>
          </w:p>
        </w:tc>
      </w:tr>
      <w:tr w:rsidR="00544886" w14:paraId="0190EB6E" w14:textId="77777777" w:rsidTr="00741350">
        <w:trPr>
          <w:trHeight w:val="293"/>
        </w:trPr>
        <w:tc>
          <w:tcPr>
            <w:tcW w:w="2376" w:type="dxa"/>
          </w:tcPr>
          <w:p w14:paraId="0A5BF346" w14:textId="77777777" w:rsidR="00544886" w:rsidRDefault="00F32D1C">
            <w:pPr>
              <w:tabs>
                <w:tab w:val="clear" w:pos="5041"/>
              </w:tabs>
              <w:spacing w:after="0"/>
            </w:pPr>
            <w:r>
              <w:t>Trend</w:t>
            </w:r>
          </w:p>
        </w:tc>
        <w:tc>
          <w:tcPr>
            <w:tcW w:w="2114" w:type="dxa"/>
          </w:tcPr>
          <w:p w14:paraId="04907510" w14:textId="77777777" w:rsidR="00544886" w:rsidRDefault="00F32D1C">
            <w:pPr>
              <w:tabs>
                <w:tab w:val="clear" w:pos="5041"/>
              </w:tabs>
              <w:spacing w:after="0"/>
            </w:pPr>
            <w:r>
              <w:t>Kust och hav,</w:t>
            </w:r>
            <w:r w:rsidR="00A755D7">
              <w:t xml:space="preserve"> miljöövervakning</w:t>
            </w:r>
            <w:r>
              <w:t xml:space="preserve"> </w:t>
            </w:r>
          </w:p>
        </w:tc>
        <w:tc>
          <w:tcPr>
            <w:tcW w:w="2293" w:type="dxa"/>
          </w:tcPr>
          <w:p w14:paraId="34E795DE" w14:textId="77777777" w:rsidR="00544886" w:rsidRDefault="00A755D7">
            <w:pPr>
              <w:tabs>
                <w:tab w:val="clear" w:pos="5041"/>
              </w:tabs>
              <w:spacing w:after="0"/>
            </w:pPr>
            <w:r>
              <w:t xml:space="preserve">HaV, SMHI, </w:t>
            </w:r>
            <w:r>
              <w:rPr>
                <w:rStyle w:val="HTML-citat"/>
                <w:rFonts w:eastAsiaTheme="majorEastAsia" w:cs="Arial"/>
                <w:color w:val="666666"/>
              </w:rPr>
              <w:t>https://www.smhi.se/klimatdata/oceanografi/havsmiljodata</w:t>
            </w:r>
          </w:p>
        </w:tc>
        <w:tc>
          <w:tcPr>
            <w:tcW w:w="2293" w:type="dxa"/>
          </w:tcPr>
          <w:p w14:paraId="336D4230" w14:textId="77777777" w:rsidR="00544886" w:rsidRDefault="00A755D7">
            <w:pPr>
              <w:tabs>
                <w:tab w:val="clear" w:pos="5041"/>
              </w:tabs>
              <w:spacing w:after="0"/>
            </w:pPr>
            <w:r>
              <w:t>Som ovan</w:t>
            </w:r>
          </w:p>
        </w:tc>
      </w:tr>
    </w:tbl>
    <w:p w14:paraId="0B9792F7" w14:textId="77777777" w:rsidR="005D132C" w:rsidRDefault="005D132C">
      <w:pPr>
        <w:tabs>
          <w:tab w:val="clear" w:pos="5041"/>
        </w:tabs>
        <w:spacing w:after="0"/>
      </w:pPr>
    </w:p>
    <w:p w14:paraId="50EDC600" w14:textId="77777777" w:rsidR="005D132C" w:rsidRDefault="005D132C">
      <w:pPr>
        <w:tabs>
          <w:tab w:val="clear" w:pos="5041"/>
        </w:tabs>
        <w:spacing w:after="0"/>
      </w:pPr>
    </w:p>
    <w:p w14:paraId="4CD1D7A6" w14:textId="77777777" w:rsidR="005D132C" w:rsidRDefault="005D132C">
      <w:pPr>
        <w:tabs>
          <w:tab w:val="clear" w:pos="5041"/>
        </w:tabs>
        <w:spacing w:after="0"/>
      </w:pPr>
    </w:p>
    <w:p w14:paraId="294AD97E" w14:textId="77777777" w:rsidR="00804DBE" w:rsidRDefault="00804DBE">
      <w:pPr>
        <w:tabs>
          <w:tab w:val="clear" w:pos="5041"/>
        </w:tabs>
        <w:spacing w:after="0"/>
      </w:pPr>
      <w:r>
        <w:br w:type="page"/>
      </w:r>
    </w:p>
    <w:p w14:paraId="3786769D" w14:textId="77777777" w:rsidR="00A84F48" w:rsidRDefault="0070387B" w:rsidP="004B7657">
      <w:pPr>
        <w:tabs>
          <w:tab w:val="clear" w:pos="5041"/>
        </w:tabs>
      </w:pPr>
      <w:r>
        <w:lastRenderedPageBreak/>
        <w:t>D</w:t>
      </w:r>
      <w:r w:rsidR="00A84F48">
        <w:t>. Bedömningsområden</w:t>
      </w:r>
      <w:r w:rsidR="00804DBE">
        <w:t xml:space="preserve">, </w:t>
      </w:r>
      <w:r w:rsidR="00B7632E">
        <w:t xml:space="preserve">med </w:t>
      </w:r>
      <w:r w:rsidR="008B1796">
        <w:t>tröskel</w:t>
      </w:r>
      <w:r w:rsidR="00804DBE">
        <w:t>värde</w:t>
      </w:r>
      <w:r>
        <w:t>(</w:t>
      </w:r>
      <w:r w:rsidR="00804DBE">
        <w:t>n</w:t>
      </w:r>
      <w:r>
        <w:t>)</w:t>
      </w:r>
      <w:r w:rsidR="00B7632E">
        <w:t>,</w:t>
      </w:r>
      <w:r w:rsidR="008B1796">
        <w:t xml:space="preserve"> observerade värden</w:t>
      </w:r>
      <w:r w:rsidR="00A84F48">
        <w:t xml:space="preserve"> och bedömning</w:t>
      </w:r>
    </w:p>
    <w:p w14:paraId="3C813595" w14:textId="77777777" w:rsidR="00976CD1" w:rsidRDefault="00976CD1" w:rsidP="004B7657">
      <w:pPr>
        <w:tabs>
          <w:tab w:val="clear" w:pos="5041"/>
        </w:tabs>
      </w:pPr>
      <w:r>
        <w:t>Tabell 1</w:t>
      </w:r>
      <w:r w:rsidR="00B13809">
        <w:t>.</w:t>
      </w:r>
      <w:r>
        <w:t xml:space="preserve"> </w:t>
      </w:r>
      <w:r w:rsidR="00B13809">
        <w:t xml:space="preserve">Förvaltningsområde </w:t>
      </w:r>
      <w:r>
        <w:t>Nordsjön</w:t>
      </w:r>
    </w:p>
    <w:p w14:paraId="43F17915" w14:textId="77777777" w:rsidR="004B7657" w:rsidRPr="004B7657" w:rsidRDefault="004B7657">
      <w:pPr>
        <w:tabs>
          <w:tab w:val="clear" w:pos="5041"/>
        </w:tabs>
        <w:spacing w:after="0"/>
        <w:rPr>
          <w:i/>
        </w:rPr>
      </w:pPr>
      <w:r w:rsidRPr="004B7657">
        <w:rPr>
          <w:i/>
        </w:rPr>
        <w:t>Tabelltext ex. enhet, arter för olika områden, etc.</w:t>
      </w:r>
    </w:p>
    <w:tbl>
      <w:tblPr>
        <w:tblStyle w:val="Tabellrutnt"/>
        <w:tblW w:w="0" w:type="auto"/>
        <w:tblCellMar>
          <w:top w:w="28" w:type="dxa"/>
          <w:bottom w:w="28" w:type="dxa"/>
        </w:tblCellMar>
        <w:tblLook w:val="04A0" w:firstRow="1" w:lastRow="0" w:firstColumn="1" w:lastColumn="0" w:noHBand="0" w:noVBand="1"/>
      </w:tblPr>
      <w:tblGrid>
        <w:gridCol w:w="2150"/>
        <w:gridCol w:w="1785"/>
        <w:gridCol w:w="1446"/>
        <w:gridCol w:w="1668"/>
        <w:gridCol w:w="2013"/>
      </w:tblGrid>
      <w:tr w:rsidR="00741350" w14:paraId="5E9884CA" w14:textId="77777777" w:rsidTr="00741350">
        <w:tc>
          <w:tcPr>
            <w:tcW w:w="2150" w:type="dxa"/>
          </w:tcPr>
          <w:p w14:paraId="6B4C8268" w14:textId="77777777" w:rsidR="005215C9" w:rsidRPr="00D44830" w:rsidRDefault="005215C9" w:rsidP="00393373">
            <w:pPr>
              <w:tabs>
                <w:tab w:val="clear" w:pos="5041"/>
              </w:tabs>
              <w:spacing w:after="0"/>
              <w:rPr>
                <w:rFonts w:asciiTheme="majorHAnsi" w:hAnsiTheme="majorHAnsi" w:cstheme="majorHAnsi"/>
                <w:b/>
                <w:sz w:val="20"/>
                <w:szCs w:val="20"/>
              </w:rPr>
            </w:pPr>
            <w:r w:rsidRPr="00D44830">
              <w:rPr>
                <w:rFonts w:asciiTheme="majorHAnsi" w:hAnsiTheme="majorHAnsi" w:cstheme="majorHAnsi"/>
                <w:b/>
                <w:sz w:val="20"/>
                <w:szCs w:val="20"/>
              </w:rPr>
              <w:t>Bedömningsområde</w:t>
            </w:r>
            <w:r>
              <w:rPr>
                <w:rFonts w:asciiTheme="majorHAnsi" w:hAnsiTheme="majorHAnsi" w:cstheme="majorHAnsi"/>
                <w:b/>
                <w:sz w:val="20"/>
                <w:szCs w:val="20"/>
              </w:rPr>
              <w:t xml:space="preserve"> Havsbassänger</w:t>
            </w:r>
          </w:p>
        </w:tc>
        <w:tc>
          <w:tcPr>
            <w:tcW w:w="1785" w:type="dxa"/>
          </w:tcPr>
          <w:p w14:paraId="7133B8AE" w14:textId="77777777" w:rsidR="005215C9" w:rsidRPr="00D44830" w:rsidRDefault="005215C9" w:rsidP="00393373">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Tröskelvärde</w:t>
            </w:r>
          </w:p>
        </w:tc>
        <w:tc>
          <w:tcPr>
            <w:tcW w:w="1446" w:type="dxa"/>
          </w:tcPr>
          <w:p w14:paraId="6840DBFA" w14:textId="77777777" w:rsidR="005215C9" w:rsidRPr="00D44830" w:rsidRDefault="005215C9" w:rsidP="00393373">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Observerat v</w:t>
            </w:r>
            <w:r w:rsidRPr="00D44830">
              <w:rPr>
                <w:rFonts w:asciiTheme="majorHAnsi" w:hAnsiTheme="majorHAnsi" w:cstheme="majorHAnsi"/>
                <w:b/>
                <w:sz w:val="20"/>
                <w:szCs w:val="20"/>
              </w:rPr>
              <w:t>ärde</w:t>
            </w:r>
          </w:p>
        </w:tc>
        <w:tc>
          <w:tcPr>
            <w:tcW w:w="1668" w:type="dxa"/>
          </w:tcPr>
          <w:p w14:paraId="1B43EDE6" w14:textId="77777777" w:rsidR="005215C9" w:rsidRDefault="005215C9" w:rsidP="00393373">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Bedömning</w:t>
            </w:r>
          </w:p>
        </w:tc>
        <w:tc>
          <w:tcPr>
            <w:tcW w:w="2013" w:type="dxa"/>
          </w:tcPr>
          <w:p w14:paraId="180A4F7F" w14:textId="77777777" w:rsidR="005215C9" w:rsidRDefault="005215C9" w:rsidP="00393373">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Tillförlitlighet</w:t>
            </w:r>
          </w:p>
        </w:tc>
      </w:tr>
      <w:tr w:rsidR="00741350" w14:paraId="7CC1BFED" w14:textId="77777777" w:rsidTr="00741350">
        <w:trPr>
          <w:trHeight w:val="549"/>
        </w:trPr>
        <w:tc>
          <w:tcPr>
            <w:tcW w:w="2150" w:type="dxa"/>
            <w:vAlign w:val="center"/>
          </w:tcPr>
          <w:p w14:paraId="1C2B286E" w14:textId="77777777" w:rsidR="005215C9" w:rsidRPr="00CE6559" w:rsidRDefault="005215C9" w:rsidP="00393373">
            <w:pPr>
              <w:tabs>
                <w:tab w:val="clear" w:pos="5041"/>
              </w:tabs>
              <w:spacing w:after="0"/>
              <w:rPr>
                <w:rFonts w:asciiTheme="minorHAnsi" w:hAnsiTheme="minorHAnsi"/>
                <w:sz w:val="18"/>
                <w:szCs w:val="18"/>
              </w:rPr>
            </w:pPr>
            <w:proofErr w:type="spellStart"/>
            <w:r w:rsidRPr="00CE6559">
              <w:rPr>
                <w:rFonts w:asciiTheme="minorHAnsi" w:hAnsiTheme="minorHAnsi"/>
                <w:sz w:val="18"/>
                <w:szCs w:val="18"/>
              </w:rPr>
              <w:t>Skagerrack</w:t>
            </w:r>
            <w:proofErr w:type="spellEnd"/>
          </w:p>
        </w:tc>
        <w:tc>
          <w:tcPr>
            <w:tcW w:w="1785" w:type="dxa"/>
            <w:vAlign w:val="center"/>
          </w:tcPr>
          <w:p w14:paraId="3EBABEC8" w14:textId="77777777" w:rsidR="005215C9" w:rsidRDefault="00A755D7" w:rsidP="00393373">
            <w:pPr>
              <w:tabs>
                <w:tab w:val="clear" w:pos="5041"/>
              </w:tabs>
              <w:spacing w:after="0"/>
              <w:rPr>
                <w:sz w:val="18"/>
                <w:szCs w:val="18"/>
              </w:rPr>
            </w:pPr>
            <w:r>
              <w:rPr>
                <w:sz w:val="18"/>
                <w:szCs w:val="18"/>
              </w:rPr>
              <w:t>Abundans; 10000</w:t>
            </w:r>
          </w:p>
          <w:p w14:paraId="1D35C8B0" w14:textId="77777777" w:rsidR="00A755D7" w:rsidRDefault="00A755D7" w:rsidP="00393373">
            <w:pPr>
              <w:tabs>
                <w:tab w:val="clear" w:pos="5041"/>
              </w:tabs>
              <w:spacing w:after="0"/>
              <w:rPr>
                <w:sz w:val="18"/>
                <w:szCs w:val="18"/>
              </w:rPr>
            </w:pPr>
            <w:r>
              <w:rPr>
                <w:sz w:val="18"/>
                <w:szCs w:val="18"/>
              </w:rPr>
              <w:t>Trend: Ej minus</w:t>
            </w:r>
          </w:p>
          <w:p w14:paraId="3360CD19" w14:textId="77777777" w:rsidR="00AA46B6" w:rsidRPr="00A755D7" w:rsidRDefault="00AA46B6" w:rsidP="00393373">
            <w:pPr>
              <w:tabs>
                <w:tab w:val="clear" w:pos="5041"/>
              </w:tabs>
              <w:spacing w:after="0"/>
              <w:rPr>
                <w:sz w:val="18"/>
                <w:szCs w:val="18"/>
              </w:rPr>
            </w:pPr>
          </w:p>
        </w:tc>
        <w:tc>
          <w:tcPr>
            <w:tcW w:w="1446" w:type="dxa"/>
            <w:shd w:val="clear" w:color="auto" w:fill="auto"/>
            <w:vAlign w:val="center"/>
          </w:tcPr>
          <w:p w14:paraId="23A904A9" w14:textId="77777777" w:rsidR="005215C9" w:rsidRDefault="00A755D7" w:rsidP="00393373">
            <w:pPr>
              <w:tabs>
                <w:tab w:val="clear" w:pos="5041"/>
              </w:tabs>
              <w:spacing w:after="0"/>
              <w:rPr>
                <w:sz w:val="18"/>
                <w:szCs w:val="18"/>
              </w:rPr>
            </w:pPr>
            <w:r>
              <w:rPr>
                <w:sz w:val="18"/>
                <w:szCs w:val="18"/>
              </w:rPr>
              <w:t>Abundans:11000</w:t>
            </w:r>
          </w:p>
          <w:p w14:paraId="2624934C" w14:textId="77777777" w:rsidR="00A755D7" w:rsidRDefault="00A755D7" w:rsidP="00393373">
            <w:pPr>
              <w:tabs>
                <w:tab w:val="clear" w:pos="5041"/>
              </w:tabs>
              <w:spacing w:after="0"/>
              <w:rPr>
                <w:sz w:val="18"/>
                <w:szCs w:val="18"/>
              </w:rPr>
            </w:pPr>
            <w:r>
              <w:rPr>
                <w:sz w:val="18"/>
                <w:szCs w:val="18"/>
              </w:rPr>
              <w:t xml:space="preserve">Trend: </w:t>
            </w:r>
            <w:r w:rsidR="00AA46B6">
              <w:rPr>
                <w:sz w:val="18"/>
                <w:szCs w:val="18"/>
              </w:rPr>
              <w:t>+ 6%/år</w:t>
            </w:r>
          </w:p>
          <w:p w14:paraId="6433A485" w14:textId="77777777" w:rsidR="00AA46B6" w:rsidRPr="0034175C" w:rsidRDefault="00AA46B6" w:rsidP="00393373">
            <w:pPr>
              <w:tabs>
                <w:tab w:val="clear" w:pos="5041"/>
              </w:tabs>
              <w:spacing w:after="0"/>
              <w:rPr>
                <w:sz w:val="18"/>
                <w:szCs w:val="18"/>
              </w:rPr>
            </w:pPr>
          </w:p>
        </w:tc>
        <w:tc>
          <w:tcPr>
            <w:tcW w:w="1668" w:type="dxa"/>
          </w:tcPr>
          <w:p w14:paraId="6AA06C09" w14:textId="77777777" w:rsidR="00741350" w:rsidRDefault="00741350" w:rsidP="00393373">
            <w:pPr>
              <w:tabs>
                <w:tab w:val="clear" w:pos="5041"/>
              </w:tabs>
              <w:spacing w:after="0"/>
              <w:rPr>
                <w:sz w:val="18"/>
                <w:szCs w:val="18"/>
              </w:rPr>
            </w:pPr>
            <w:r>
              <w:rPr>
                <w:sz w:val="18"/>
                <w:szCs w:val="18"/>
              </w:rPr>
              <w:t>Abundans:</w:t>
            </w:r>
          </w:p>
          <w:p w14:paraId="2C3B8152" w14:textId="509120B4" w:rsidR="00A755D7" w:rsidRDefault="00A755D7" w:rsidP="00393373">
            <w:pPr>
              <w:tabs>
                <w:tab w:val="clear" w:pos="5041"/>
              </w:tabs>
              <w:spacing w:after="0"/>
              <w:rPr>
                <w:sz w:val="18"/>
                <w:szCs w:val="18"/>
              </w:rPr>
            </w:pPr>
            <w:r>
              <w:rPr>
                <w:sz w:val="18"/>
                <w:szCs w:val="18"/>
              </w:rPr>
              <w:t>God status</w:t>
            </w:r>
          </w:p>
          <w:p w14:paraId="64FC72F6" w14:textId="77777777" w:rsidR="00741350" w:rsidRDefault="00741350" w:rsidP="00393373">
            <w:pPr>
              <w:tabs>
                <w:tab w:val="clear" w:pos="5041"/>
              </w:tabs>
              <w:spacing w:after="0"/>
              <w:rPr>
                <w:sz w:val="18"/>
                <w:szCs w:val="18"/>
              </w:rPr>
            </w:pPr>
            <w:r>
              <w:rPr>
                <w:sz w:val="18"/>
                <w:szCs w:val="18"/>
              </w:rPr>
              <w:t>Trend:</w:t>
            </w:r>
          </w:p>
          <w:p w14:paraId="01DCFC10" w14:textId="1BA35B90" w:rsidR="00AA46B6" w:rsidRDefault="00AA46B6" w:rsidP="00393373">
            <w:pPr>
              <w:tabs>
                <w:tab w:val="clear" w:pos="5041"/>
              </w:tabs>
              <w:spacing w:after="0"/>
              <w:rPr>
                <w:sz w:val="18"/>
                <w:szCs w:val="18"/>
              </w:rPr>
            </w:pPr>
            <w:r>
              <w:rPr>
                <w:sz w:val="18"/>
                <w:szCs w:val="18"/>
              </w:rPr>
              <w:t>God status</w:t>
            </w:r>
          </w:p>
          <w:p w14:paraId="15BE9A0D" w14:textId="77777777" w:rsidR="00AA46B6" w:rsidRPr="00D05BBE" w:rsidRDefault="00AA46B6" w:rsidP="00393373">
            <w:pPr>
              <w:tabs>
                <w:tab w:val="clear" w:pos="5041"/>
              </w:tabs>
              <w:spacing w:after="0"/>
              <w:rPr>
                <w:sz w:val="18"/>
                <w:szCs w:val="18"/>
              </w:rPr>
            </w:pPr>
          </w:p>
        </w:tc>
        <w:tc>
          <w:tcPr>
            <w:tcW w:w="2013" w:type="dxa"/>
            <w:shd w:val="clear" w:color="auto" w:fill="auto"/>
            <w:vAlign w:val="center"/>
          </w:tcPr>
          <w:p w14:paraId="4DBF9946" w14:textId="77777777" w:rsidR="00741350" w:rsidRDefault="00741350" w:rsidP="00393373">
            <w:pPr>
              <w:tabs>
                <w:tab w:val="clear" w:pos="5041"/>
              </w:tabs>
              <w:spacing w:after="0"/>
              <w:rPr>
                <w:sz w:val="18"/>
                <w:szCs w:val="18"/>
              </w:rPr>
            </w:pPr>
            <w:r>
              <w:rPr>
                <w:sz w:val="18"/>
                <w:szCs w:val="18"/>
              </w:rPr>
              <w:t>Abundans:</w:t>
            </w:r>
          </w:p>
          <w:p w14:paraId="510274BB" w14:textId="77777777" w:rsidR="00741350" w:rsidRDefault="00AA46B6" w:rsidP="00393373">
            <w:pPr>
              <w:tabs>
                <w:tab w:val="clear" w:pos="5041"/>
              </w:tabs>
              <w:spacing w:after="0"/>
              <w:rPr>
                <w:sz w:val="18"/>
                <w:szCs w:val="18"/>
              </w:rPr>
            </w:pPr>
            <w:r>
              <w:rPr>
                <w:sz w:val="18"/>
                <w:szCs w:val="18"/>
              </w:rPr>
              <w:t>Hög</w:t>
            </w:r>
            <w:r w:rsidR="00741350">
              <w:rPr>
                <w:sz w:val="18"/>
                <w:szCs w:val="18"/>
              </w:rPr>
              <w:t xml:space="preserve"> </w:t>
            </w:r>
          </w:p>
          <w:p w14:paraId="5E612C9B" w14:textId="77777777" w:rsidR="00741350" w:rsidRDefault="00741350" w:rsidP="00393373">
            <w:pPr>
              <w:tabs>
                <w:tab w:val="clear" w:pos="5041"/>
              </w:tabs>
              <w:spacing w:after="0"/>
              <w:rPr>
                <w:sz w:val="18"/>
                <w:szCs w:val="18"/>
              </w:rPr>
            </w:pPr>
            <w:r>
              <w:rPr>
                <w:sz w:val="18"/>
                <w:szCs w:val="18"/>
              </w:rPr>
              <w:t xml:space="preserve">Trend: </w:t>
            </w:r>
          </w:p>
          <w:p w14:paraId="4F800161" w14:textId="6FFD2AD5" w:rsidR="00AA46B6" w:rsidRPr="00D05BBE" w:rsidRDefault="00AA46B6" w:rsidP="00393373">
            <w:pPr>
              <w:tabs>
                <w:tab w:val="clear" w:pos="5041"/>
              </w:tabs>
              <w:spacing w:after="0"/>
              <w:rPr>
                <w:sz w:val="18"/>
                <w:szCs w:val="18"/>
              </w:rPr>
            </w:pPr>
            <w:r>
              <w:rPr>
                <w:sz w:val="18"/>
                <w:szCs w:val="18"/>
              </w:rPr>
              <w:t>Hög</w:t>
            </w:r>
          </w:p>
        </w:tc>
      </w:tr>
      <w:tr w:rsidR="00741350" w14:paraId="3CF8983C" w14:textId="77777777" w:rsidTr="00741350">
        <w:trPr>
          <w:trHeight w:val="613"/>
        </w:trPr>
        <w:tc>
          <w:tcPr>
            <w:tcW w:w="2150" w:type="dxa"/>
            <w:vAlign w:val="center"/>
          </w:tcPr>
          <w:p w14:paraId="2FECD133" w14:textId="77777777" w:rsidR="005215C9" w:rsidRPr="00CE6559" w:rsidRDefault="005215C9" w:rsidP="00393373">
            <w:pPr>
              <w:tabs>
                <w:tab w:val="clear" w:pos="5041"/>
              </w:tabs>
              <w:spacing w:after="0"/>
              <w:rPr>
                <w:rFonts w:asciiTheme="minorHAnsi" w:hAnsiTheme="minorHAnsi"/>
                <w:sz w:val="18"/>
                <w:szCs w:val="18"/>
              </w:rPr>
            </w:pPr>
            <w:r w:rsidRPr="00CE6559">
              <w:rPr>
                <w:rFonts w:asciiTheme="minorHAnsi" w:hAnsiTheme="minorHAnsi"/>
                <w:sz w:val="18"/>
                <w:szCs w:val="18"/>
              </w:rPr>
              <w:t>Kattegatt</w:t>
            </w:r>
          </w:p>
        </w:tc>
        <w:tc>
          <w:tcPr>
            <w:tcW w:w="1785" w:type="dxa"/>
            <w:vAlign w:val="center"/>
          </w:tcPr>
          <w:p w14:paraId="2B224CCC" w14:textId="77777777" w:rsidR="00AA46B6" w:rsidRDefault="00AA46B6" w:rsidP="00AA46B6">
            <w:pPr>
              <w:tabs>
                <w:tab w:val="clear" w:pos="5041"/>
              </w:tabs>
              <w:spacing w:after="0"/>
              <w:rPr>
                <w:sz w:val="18"/>
                <w:szCs w:val="18"/>
              </w:rPr>
            </w:pPr>
            <w:r>
              <w:rPr>
                <w:sz w:val="18"/>
                <w:szCs w:val="18"/>
              </w:rPr>
              <w:t>Abundans; 10000</w:t>
            </w:r>
          </w:p>
          <w:p w14:paraId="5DE8FB95" w14:textId="77777777" w:rsidR="005215C9" w:rsidRDefault="00AA46B6" w:rsidP="00AA46B6">
            <w:pPr>
              <w:tabs>
                <w:tab w:val="clear" w:pos="5041"/>
              </w:tabs>
              <w:spacing w:after="0"/>
              <w:rPr>
                <w:sz w:val="18"/>
                <w:szCs w:val="18"/>
              </w:rPr>
            </w:pPr>
            <w:r>
              <w:rPr>
                <w:sz w:val="18"/>
                <w:szCs w:val="18"/>
              </w:rPr>
              <w:t>Trend: Ej minus</w:t>
            </w:r>
          </w:p>
          <w:p w14:paraId="4E087C4A" w14:textId="77777777" w:rsidR="00D15472" w:rsidRPr="00AA46B6" w:rsidRDefault="00D15472" w:rsidP="00AA46B6">
            <w:pPr>
              <w:tabs>
                <w:tab w:val="clear" w:pos="5041"/>
              </w:tabs>
              <w:spacing w:after="0"/>
              <w:rPr>
                <w:rFonts w:asciiTheme="minorHAnsi" w:hAnsiTheme="minorHAnsi"/>
                <w:sz w:val="18"/>
                <w:szCs w:val="18"/>
              </w:rPr>
            </w:pPr>
          </w:p>
        </w:tc>
        <w:tc>
          <w:tcPr>
            <w:tcW w:w="1446" w:type="dxa"/>
            <w:shd w:val="clear" w:color="auto" w:fill="auto"/>
            <w:vAlign w:val="center"/>
          </w:tcPr>
          <w:p w14:paraId="3694F1B5" w14:textId="77777777" w:rsidR="00AA46B6" w:rsidRDefault="00AA46B6" w:rsidP="00AA46B6">
            <w:pPr>
              <w:tabs>
                <w:tab w:val="clear" w:pos="5041"/>
              </w:tabs>
              <w:spacing w:after="0"/>
              <w:rPr>
                <w:sz w:val="18"/>
                <w:szCs w:val="18"/>
              </w:rPr>
            </w:pPr>
            <w:r>
              <w:rPr>
                <w:sz w:val="18"/>
                <w:szCs w:val="18"/>
              </w:rPr>
              <w:t>Abundans:16000</w:t>
            </w:r>
          </w:p>
          <w:p w14:paraId="0B0989E5" w14:textId="77777777" w:rsidR="005215C9" w:rsidRDefault="00AA46B6" w:rsidP="00AA46B6">
            <w:pPr>
              <w:tabs>
                <w:tab w:val="clear" w:pos="5041"/>
              </w:tabs>
              <w:spacing w:after="0"/>
              <w:rPr>
                <w:sz w:val="18"/>
                <w:szCs w:val="18"/>
              </w:rPr>
            </w:pPr>
            <w:r>
              <w:rPr>
                <w:sz w:val="18"/>
                <w:szCs w:val="18"/>
              </w:rPr>
              <w:t>Trend: + 6%/år</w:t>
            </w:r>
          </w:p>
          <w:p w14:paraId="07FBC134" w14:textId="77777777" w:rsidR="00D15472" w:rsidRPr="0034175C" w:rsidRDefault="00D15472" w:rsidP="00AA46B6">
            <w:pPr>
              <w:tabs>
                <w:tab w:val="clear" w:pos="5041"/>
              </w:tabs>
              <w:spacing w:after="0"/>
              <w:rPr>
                <w:rFonts w:asciiTheme="minorHAnsi" w:hAnsiTheme="minorHAnsi"/>
                <w:sz w:val="18"/>
                <w:szCs w:val="18"/>
              </w:rPr>
            </w:pPr>
          </w:p>
        </w:tc>
        <w:tc>
          <w:tcPr>
            <w:tcW w:w="1668" w:type="dxa"/>
          </w:tcPr>
          <w:p w14:paraId="287AEB2B" w14:textId="77777777" w:rsidR="00741350" w:rsidRDefault="00741350" w:rsidP="00393373">
            <w:pPr>
              <w:tabs>
                <w:tab w:val="clear" w:pos="5041"/>
              </w:tabs>
              <w:spacing w:after="0"/>
              <w:rPr>
                <w:rFonts w:asciiTheme="minorHAnsi" w:hAnsiTheme="minorHAnsi"/>
                <w:sz w:val="18"/>
                <w:szCs w:val="18"/>
              </w:rPr>
            </w:pPr>
            <w:r>
              <w:rPr>
                <w:rFonts w:asciiTheme="minorHAnsi" w:hAnsiTheme="minorHAnsi"/>
                <w:sz w:val="18"/>
                <w:szCs w:val="18"/>
              </w:rPr>
              <w:t>Abundans:</w:t>
            </w:r>
          </w:p>
          <w:p w14:paraId="602FA568" w14:textId="39EBDC9B" w:rsidR="005215C9" w:rsidRDefault="00AA46B6" w:rsidP="00393373">
            <w:pPr>
              <w:tabs>
                <w:tab w:val="clear" w:pos="5041"/>
              </w:tabs>
              <w:spacing w:after="0"/>
              <w:rPr>
                <w:rFonts w:asciiTheme="minorHAnsi" w:hAnsiTheme="minorHAnsi"/>
                <w:sz w:val="18"/>
                <w:szCs w:val="18"/>
              </w:rPr>
            </w:pPr>
            <w:r>
              <w:rPr>
                <w:rFonts w:asciiTheme="minorHAnsi" w:hAnsiTheme="minorHAnsi"/>
                <w:sz w:val="18"/>
                <w:szCs w:val="18"/>
              </w:rPr>
              <w:t>God status</w:t>
            </w:r>
          </w:p>
          <w:p w14:paraId="039C9149" w14:textId="77777777" w:rsidR="00741350" w:rsidRDefault="00741350" w:rsidP="00393373">
            <w:pPr>
              <w:tabs>
                <w:tab w:val="clear" w:pos="5041"/>
              </w:tabs>
              <w:spacing w:after="0"/>
              <w:rPr>
                <w:rFonts w:asciiTheme="minorHAnsi" w:hAnsiTheme="minorHAnsi"/>
                <w:sz w:val="18"/>
                <w:szCs w:val="18"/>
              </w:rPr>
            </w:pPr>
            <w:r>
              <w:rPr>
                <w:rFonts w:asciiTheme="minorHAnsi" w:hAnsiTheme="minorHAnsi"/>
                <w:sz w:val="18"/>
                <w:szCs w:val="18"/>
              </w:rPr>
              <w:t>Trend:</w:t>
            </w:r>
          </w:p>
          <w:p w14:paraId="1EE9657E" w14:textId="7789FC2F" w:rsidR="00AA46B6" w:rsidRDefault="00AA46B6" w:rsidP="00393373">
            <w:pPr>
              <w:tabs>
                <w:tab w:val="clear" w:pos="5041"/>
              </w:tabs>
              <w:spacing w:after="0"/>
              <w:rPr>
                <w:rFonts w:asciiTheme="minorHAnsi" w:hAnsiTheme="minorHAnsi"/>
                <w:sz w:val="18"/>
                <w:szCs w:val="18"/>
              </w:rPr>
            </w:pPr>
            <w:r>
              <w:rPr>
                <w:rFonts w:asciiTheme="minorHAnsi" w:hAnsiTheme="minorHAnsi"/>
                <w:sz w:val="18"/>
                <w:szCs w:val="18"/>
              </w:rPr>
              <w:t>God status</w:t>
            </w:r>
          </w:p>
          <w:p w14:paraId="7AE75D06" w14:textId="77777777" w:rsidR="00D15472" w:rsidRPr="00D05BBE" w:rsidRDefault="00D15472" w:rsidP="00393373">
            <w:pPr>
              <w:tabs>
                <w:tab w:val="clear" w:pos="5041"/>
              </w:tabs>
              <w:spacing w:after="0"/>
              <w:rPr>
                <w:rFonts w:asciiTheme="minorHAnsi" w:hAnsiTheme="minorHAnsi"/>
                <w:sz w:val="18"/>
                <w:szCs w:val="18"/>
              </w:rPr>
            </w:pPr>
          </w:p>
        </w:tc>
        <w:tc>
          <w:tcPr>
            <w:tcW w:w="2013" w:type="dxa"/>
            <w:shd w:val="clear" w:color="auto" w:fill="auto"/>
            <w:vAlign w:val="center"/>
          </w:tcPr>
          <w:p w14:paraId="59D97B72" w14:textId="77777777" w:rsidR="00741350" w:rsidRDefault="00741350" w:rsidP="00393373">
            <w:pPr>
              <w:tabs>
                <w:tab w:val="clear" w:pos="5041"/>
              </w:tabs>
              <w:spacing w:after="0"/>
              <w:rPr>
                <w:rFonts w:asciiTheme="minorHAnsi" w:hAnsiTheme="minorHAnsi"/>
                <w:sz w:val="18"/>
                <w:szCs w:val="18"/>
              </w:rPr>
            </w:pPr>
            <w:r>
              <w:rPr>
                <w:rFonts w:asciiTheme="minorHAnsi" w:hAnsiTheme="minorHAnsi"/>
                <w:sz w:val="18"/>
                <w:szCs w:val="18"/>
              </w:rPr>
              <w:t>Abundans:</w:t>
            </w:r>
          </w:p>
          <w:p w14:paraId="18E8AF9C" w14:textId="2E60FD13" w:rsidR="005215C9" w:rsidRDefault="00AA46B6" w:rsidP="00393373">
            <w:pPr>
              <w:tabs>
                <w:tab w:val="clear" w:pos="5041"/>
              </w:tabs>
              <w:spacing w:after="0"/>
              <w:rPr>
                <w:rFonts w:asciiTheme="minorHAnsi" w:hAnsiTheme="minorHAnsi"/>
                <w:sz w:val="18"/>
                <w:szCs w:val="18"/>
              </w:rPr>
            </w:pPr>
            <w:r>
              <w:rPr>
                <w:rFonts w:asciiTheme="minorHAnsi" w:hAnsiTheme="minorHAnsi"/>
                <w:sz w:val="18"/>
                <w:szCs w:val="18"/>
              </w:rPr>
              <w:t>Hög</w:t>
            </w:r>
          </w:p>
          <w:p w14:paraId="17E53894" w14:textId="77777777" w:rsidR="00741350" w:rsidRDefault="00741350" w:rsidP="00393373">
            <w:pPr>
              <w:tabs>
                <w:tab w:val="clear" w:pos="5041"/>
              </w:tabs>
              <w:spacing w:after="0"/>
              <w:rPr>
                <w:rFonts w:asciiTheme="minorHAnsi" w:hAnsiTheme="minorHAnsi"/>
                <w:sz w:val="18"/>
                <w:szCs w:val="18"/>
              </w:rPr>
            </w:pPr>
            <w:r>
              <w:rPr>
                <w:rFonts w:asciiTheme="minorHAnsi" w:hAnsiTheme="minorHAnsi"/>
                <w:sz w:val="18"/>
                <w:szCs w:val="18"/>
              </w:rPr>
              <w:t>Trend:</w:t>
            </w:r>
          </w:p>
          <w:p w14:paraId="31A5B409" w14:textId="016B9950" w:rsidR="00D15472" w:rsidRPr="00D05BBE" w:rsidRDefault="00AA46B6" w:rsidP="00393373">
            <w:pPr>
              <w:tabs>
                <w:tab w:val="clear" w:pos="5041"/>
              </w:tabs>
              <w:spacing w:after="0"/>
              <w:rPr>
                <w:rFonts w:asciiTheme="minorHAnsi" w:hAnsiTheme="minorHAnsi"/>
                <w:sz w:val="18"/>
                <w:szCs w:val="18"/>
              </w:rPr>
            </w:pPr>
            <w:r>
              <w:rPr>
                <w:rFonts w:asciiTheme="minorHAnsi" w:hAnsiTheme="minorHAnsi"/>
                <w:sz w:val="18"/>
                <w:szCs w:val="18"/>
              </w:rPr>
              <w:t>Hög</w:t>
            </w:r>
          </w:p>
        </w:tc>
      </w:tr>
      <w:tr w:rsidR="00741350" w14:paraId="10EA3631" w14:textId="77777777" w:rsidTr="004670CD">
        <w:trPr>
          <w:trHeight w:val="681"/>
        </w:trPr>
        <w:tc>
          <w:tcPr>
            <w:tcW w:w="2150" w:type="dxa"/>
            <w:vAlign w:val="center"/>
          </w:tcPr>
          <w:p w14:paraId="27F4FCE8" w14:textId="458890B5" w:rsidR="00741350" w:rsidRPr="00CE6559" w:rsidRDefault="00741350" w:rsidP="00741350">
            <w:pPr>
              <w:tabs>
                <w:tab w:val="clear" w:pos="5041"/>
              </w:tabs>
              <w:spacing w:after="0"/>
              <w:rPr>
                <w:rFonts w:asciiTheme="minorHAnsi" w:hAnsiTheme="minorHAnsi"/>
                <w:sz w:val="18"/>
                <w:szCs w:val="18"/>
              </w:rPr>
            </w:pPr>
            <w:r w:rsidRPr="00CE6559">
              <w:rPr>
                <w:rFonts w:asciiTheme="minorHAnsi" w:hAnsiTheme="minorHAnsi"/>
                <w:sz w:val="18"/>
                <w:szCs w:val="18"/>
              </w:rPr>
              <w:t>Öresund</w:t>
            </w:r>
            <w:r>
              <w:rPr>
                <w:rFonts w:asciiTheme="minorHAnsi" w:hAnsiTheme="minorHAnsi"/>
                <w:sz w:val="18"/>
                <w:szCs w:val="18"/>
              </w:rPr>
              <w:t xml:space="preserve"> (norr om Öresundsbron)*</w:t>
            </w:r>
          </w:p>
        </w:tc>
        <w:tc>
          <w:tcPr>
            <w:tcW w:w="1785" w:type="dxa"/>
            <w:vAlign w:val="center"/>
          </w:tcPr>
          <w:p w14:paraId="0CB44375" w14:textId="77777777" w:rsidR="00741350" w:rsidRDefault="00741350" w:rsidP="00741350">
            <w:pPr>
              <w:tabs>
                <w:tab w:val="clear" w:pos="5041"/>
              </w:tabs>
              <w:spacing w:after="0"/>
              <w:rPr>
                <w:sz w:val="18"/>
                <w:szCs w:val="18"/>
              </w:rPr>
            </w:pPr>
            <w:r>
              <w:rPr>
                <w:sz w:val="18"/>
                <w:szCs w:val="18"/>
              </w:rPr>
              <w:t>Abundans: 10000</w:t>
            </w:r>
          </w:p>
          <w:p w14:paraId="7A8C96F3" w14:textId="77777777" w:rsidR="00741350" w:rsidRDefault="00741350" w:rsidP="00741350">
            <w:pPr>
              <w:tabs>
                <w:tab w:val="clear" w:pos="5041"/>
              </w:tabs>
              <w:spacing w:after="0"/>
              <w:rPr>
                <w:sz w:val="18"/>
                <w:szCs w:val="18"/>
              </w:rPr>
            </w:pPr>
            <w:r>
              <w:rPr>
                <w:sz w:val="18"/>
                <w:szCs w:val="18"/>
              </w:rPr>
              <w:t>Trend: +9%</w:t>
            </w:r>
          </w:p>
          <w:p w14:paraId="7C971237" w14:textId="2C69F483" w:rsidR="00741350" w:rsidRPr="0034175C" w:rsidRDefault="00741350" w:rsidP="00741350">
            <w:pPr>
              <w:tabs>
                <w:tab w:val="clear" w:pos="5041"/>
              </w:tabs>
              <w:spacing w:after="0"/>
              <w:rPr>
                <w:rFonts w:asciiTheme="minorHAnsi" w:hAnsiTheme="minorHAnsi"/>
                <w:sz w:val="18"/>
                <w:szCs w:val="18"/>
              </w:rPr>
            </w:pPr>
          </w:p>
        </w:tc>
        <w:tc>
          <w:tcPr>
            <w:tcW w:w="1446" w:type="dxa"/>
            <w:vAlign w:val="center"/>
          </w:tcPr>
          <w:p w14:paraId="2570AD32" w14:textId="2345A656" w:rsidR="00741350" w:rsidRPr="00741350" w:rsidRDefault="00741350" w:rsidP="00741350">
            <w:pPr>
              <w:spacing w:after="0"/>
              <w:jc w:val="both"/>
              <w:rPr>
                <w:rFonts w:ascii="Calibri" w:eastAsia="Calibri" w:hAnsi="Calibri"/>
                <w:sz w:val="18"/>
                <w:szCs w:val="18"/>
                <w:lang w:eastAsia="en-US"/>
              </w:rPr>
            </w:pPr>
            <w:r>
              <w:rPr>
                <w:sz w:val="18"/>
                <w:szCs w:val="18"/>
              </w:rPr>
              <w:t>Abundans: 1500</w:t>
            </w:r>
          </w:p>
          <w:p w14:paraId="4AA2C230" w14:textId="7D489EEF" w:rsidR="00741350" w:rsidRPr="0034175C" w:rsidRDefault="00741350" w:rsidP="00741350">
            <w:pPr>
              <w:tabs>
                <w:tab w:val="clear" w:pos="5041"/>
              </w:tabs>
              <w:spacing w:after="0"/>
              <w:rPr>
                <w:rFonts w:asciiTheme="minorHAnsi" w:hAnsiTheme="minorHAnsi"/>
                <w:sz w:val="18"/>
                <w:szCs w:val="18"/>
              </w:rPr>
            </w:pPr>
            <w:r>
              <w:rPr>
                <w:sz w:val="18"/>
                <w:szCs w:val="18"/>
              </w:rPr>
              <w:t>Trend: +9%</w:t>
            </w:r>
          </w:p>
        </w:tc>
        <w:tc>
          <w:tcPr>
            <w:tcW w:w="1668" w:type="dxa"/>
          </w:tcPr>
          <w:p w14:paraId="4041F404" w14:textId="77777777" w:rsidR="00741350" w:rsidRDefault="00741350" w:rsidP="00741350">
            <w:pPr>
              <w:tabs>
                <w:tab w:val="clear" w:pos="5041"/>
              </w:tabs>
              <w:spacing w:after="0"/>
              <w:rPr>
                <w:sz w:val="18"/>
                <w:szCs w:val="18"/>
              </w:rPr>
            </w:pPr>
            <w:r>
              <w:rPr>
                <w:sz w:val="18"/>
                <w:szCs w:val="18"/>
              </w:rPr>
              <w:t>Abundans:</w:t>
            </w:r>
          </w:p>
          <w:p w14:paraId="529C7811" w14:textId="5D527AE8" w:rsidR="00741350" w:rsidRDefault="00741350" w:rsidP="00741350">
            <w:pPr>
              <w:tabs>
                <w:tab w:val="clear" w:pos="5041"/>
              </w:tabs>
              <w:spacing w:after="0"/>
              <w:rPr>
                <w:sz w:val="18"/>
                <w:szCs w:val="18"/>
              </w:rPr>
            </w:pPr>
            <w:r>
              <w:rPr>
                <w:sz w:val="18"/>
                <w:szCs w:val="18"/>
              </w:rPr>
              <w:t>Ej God status</w:t>
            </w:r>
          </w:p>
          <w:p w14:paraId="4EAE67E0" w14:textId="77777777" w:rsidR="00741350" w:rsidRDefault="00741350" w:rsidP="00741350">
            <w:pPr>
              <w:tabs>
                <w:tab w:val="clear" w:pos="5041"/>
              </w:tabs>
              <w:spacing w:after="0"/>
              <w:rPr>
                <w:sz w:val="18"/>
                <w:szCs w:val="18"/>
              </w:rPr>
            </w:pPr>
            <w:r>
              <w:rPr>
                <w:sz w:val="18"/>
                <w:szCs w:val="18"/>
              </w:rPr>
              <w:t>Trend:</w:t>
            </w:r>
          </w:p>
          <w:p w14:paraId="57B6FC84" w14:textId="6D922688" w:rsidR="00741350" w:rsidRDefault="00741350" w:rsidP="00741350">
            <w:pPr>
              <w:tabs>
                <w:tab w:val="clear" w:pos="5041"/>
              </w:tabs>
              <w:spacing w:after="0"/>
              <w:rPr>
                <w:sz w:val="18"/>
                <w:szCs w:val="18"/>
              </w:rPr>
            </w:pPr>
            <w:r>
              <w:rPr>
                <w:sz w:val="18"/>
                <w:szCs w:val="18"/>
              </w:rPr>
              <w:t>God status</w:t>
            </w:r>
          </w:p>
          <w:p w14:paraId="61008F2A" w14:textId="23E8924D" w:rsidR="00741350" w:rsidRPr="002047A7" w:rsidRDefault="00741350" w:rsidP="00741350">
            <w:pPr>
              <w:tabs>
                <w:tab w:val="clear" w:pos="5041"/>
              </w:tabs>
              <w:spacing w:after="0"/>
              <w:rPr>
                <w:rFonts w:asciiTheme="minorHAnsi" w:hAnsiTheme="minorHAnsi"/>
                <w:color w:val="FFFFFF" w:themeColor="background1"/>
                <w:sz w:val="18"/>
                <w:szCs w:val="18"/>
              </w:rPr>
            </w:pPr>
          </w:p>
        </w:tc>
        <w:tc>
          <w:tcPr>
            <w:tcW w:w="2013" w:type="dxa"/>
            <w:vAlign w:val="center"/>
          </w:tcPr>
          <w:p w14:paraId="6D813564" w14:textId="2C414EDE" w:rsidR="00741350" w:rsidRPr="002047A7" w:rsidRDefault="00741350" w:rsidP="00741350">
            <w:pPr>
              <w:tabs>
                <w:tab w:val="clear" w:pos="5041"/>
              </w:tabs>
              <w:spacing w:after="0"/>
              <w:rPr>
                <w:rFonts w:asciiTheme="minorHAnsi" w:hAnsiTheme="minorHAnsi"/>
                <w:color w:val="FFFFFF" w:themeColor="background1"/>
                <w:sz w:val="18"/>
                <w:szCs w:val="18"/>
              </w:rPr>
            </w:pPr>
          </w:p>
        </w:tc>
      </w:tr>
      <w:tr w:rsidR="00EF0761" w14:paraId="66B29B3D" w14:textId="77777777" w:rsidTr="00741350">
        <w:trPr>
          <w:trHeight w:val="681"/>
        </w:trPr>
        <w:tc>
          <w:tcPr>
            <w:tcW w:w="9062" w:type="dxa"/>
            <w:gridSpan w:val="5"/>
            <w:vAlign w:val="center"/>
          </w:tcPr>
          <w:p w14:paraId="042DA8D5" w14:textId="2EBDADC8" w:rsidR="00EF0761" w:rsidRPr="002047A7" w:rsidRDefault="00741350" w:rsidP="00393373">
            <w:pPr>
              <w:tabs>
                <w:tab w:val="clear" w:pos="5041"/>
              </w:tabs>
              <w:spacing w:after="0"/>
              <w:rPr>
                <w:rFonts w:asciiTheme="minorHAnsi" w:hAnsiTheme="minorHAnsi"/>
                <w:color w:val="FFFFFF" w:themeColor="background1"/>
                <w:sz w:val="18"/>
                <w:szCs w:val="18"/>
              </w:rPr>
            </w:pPr>
            <w:r>
              <w:rPr>
                <w:sz w:val="18"/>
                <w:szCs w:val="18"/>
              </w:rPr>
              <w:t>*</w:t>
            </w:r>
            <w:r w:rsidR="00C45424">
              <w:rPr>
                <w:sz w:val="18"/>
                <w:szCs w:val="18"/>
              </w:rPr>
              <w:t>Öresund (norr om Öresundsbron</w:t>
            </w:r>
            <w:r>
              <w:rPr>
                <w:sz w:val="18"/>
                <w:szCs w:val="18"/>
              </w:rPr>
              <w:t>)</w:t>
            </w:r>
            <w:r w:rsidR="00C45424">
              <w:rPr>
                <w:sz w:val="18"/>
                <w:szCs w:val="18"/>
              </w:rPr>
              <w:t xml:space="preserve"> är samma population som för Arkonahavet och Södra Öresund.</w:t>
            </w:r>
          </w:p>
        </w:tc>
      </w:tr>
    </w:tbl>
    <w:p w14:paraId="6CFA6546" w14:textId="77777777" w:rsidR="007C0D98" w:rsidRPr="00475B09" w:rsidRDefault="007C0D98" w:rsidP="00475B09">
      <w:pPr>
        <w:tabs>
          <w:tab w:val="clear" w:pos="5041"/>
        </w:tabs>
        <w:spacing w:after="0"/>
        <w:jc w:val="both"/>
        <w:rPr>
          <w:i/>
        </w:rPr>
      </w:pPr>
    </w:p>
    <w:p w14:paraId="35520699" w14:textId="77777777" w:rsidR="001A460F" w:rsidRDefault="00B13809" w:rsidP="004B7657">
      <w:pPr>
        <w:tabs>
          <w:tab w:val="clear" w:pos="5041"/>
        </w:tabs>
      </w:pPr>
      <w:r>
        <w:t>Tabell 2. Förvaltningsområde Östersjön</w:t>
      </w:r>
    </w:p>
    <w:p w14:paraId="26D3FE0A" w14:textId="77777777" w:rsidR="004B7657" w:rsidRPr="004B7657" w:rsidRDefault="004B7657" w:rsidP="004B7657">
      <w:pPr>
        <w:tabs>
          <w:tab w:val="clear" w:pos="5041"/>
        </w:tabs>
        <w:spacing w:after="0"/>
        <w:rPr>
          <w:rFonts w:ascii="Georgia" w:eastAsiaTheme="minorHAnsi" w:hAnsi="Georgia" w:cstheme="minorBidi"/>
          <w:i/>
          <w:sz w:val="22"/>
          <w:szCs w:val="22"/>
          <w:lang w:eastAsia="en-US"/>
        </w:rPr>
      </w:pPr>
      <w:r w:rsidRPr="004B7657">
        <w:rPr>
          <w:i/>
        </w:rPr>
        <w:t>Tabelltext ex. enhet, arter för olika områden, etc.</w:t>
      </w:r>
    </w:p>
    <w:tbl>
      <w:tblPr>
        <w:tblStyle w:val="Tabellrutnt"/>
        <w:tblW w:w="9572" w:type="dxa"/>
        <w:tblCellMar>
          <w:top w:w="28" w:type="dxa"/>
          <w:bottom w:w="28" w:type="dxa"/>
        </w:tblCellMar>
        <w:tblLook w:val="04A0" w:firstRow="1" w:lastRow="0" w:firstColumn="1" w:lastColumn="0" w:noHBand="0" w:noVBand="1"/>
      </w:tblPr>
      <w:tblGrid>
        <w:gridCol w:w="2634"/>
        <w:gridCol w:w="1973"/>
        <w:gridCol w:w="1934"/>
        <w:gridCol w:w="1548"/>
        <w:gridCol w:w="1483"/>
      </w:tblGrid>
      <w:tr w:rsidR="009C10ED" w14:paraId="095C118F" w14:textId="77777777" w:rsidTr="009C10ED">
        <w:tc>
          <w:tcPr>
            <w:tcW w:w="2634" w:type="dxa"/>
          </w:tcPr>
          <w:p w14:paraId="2DC59309" w14:textId="0D189745" w:rsidR="00475B09" w:rsidRPr="00D44830" w:rsidRDefault="00475B09" w:rsidP="00D05BBE">
            <w:pPr>
              <w:tabs>
                <w:tab w:val="clear" w:pos="5041"/>
              </w:tabs>
              <w:spacing w:after="0"/>
              <w:rPr>
                <w:rFonts w:asciiTheme="majorHAnsi" w:hAnsiTheme="majorHAnsi" w:cstheme="majorHAnsi"/>
                <w:b/>
                <w:sz w:val="20"/>
                <w:szCs w:val="20"/>
              </w:rPr>
            </w:pPr>
            <w:r>
              <w:br w:type="page"/>
            </w:r>
            <w:r w:rsidRPr="00D44830">
              <w:rPr>
                <w:rFonts w:asciiTheme="majorHAnsi" w:hAnsiTheme="majorHAnsi" w:cstheme="majorHAnsi"/>
                <w:b/>
                <w:sz w:val="20"/>
                <w:szCs w:val="20"/>
              </w:rPr>
              <w:t>Bedömningsområde</w:t>
            </w:r>
            <w:r w:rsidR="009C10ED">
              <w:rPr>
                <w:rFonts w:asciiTheme="majorHAnsi" w:hAnsiTheme="majorHAnsi" w:cstheme="majorHAnsi"/>
                <w:b/>
                <w:sz w:val="20"/>
                <w:szCs w:val="20"/>
              </w:rPr>
              <w:t xml:space="preserve"> - </w:t>
            </w:r>
            <w:proofErr w:type="spellStart"/>
            <w:r w:rsidR="009C10ED">
              <w:rPr>
                <w:rFonts w:asciiTheme="majorHAnsi" w:hAnsiTheme="majorHAnsi" w:cstheme="majorHAnsi"/>
                <w:b/>
                <w:sz w:val="20"/>
                <w:szCs w:val="20"/>
              </w:rPr>
              <w:t>Havsbassäger</w:t>
            </w:r>
            <w:proofErr w:type="spellEnd"/>
          </w:p>
        </w:tc>
        <w:tc>
          <w:tcPr>
            <w:tcW w:w="1973" w:type="dxa"/>
          </w:tcPr>
          <w:p w14:paraId="0FA68C1A"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Tröskelvärde</w:t>
            </w:r>
          </w:p>
        </w:tc>
        <w:tc>
          <w:tcPr>
            <w:tcW w:w="1934" w:type="dxa"/>
          </w:tcPr>
          <w:p w14:paraId="03596E08"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Observerat v</w:t>
            </w:r>
            <w:r w:rsidRPr="00D44830">
              <w:rPr>
                <w:rFonts w:asciiTheme="majorHAnsi" w:hAnsiTheme="majorHAnsi" w:cstheme="majorHAnsi"/>
                <w:b/>
                <w:sz w:val="20"/>
                <w:szCs w:val="20"/>
              </w:rPr>
              <w:t>ärde</w:t>
            </w:r>
          </w:p>
        </w:tc>
        <w:tc>
          <w:tcPr>
            <w:tcW w:w="1548" w:type="dxa"/>
          </w:tcPr>
          <w:p w14:paraId="18DEDF4F" w14:textId="77777777" w:rsidR="00475B09"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Bedömning</w:t>
            </w:r>
          </w:p>
        </w:tc>
        <w:tc>
          <w:tcPr>
            <w:tcW w:w="1483" w:type="dxa"/>
          </w:tcPr>
          <w:p w14:paraId="3929883B"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Tillförlitlighet</w:t>
            </w:r>
          </w:p>
        </w:tc>
      </w:tr>
      <w:tr w:rsidR="009C10ED" w14:paraId="372D2AE5" w14:textId="77777777" w:rsidTr="009C10ED">
        <w:tc>
          <w:tcPr>
            <w:tcW w:w="2634" w:type="dxa"/>
            <w:vAlign w:val="center"/>
          </w:tcPr>
          <w:p w14:paraId="241805A2" w14:textId="77777777" w:rsidR="009C10ED" w:rsidRPr="00CE6559" w:rsidRDefault="009C10ED" w:rsidP="00D05BBE">
            <w:pPr>
              <w:tabs>
                <w:tab w:val="clear" w:pos="5041"/>
              </w:tabs>
              <w:spacing w:after="0"/>
              <w:rPr>
                <w:rFonts w:asciiTheme="minorHAnsi" w:hAnsiTheme="minorHAnsi"/>
                <w:sz w:val="18"/>
                <w:szCs w:val="18"/>
              </w:rPr>
            </w:pPr>
            <w:r w:rsidRPr="00CE6559">
              <w:rPr>
                <w:rFonts w:asciiTheme="minorHAnsi" w:hAnsiTheme="minorHAnsi"/>
                <w:sz w:val="18"/>
                <w:szCs w:val="18"/>
              </w:rPr>
              <w:t>Öresund</w:t>
            </w:r>
            <w:r>
              <w:rPr>
                <w:rFonts w:asciiTheme="minorHAnsi" w:hAnsiTheme="minorHAnsi"/>
                <w:sz w:val="18"/>
                <w:szCs w:val="18"/>
              </w:rPr>
              <w:t xml:space="preserve"> och Arkonahavet</w:t>
            </w:r>
          </w:p>
        </w:tc>
        <w:tc>
          <w:tcPr>
            <w:tcW w:w="1973" w:type="dxa"/>
            <w:vAlign w:val="center"/>
          </w:tcPr>
          <w:p w14:paraId="489CDEE2" w14:textId="77777777" w:rsidR="009C10ED" w:rsidRDefault="009C10ED" w:rsidP="00D05BBE">
            <w:pPr>
              <w:tabs>
                <w:tab w:val="clear" w:pos="5041"/>
              </w:tabs>
              <w:spacing w:after="0"/>
              <w:rPr>
                <w:sz w:val="18"/>
                <w:szCs w:val="18"/>
              </w:rPr>
            </w:pPr>
            <w:r>
              <w:rPr>
                <w:sz w:val="18"/>
                <w:szCs w:val="18"/>
              </w:rPr>
              <w:t>Abundans: 10000</w:t>
            </w:r>
          </w:p>
          <w:p w14:paraId="451F656F" w14:textId="77777777" w:rsidR="009C10ED" w:rsidRDefault="009C10ED" w:rsidP="00001350">
            <w:pPr>
              <w:tabs>
                <w:tab w:val="clear" w:pos="5041"/>
              </w:tabs>
              <w:spacing w:after="0"/>
              <w:rPr>
                <w:sz w:val="18"/>
                <w:szCs w:val="18"/>
              </w:rPr>
            </w:pPr>
            <w:r>
              <w:rPr>
                <w:sz w:val="18"/>
                <w:szCs w:val="18"/>
              </w:rPr>
              <w:t>Trend: +9%</w:t>
            </w:r>
          </w:p>
          <w:p w14:paraId="60832B4A" w14:textId="08FC4E15" w:rsidR="009C10ED" w:rsidRPr="00CE6559" w:rsidRDefault="009C10ED" w:rsidP="00D05BBE">
            <w:pPr>
              <w:tabs>
                <w:tab w:val="clear" w:pos="5041"/>
              </w:tabs>
              <w:spacing w:after="0"/>
              <w:rPr>
                <w:sz w:val="18"/>
                <w:szCs w:val="18"/>
              </w:rPr>
            </w:pPr>
          </w:p>
        </w:tc>
        <w:tc>
          <w:tcPr>
            <w:tcW w:w="1934" w:type="dxa"/>
            <w:vAlign w:val="center"/>
          </w:tcPr>
          <w:p w14:paraId="2320992A" w14:textId="2DC23338" w:rsidR="009C10ED" w:rsidRPr="009C10ED" w:rsidRDefault="009C10ED" w:rsidP="009C10ED">
            <w:pPr>
              <w:spacing w:after="0"/>
              <w:rPr>
                <w:rFonts w:ascii="Calibri" w:eastAsia="Calibri" w:hAnsi="Calibri"/>
                <w:sz w:val="18"/>
                <w:szCs w:val="18"/>
                <w:lang w:eastAsia="en-US"/>
              </w:rPr>
            </w:pPr>
            <w:r>
              <w:rPr>
                <w:sz w:val="18"/>
                <w:szCs w:val="18"/>
              </w:rPr>
              <w:t xml:space="preserve">Abundans: </w:t>
            </w:r>
            <w:r w:rsidR="009D00B9">
              <w:rPr>
                <w:sz w:val="18"/>
                <w:szCs w:val="18"/>
              </w:rPr>
              <w:t>&gt;</w:t>
            </w:r>
            <w:r w:rsidRPr="009C10ED">
              <w:rPr>
                <w:sz w:val="18"/>
                <w:szCs w:val="18"/>
              </w:rPr>
              <w:t>10000*</w:t>
            </w:r>
          </w:p>
          <w:p w14:paraId="1330185B" w14:textId="7FB31A4A" w:rsidR="009C10ED" w:rsidRPr="00CE6559" w:rsidRDefault="009C10ED" w:rsidP="00D05BBE">
            <w:pPr>
              <w:tabs>
                <w:tab w:val="clear" w:pos="5041"/>
              </w:tabs>
              <w:spacing w:after="0"/>
              <w:rPr>
                <w:sz w:val="18"/>
                <w:szCs w:val="18"/>
              </w:rPr>
            </w:pPr>
            <w:r>
              <w:rPr>
                <w:sz w:val="18"/>
                <w:szCs w:val="18"/>
              </w:rPr>
              <w:t>Trend: +6%</w:t>
            </w:r>
          </w:p>
        </w:tc>
        <w:tc>
          <w:tcPr>
            <w:tcW w:w="1548" w:type="dxa"/>
          </w:tcPr>
          <w:p w14:paraId="3D0676B0" w14:textId="77777777" w:rsidR="009C10ED" w:rsidRDefault="009C10ED" w:rsidP="00D05BBE">
            <w:pPr>
              <w:tabs>
                <w:tab w:val="clear" w:pos="5041"/>
              </w:tabs>
              <w:spacing w:after="0"/>
              <w:rPr>
                <w:sz w:val="18"/>
                <w:szCs w:val="18"/>
              </w:rPr>
            </w:pPr>
            <w:r>
              <w:rPr>
                <w:sz w:val="18"/>
                <w:szCs w:val="18"/>
              </w:rPr>
              <w:t>Abundans:</w:t>
            </w:r>
          </w:p>
          <w:p w14:paraId="37230BC3" w14:textId="66D62C71" w:rsidR="009C10ED" w:rsidRDefault="009C10ED" w:rsidP="00D05BBE">
            <w:pPr>
              <w:tabs>
                <w:tab w:val="clear" w:pos="5041"/>
              </w:tabs>
              <w:spacing w:after="0"/>
              <w:rPr>
                <w:sz w:val="18"/>
                <w:szCs w:val="18"/>
              </w:rPr>
            </w:pPr>
            <w:r>
              <w:rPr>
                <w:sz w:val="18"/>
                <w:szCs w:val="18"/>
              </w:rPr>
              <w:t>God status</w:t>
            </w:r>
          </w:p>
          <w:p w14:paraId="33B36661" w14:textId="77777777" w:rsidR="009C10ED" w:rsidRDefault="009C10ED" w:rsidP="00D05BBE">
            <w:pPr>
              <w:tabs>
                <w:tab w:val="clear" w:pos="5041"/>
              </w:tabs>
              <w:spacing w:after="0"/>
              <w:rPr>
                <w:sz w:val="18"/>
                <w:szCs w:val="18"/>
              </w:rPr>
            </w:pPr>
            <w:r>
              <w:rPr>
                <w:sz w:val="18"/>
                <w:szCs w:val="18"/>
              </w:rPr>
              <w:t>Trend:</w:t>
            </w:r>
          </w:p>
          <w:p w14:paraId="5687143A" w14:textId="70D4EDCB" w:rsidR="009C10ED" w:rsidRDefault="009C10ED" w:rsidP="00D05BBE">
            <w:pPr>
              <w:tabs>
                <w:tab w:val="clear" w:pos="5041"/>
              </w:tabs>
              <w:spacing w:after="0"/>
              <w:rPr>
                <w:sz w:val="18"/>
                <w:szCs w:val="18"/>
              </w:rPr>
            </w:pPr>
            <w:r>
              <w:rPr>
                <w:sz w:val="18"/>
                <w:szCs w:val="18"/>
              </w:rPr>
              <w:t>Ej god status</w:t>
            </w:r>
          </w:p>
          <w:p w14:paraId="171FCD7D" w14:textId="7601D5CC" w:rsidR="009C10ED" w:rsidRPr="00CE6559" w:rsidRDefault="009C10ED" w:rsidP="00D05BBE">
            <w:pPr>
              <w:tabs>
                <w:tab w:val="clear" w:pos="5041"/>
              </w:tabs>
              <w:spacing w:after="0"/>
              <w:rPr>
                <w:sz w:val="18"/>
                <w:szCs w:val="18"/>
              </w:rPr>
            </w:pPr>
          </w:p>
        </w:tc>
        <w:tc>
          <w:tcPr>
            <w:tcW w:w="1483" w:type="dxa"/>
            <w:vAlign w:val="center"/>
          </w:tcPr>
          <w:p w14:paraId="3A1AF4C6" w14:textId="77777777" w:rsidR="009C10ED" w:rsidRPr="00CE6559" w:rsidRDefault="009C10ED" w:rsidP="00D05BBE">
            <w:pPr>
              <w:tabs>
                <w:tab w:val="clear" w:pos="5041"/>
              </w:tabs>
              <w:spacing w:after="0"/>
              <w:rPr>
                <w:sz w:val="18"/>
                <w:szCs w:val="18"/>
              </w:rPr>
            </w:pPr>
          </w:p>
        </w:tc>
      </w:tr>
      <w:tr w:rsidR="009C10ED" w14:paraId="387249E6" w14:textId="77777777" w:rsidTr="009C10ED">
        <w:tc>
          <w:tcPr>
            <w:tcW w:w="2634" w:type="dxa"/>
            <w:vAlign w:val="center"/>
          </w:tcPr>
          <w:p w14:paraId="4E76EFE7" w14:textId="77777777" w:rsidR="009C10ED" w:rsidRPr="00CE6559" w:rsidRDefault="009C10ED" w:rsidP="009C10ED">
            <w:pPr>
              <w:tabs>
                <w:tab w:val="clear" w:pos="5041"/>
              </w:tabs>
              <w:spacing w:after="0"/>
              <w:rPr>
                <w:rFonts w:asciiTheme="minorHAnsi" w:hAnsiTheme="minorHAnsi"/>
                <w:sz w:val="18"/>
                <w:szCs w:val="18"/>
              </w:rPr>
            </w:pPr>
            <w:proofErr w:type="spellStart"/>
            <w:r w:rsidRPr="00CE6559">
              <w:rPr>
                <w:rFonts w:asciiTheme="minorHAnsi" w:hAnsiTheme="minorHAnsi"/>
                <w:sz w:val="18"/>
                <w:szCs w:val="18"/>
              </w:rPr>
              <w:t>Bornholmshavet</w:t>
            </w:r>
            <w:proofErr w:type="spellEnd"/>
            <w:r w:rsidRPr="00CE6559">
              <w:rPr>
                <w:rFonts w:asciiTheme="minorHAnsi" w:hAnsiTheme="minorHAnsi"/>
                <w:sz w:val="18"/>
                <w:szCs w:val="18"/>
              </w:rPr>
              <w:t xml:space="preserve"> och Hanöbukten</w:t>
            </w:r>
          </w:p>
        </w:tc>
        <w:tc>
          <w:tcPr>
            <w:tcW w:w="1973" w:type="dxa"/>
            <w:vAlign w:val="center"/>
          </w:tcPr>
          <w:p w14:paraId="7C317DFF" w14:textId="77777777" w:rsidR="009C10ED" w:rsidRDefault="009C10ED" w:rsidP="009C10ED">
            <w:pPr>
              <w:tabs>
                <w:tab w:val="clear" w:pos="5041"/>
              </w:tabs>
              <w:spacing w:after="0"/>
              <w:rPr>
                <w:sz w:val="18"/>
                <w:szCs w:val="18"/>
              </w:rPr>
            </w:pPr>
            <w:r>
              <w:rPr>
                <w:sz w:val="18"/>
                <w:szCs w:val="18"/>
              </w:rPr>
              <w:t>Abundans: 10000</w:t>
            </w:r>
          </w:p>
          <w:p w14:paraId="11BB9055" w14:textId="77777777" w:rsidR="009C10ED" w:rsidRDefault="009C10ED" w:rsidP="009C10ED">
            <w:pPr>
              <w:tabs>
                <w:tab w:val="clear" w:pos="5041"/>
              </w:tabs>
              <w:spacing w:after="0"/>
              <w:rPr>
                <w:sz w:val="18"/>
                <w:szCs w:val="18"/>
              </w:rPr>
            </w:pPr>
            <w:r>
              <w:rPr>
                <w:sz w:val="18"/>
                <w:szCs w:val="18"/>
              </w:rPr>
              <w:t>Trend: +9%</w:t>
            </w:r>
          </w:p>
          <w:p w14:paraId="43DE62E2" w14:textId="1092C721" w:rsidR="009C10ED" w:rsidRPr="00CE6559" w:rsidRDefault="009C10ED" w:rsidP="009C10ED">
            <w:pPr>
              <w:tabs>
                <w:tab w:val="clear" w:pos="5041"/>
              </w:tabs>
              <w:spacing w:after="0"/>
              <w:rPr>
                <w:sz w:val="18"/>
                <w:szCs w:val="18"/>
              </w:rPr>
            </w:pPr>
          </w:p>
        </w:tc>
        <w:tc>
          <w:tcPr>
            <w:tcW w:w="1934" w:type="dxa"/>
            <w:vAlign w:val="center"/>
          </w:tcPr>
          <w:p w14:paraId="639CC78C" w14:textId="36A62EE2" w:rsidR="009C10ED" w:rsidRPr="009C10ED" w:rsidRDefault="009C10ED" w:rsidP="009C10ED">
            <w:pPr>
              <w:spacing w:after="0"/>
              <w:rPr>
                <w:rFonts w:ascii="Calibri" w:eastAsia="Calibri" w:hAnsi="Calibri"/>
                <w:sz w:val="18"/>
                <w:szCs w:val="18"/>
                <w:lang w:eastAsia="en-US"/>
              </w:rPr>
            </w:pPr>
            <w:r>
              <w:rPr>
                <w:sz w:val="18"/>
                <w:szCs w:val="18"/>
              </w:rPr>
              <w:t xml:space="preserve">Abundans: </w:t>
            </w:r>
            <w:r w:rsidR="009D00B9">
              <w:rPr>
                <w:sz w:val="18"/>
                <w:szCs w:val="18"/>
              </w:rPr>
              <w:t>&gt;</w:t>
            </w:r>
            <w:r w:rsidRPr="009C10ED">
              <w:rPr>
                <w:sz w:val="18"/>
                <w:szCs w:val="18"/>
              </w:rPr>
              <w:t>10000*</w:t>
            </w:r>
          </w:p>
          <w:p w14:paraId="45845C81" w14:textId="4E37B538" w:rsidR="009C10ED" w:rsidRPr="00CE6559" w:rsidRDefault="009C10ED" w:rsidP="009C10ED">
            <w:pPr>
              <w:tabs>
                <w:tab w:val="clear" w:pos="5041"/>
              </w:tabs>
              <w:spacing w:after="0"/>
              <w:rPr>
                <w:sz w:val="18"/>
                <w:szCs w:val="18"/>
              </w:rPr>
            </w:pPr>
            <w:r>
              <w:rPr>
                <w:sz w:val="18"/>
                <w:szCs w:val="18"/>
              </w:rPr>
              <w:t>Trend: +6%</w:t>
            </w:r>
          </w:p>
        </w:tc>
        <w:tc>
          <w:tcPr>
            <w:tcW w:w="1548" w:type="dxa"/>
          </w:tcPr>
          <w:p w14:paraId="297730BA" w14:textId="77777777" w:rsidR="009C10ED" w:rsidRDefault="009C10ED" w:rsidP="009C10ED">
            <w:pPr>
              <w:tabs>
                <w:tab w:val="clear" w:pos="5041"/>
              </w:tabs>
              <w:spacing w:after="0"/>
              <w:rPr>
                <w:sz w:val="18"/>
                <w:szCs w:val="18"/>
              </w:rPr>
            </w:pPr>
            <w:r>
              <w:rPr>
                <w:sz w:val="18"/>
                <w:szCs w:val="18"/>
              </w:rPr>
              <w:t>Abundans:</w:t>
            </w:r>
          </w:p>
          <w:p w14:paraId="6B3778D3" w14:textId="36AE32D1" w:rsidR="009C10ED" w:rsidRDefault="009C10ED" w:rsidP="009C10ED">
            <w:pPr>
              <w:tabs>
                <w:tab w:val="clear" w:pos="5041"/>
              </w:tabs>
              <w:spacing w:after="0"/>
              <w:rPr>
                <w:sz w:val="18"/>
                <w:szCs w:val="18"/>
              </w:rPr>
            </w:pPr>
            <w:r>
              <w:rPr>
                <w:sz w:val="18"/>
                <w:szCs w:val="18"/>
              </w:rPr>
              <w:t>God status</w:t>
            </w:r>
          </w:p>
          <w:p w14:paraId="3A08F21A" w14:textId="77777777" w:rsidR="009C10ED" w:rsidRDefault="009C10ED" w:rsidP="009C10ED">
            <w:pPr>
              <w:tabs>
                <w:tab w:val="clear" w:pos="5041"/>
              </w:tabs>
              <w:spacing w:after="0"/>
              <w:rPr>
                <w:sz w:val="18"/>
                <w:szCs w:val="18"/>
              </w:rPr>
            </w:pPr>
            <w:r>
              <w:rPr>
                <w:sz w:val="18"/>
                <w:szCs w:val="18"/>
              </w:rPr>
              <w:t>Trend:</w:t>
            </w:r>
          </w:p>
          <w:p w14:paraId="4A2328D8" w14:textId="7FD8C4F5" w:rsidR="009C10ED" w:rsidRDefault="009C10ED" w:rsidP="009C10ED">
            <w:pPr>
              <w:tabs>
                <w:tab w:val="clear" w:pos="5041"/>
              </w:tabs>
              <w:spacing w:after="0"/>
              <w:rPr>
                <w:sz w:val="18"/>
                <w:szCs w:val="18"/>
              </w:rPr>
            </w:pPr>
            <w:r>
              <w:rPr>
                <w:sz w:val="18"/>
                <w:szCs w:val="18"/>
              </w:rPr>
              <w:t>Ej god status</w:t>
            </w:r>
          </w:p>
          <w:p w14:paraId="01DDA9FE" w14:textId="77777777" w:rsidR="009C10ED" w:rsidRPr="00CE6559" w:rsidRDefault="009C10ED" w:rsidP="009C10ED">
            <w:pPr>
              <w:tabs>
                <w:tab w:val="clear" w:pos="5041"/>
              </w:tabs>
              <w:spacing w:after="0"/>
              <w:rPr>
                <w:sz w:val="18"/>
                <w:szCs w:val="18"/>
              </w:rPr>
            </w:pPr>
          </w:p>
        </w:tc>
        <w:tc>
          <w:tcPr>
            <w:tcW w:w="1483" w:type="dxa"/>
            <w:vAlign w:val="center"/>
          </w:tcPr>
          <w:p w14:paraId="2FCF22AE" w14:textId="77777777" w:rsidR="009C10ED" w:rsidRPr="00CE6559" w:rsidRDefault="009C10ED" w:rsidP="009C10ED">
            <w:pPr>
              <w:tabs>
                <w:tab w:val="clear" w:pos="5041"/>
              </w:tabs>
              <w:spacing w:after="0"/>
              <w:rPr>
                <w:sz w:val="18"/>
                <w:szCs w:val="18"/>
              </w:rPr>
            </w:pPr>
          </w:p>
        </w:tc>
      </w:tr>
      <w:tr w:rsidR="009C10ED" w14:paraId="18F31EF9" w14:textId="77777777" w:rsidTr="009C10ED">
        <w:tc>
          <w:tcPr>
            <w:tcW w:w="2634" w:type="dxa"/>
            <w:vAlign w:val="center"/>
          </w:tcPr>
          <w:p w14:paraId="2B9C1F39" w14:textId="164B72F6" w:rsidR="009C10ED" w:rsidRPr="00CE6559" w:rsidRDefault="009C10ED" w:rsidP="009C10ED">
            <w:pPr>
              <w:tabs>
                <w:tab w:val="clear" w:pos="5041"/>
              </w:tabs>
              <w:spacing w:after="0"/>
              <w:rPr>
                <w:rFonts w:asciiTheme="minorHAnsi" w:hAnsiTheme="minorHAnsi"/>
                <w:sz w:val="18"/>
                <w:szCs w:val="18"/>
              </w:rPr>
            </w:pPr>
            <w:r w:rsidRPr="00CE6559">
              <w:rPr>
                <w:rFonts w:asciiTheme="minorHAnsi" w:hAnsiTheme="minorHAnsi"/>
                <w:sz w:val="18"/>
                <w:szCs w:val="18"/>
              </w:rPr>
              <w:t>Östra Gotlandshavet</w:t>
            </w:r>
            <w:r>
              <w:rPr>
                <w:rFonts w:asciiTheme="minorHAnsi" w:hAnsiTheme="minorHAnsi"/>
                <w:sz w:val="18"/>
                <w:szCs w:val="18"/>
              </w:rPr>
              <w:t xml:space="preserve"> (Kalmarsund)*</w:t>
            </w:r>
            <w:r w:rsidR="007367F2">
              <w:rPr>
                <w:rFonts w:asciiTheme="minorHAnsi" w:hAnsiTheme="minorHAnsi"/>
                <w:sz w:val="18"/>
                <w:szCs w:val="18"/>
              </w:rPr>
              <w:t>*</w:t>
            </w:r>
          </w:p>
        </w:tc>
        <w:tc>
          <w:tcPr>
            <w:tcW w:w="1973" w:type="dxa"/>
            <w:vAlign w:val="center"/>
          </w:tcPr>
          <w:p w14:paraId="1F66AAFF" w14:textId="77777777" w:rsidR="009C10ED" w:rsidRPr="00CE6559" w:rsidRDefault="009C10ED" w:rsidP="009C10ED">
            <w:pPr>
              <w:tabs>
                <w:tab w:val="clear" w:pos="5041"/>
              </w:tabs>
              <w:spacing w:after="0"/>
              <w:rPr>
                <w:sz w:val="18"/>
                <w:szCs w:val="18"/>
              </w:rPr>
            </w:pPr>
            <w:r>
              <w:rPr>
                <w:sz w:val="18"/>
                <w:szCs w:val="18"/>
              </w:rPr>
              <w:t>Ej tillämpligt</w:t>
            </w:r>
          </w:p>
        </w:tc>
        <w:tc>
          <w:tcPr>
            <w:tcW w:w="1934" w:type="dxa"/>
            <w:vAlign w:val="center"/>
          </w:tcPr>
          <w:p w14:paraId="40BAB195" w14:textId="77777777" w:rsidR="009C10ED" w:rsidRPr="00CE6559" w:rsidRDefault="009C10ED" w:rsidP="009C10ED">
            <w:pPr>
              <w:tabs>
                <w:tab w:val="clear" w:pos="5041"/>
              </w:tabs>
              <w:spacing w:after="0"/>
              <w:rPr>
                <w:sz w:val="18"/>
                <w:szCs w:val="18"/>
              </w:rPr>
            </w:pPr>
          </w:p>
        </w:tc>
        <w:tc>
          <w:tcPr>
            <w:tcW w:w="1548" w:type="dxa"/>
          </w:tcPr>
          <w:p w14:paraId="553B7CC4" w14:textId="77777777" w:rsidR="009C10ED" w:rsidRPr="00CE6559" w:rsidRDefault="009C10ED" w:rsidP="009C10ED">
            <w:pPr>
              <w:tabs>
                <w:tab w:val="clear" w:pos="5041"/>
              </w:tabs>
              <w:spacing w:after="0"/>
              <w:rPr>
                <w:sz w:val="18"/>
                <w:szCs w:val="18"/>
              </w:rPr>
            </w:pPr>
          </w:p>
        </w:tc>
        <w:tc>
          <w:tcPr>
            <w:tcW w:w="1483" w:type="dxa"/>
            <w:vAlign w:val="center"/>
          </w:tcPr>
          <w:p w14:paraId="662E4AA9" w14:textId="77777777" w:rsidR="009C10ED" w:rsidRPr="00CE6559" w:rsidRDefault="009C10ED" w:rsidP="009C10ED">
            <w:pPr>
              <w:tabs>
                <w:tab w:val="clear" w:pos="5041"/>
              </w:tabs>
              <w:spacing w:after="0"/>
              <w:rPr>
                <w:sz w:val="18"/>
                <w:szCs w:val="18"/>
              </w:rPr>
            </w:pPr>
          </w:p>
        </w:tc>
      </w:tr>
      <w:tr w:rsidR="009C10ED" w14:paraId="346FCB41" w14:textId="77777777" w:rsidTr="009C10ED">
        <w:tc>
          <w:tcPr>
            <w:tcW w:w="2634" w:type="dxa"/>
            <w:vAlign w:val="center"/>
          </w:tcPr>
          <w:p w14:paraId="5E71AC05" w14:textId="6CC73CD6" w:rsidR="009C10ED" w:rsidRPr="00CE6559" w:rsidRDefault="009C10ED" w:rsidP="009C10ED">
            <w:pPr>
              <w:tabs>
                <w:tab w:val="clear" w:pos="5041"/>
              </w:tabs>
              <w:spacing w:after="0"/>
              <w:rPr>
                <w:rFonts w:asciiTheme="minorHAnsi" w:hAnsiTheme="minorHAnsi"/>
                <w:sz w:val="18"/>
                <w:szCs w:val="18"/>
              </w:rPr>
            </w:pPr>
            <w:r w:rsidRPr="00CE6559">
              <w:rPr>
                <w:rFonts w:asciiTheme="minorHAnsi" w:hAnsiTheme="minorHAnsi"/>
                <w:sz w:val="18"/>
                <w:szCs w:val="18"/>
              </w:rPr>
              <w:t>Västra Gotlandshavet</w:t>
            </w:r>
            <w:r>
              <w:rPr>
                <w:rFonts w:asciiTheme="minorHAnsi" w:hAnsiTheme="minorHAnsi"/>
                <w:sz w:val="18"/>
                <w:szCs w:val="18"/>
              </w:rPr>
              <w:t xml:space="preserve"> (Kalmarsund)*</w:t>
            </w:r>
            <w:r w:rsidR="007367F2">
              <w:rPr>
                <w:rFonts w:asciiTheme="minorHAnsi" w:hAnsiTheme="minorHAnsi"/>
                <w:sz w:val="18"/>
                <w:szCs w:val="18"/>
              </w:rPr>
              <w:t>*</w:t>
            </w:r>
          </w:p>
        </w:tc>
        <w:tc>
          <w:tcPr>
            <w:tcW w:w="1973" w:type="dxa"/>
            <w:vAlign w:val="center"/>
          </w:tcPr>
          <w:p w14:paraId="42430167" w14:textId="77777777" w:rsidR="009C10ED" w:rsidRDefault="009C10ED" w:rsidP="009C10ED">
            <w:pPr>
              <w:tabs>
                <w:tab w:val="clear" w:pos="5041"/>
              </w:tabs>
              <w:spacing w:after="0"/>
              <w:rPr>
                <w:sz w:val="18"/>
                <w:szCs w:val="18"/>
              </w:rPr>
            </w:pPr>
            <w:r>
              <w:rPr>
                <w:sz w:val="18"/>
                <w:szCs w:val="18"/>
              </w:rPr>
              <w:t>Abundans: 10000</w:t>
            </w:r>
          </w:p>
          <w:p w14:paraId="1F99A1EA" w14:textId="77777777" w:rsidR="009C10ED" w:rsidRDefault="009C10ED" w:rsidP="009C10ED">
            <w:pPr>
              <w:tabs>
                <w:tab w:val="clear" w:pos="5041"/>
              </w:tabs>
              <w:spacing w:after="0"/>
              <w:rPr>
                <w:sz w:val="18"/>
                <w:szCs w:val="18"/>
              </w:rPr>
            </w:pPr>
            <w:r>
              <w:rPr>
                <w:sz w:val="18"/>
                <w:szCs w:val="18"/>
              </w:rPr>
              <w:t>Trend: +9%</w:t>
            </w:r>
          </w:p>
          <w:p w14:paraId="49E1325A" w14:textId="3DE62C6C" w:rsidR="009C10ED" w:rsidRDefault="009C10ED" w:rsidP="009C10ED"/>
        </w:tc>
        <w:tc>
          <w:tcPr>
            <w:tcW w:w="1934" w:type="dxa"/>
            <w:vAlign w:val="center"/>
          </w:tcPr>
          <w:p w14:paraId="63E54B26" w14:textId="77777777" w:rsidR="009C10ED" w:rsidRDefault="009C10ED" w:rsidP="009C10ED">
            <w:pPr>
              <w:tabs>
                <w:tab w:val="clear" w:pos="5041"/>
              </w:tabs>
              <w:spacing w:after="0"/>
              <w:rPr>
                <w:sz w:val="18"/>
                <w:szCs w:val="18"/>
              </w:rPr>
            </w:pPr>
            <w:r>
              <w:rPr>
                <w:sz w:val="18"/>
                <w:szCs w:val="18"/>
              </w:rPr>
              <w:t>Abundans: 1500</w:t>
            </w:r>
          </w:p>
          <w:p w14:paraId="6E80D308" w14:textId="77777777" w:rsidR="009C10ED" w:rsidRDefault="009C10ED" w:rsidP="009C10ED">
            <w:pPr>
              <w:tabs>
                <w:tab w:val="clear" w:pos="5041"/>
              </w:tabs>
              <w:spacing w:after="0"/>
              <w:rPr>
                <w:sz w:val="18"/>
                <w:szCs w:val="18"/>
              </w:rPr>
            </w:pPr>
            <w:r>
              <w:rPr>
                <w:sz w:val="18"/>
                <w:szCs w:val="18"/>
              </w:rPr>
              <w:t>Trend: +9%</w:t>
            </w:r>
          </w:p>
          <w:p w14:paraId="5F558E2B" w14:textId="77777777" w:rsidR="009C10ED" w:rsidRPr="00CE6559" w:rsidRDefault="009C10ED" w:rsidP="009C10ED">
            <w:pPr>
              <w:tabs>
                <w:tab w:val="clear" w:pos="5041"/>
              </w:tabs>
              <w:spacing w:after="0"/>
              <w:rPr>
                <w:sz w:val="18"/>
                <w:szCs w:val="18"/>
              </w:rPr>
            </w:pPr>
          </w:p>
        </w:tc>
        <w:tc>
          <w:tcPr>
            <w:tcW w:w="1548" w:type="dxa"/>
          </w:tcPr>
          <w:p w14:paraId="5F2CDF21" w14:textId="77777777" w:rsidR="009C10ED" w:rsidRDefault="009C10ED" w:rsidP="009C10ED">
            <w:pPr>
              <w:tabs>
                <w:tab w:val="clear" w:pos="5041"/>
              </w:tabs>
              <w:spacing w:after="0"/>
              <w:rPr>
                <w:sz w:val="18"/>
                <w:szCs w:val="18"/>
              </w:rPr>
            </w:pPr>
          </w:p>
          <w:p w14:paraId="22BA3776" w14:textId="77777777" w:rsidR="009C10ED" w:rsidRDefault="009C10ED" w:rsidP="009C10ED">
            <w:pPr>
              <w:tabs>
                <w:tab w:val="clear" w:pos="5041"/>
              </w:tabs>
              <w:spacing w:after="0"/>
              <w:rPr>
                <w:sz w:val="18"/>
                <w:szCs w:val="18"/>
              </w:rPr>
            </w:pPr>
            <w:r>
              <w:rPr>
                <w:sz w:val="18"/>
                <w:szCs w:val="18"/>
              </w:rPr>
              <w:t>Abundans:</w:t>
            </w:r>
          </w:p>
          <w:p w14:paraId="5778CD54" w14:textId="5738379C" w:rsidR="009C10ED" w:rsidRDefault="009C10ED" w:rsidP="009C10ED">
            <w:pPr>
              <w:tabs>
                <w:tab w:val="clear" w:pos="5041"/>
              </w:tabs>
              <w:spacing w:after="0"/>
              <w:rPr>
                <w:sz w:val="18"/>
                <w:szCs w:val="18"/>
              </w:rPr>
            </w:pPr>
            <w:r>
              <w:rPr>
                <w:sz w:val="18"/>
                <w:szCs w:val="18"/>
              </w:rPr>
              <w:t>Ej god status</w:t>
            </w:r>
          </w:p>
          <w:p w14:paraId="0E36921E" w14:textId="77777777" w:rsidR="009C10ED" w:rsidRDefault="009C10ED" w:rsidP="009C10ED">
            <w:pPr>
              <w:tabs>
                <w:tab w:val="clear" w:pos="5041"/>
              </w:tabs>
              <w:spacing w:after="0"/>
              <w:rPr>
                <w:sz w:val="18"/>
                <w:szCs w:val="18"/>
              </w:rPr>
            </w:pPr>
            <w:r>
              <w:rPr>
                <w:sz w:val="18"/>
                <w:szCs w:val="18"/>
              </w:rPr>
              <w:t>Trend:</w:t>
            </w:r>
          </w:p>
          <w:p w14:paraId="5069EF46" w14:textId="6DD48D1D" w:rsidR="009C10ED" w:rsidRDefault="009C10ED" w:rsidP="009C10ED">
            <w:pPr>
              <w:tabs>
                <w:tab w:val="clear" w:pos="5041"/>
              </w:tabs>
              <w:spacing w:after="0"/>
              <w:rPr>
                <w:sz w:val="18"/>
                <w:szCs w:val="18"/>
              </w:rPr>
            </w:pPr>
            <w:r>
              <w:rPr>
                <w:sz w:val="18"/>
                <w:szCs w:val="18"/>
              </w:rPr>
              <w:t>God status</w:t>
            </w:r>
          </w:p>
          <w:p w14:paraId="703C01E7" w14:textId="77777777" w:rsidR="009C10ED" w:rsidRPr="00CE6559" w:rsidRDefault="009C10ED" w:rsidP="009C10ED">
            <w:pPr>
              <w:tabs>
                <w:tab w:val="clear" w:pos="5041"/>
              </w:tabs>
              <w:spacing w:after="0"/>
              <w:rPr>
                <w:sz w:val="18"/>
                <w:szCs w:val="18"/>
              </w:rPr>
            </w:pPr>
          </w:p>
        </w:tc>
        <w:tc>
          <w:tcPr>
            <w:tcW w:w="1483" w:type="dxa"/>
            <w:vAlign w:val="center"/>
          </w:tcPr>
          <w:p w14:paraId="4921E58A" w14:textId="77777777" w:rsidR="009C10ED" w:rsidRPr="00CE6559" w:rsidRDefault="009C10ED" w:rsidP="009C10ED">
            <w:pPr>
              <w:tabs>
                <w:tab w:val="clear" w:pos="5041"/>
              </w:tabs>
              <w:spacing w:after="0"/>
              <w:rPr>
                <w:sz w:val="18"/>
                <w:szCs w:val="18"/>
              </w:rPr>
            </w:pPr>
          </w:p>
        </w:tc>
      </w:tr>
      <w:tr w:rsidR="009C10ED" w14:paraId="77E66BF5" w14:textId="77777777" w:rsidTr="009C10ED">
        <w:tc>
          <w:tcPr>
            <w:tcW w:w="2634" w:type="dxa"/>
            <w:vAlign w:val="center"/>
          </w:tcPr>
          <w:p w14:paraId="77008AB2" w14:textId="77777777" w:rsidR="009C10ED" w:rsidRPr="00CE6559" w:rsidRDefault="009C10ED" w:rsidP="009C10ED">
            <w:pPr>
              <w:tabs>
                <w:tab w:val="clear" w:pos="5041"/>
              </w:tabs>
              <w:spacing w:after="0"/>
              <w:rPr>
                <w:rFonts w:asciiTheme="minorHAnsi" w:hAnsiTheme="minorHAnsi"/>
                <w:sz w:val="18"/>
                <w:szCs w:val="18"/>
              </w:rPr>
            </w:pPr>
            <w:r w:rsidRPr="00CE6559">
              <w:rPr>
                <w:rFonts w:asciiTheme="minorHAnsi" w:hAnsiTheme="minorHAnsi"/>
                <w:sz w:val="18"/>
                <w:szCs w:val="18"/>
              </w:rPr>
              <w:t>Norra Gotlandshavet</w:t>
            </w:r>
          </w:p>
        </w:tc>
        <w:tc>
          <w:tcPr>
            <w:tcW w:w="1973" w:type="dxa"/>
          </w:tcPr>
          <w:p w14:paraId="6AD5D1F0" w14:textId="77777777" w:rsidR="009C10ED" w:rsidRDefault="009C10ED" w:rsidP="009C10ED">
            <w:r w:rsidRPr="00131604">
              <w:rPr>
                <w:sz w:val="18"/>
                <w:szCs w:val="18"/>
              </w:rPr>
              <w:t>Ej tillämpligt</w:t>
            </w:r>
          </w:p>
        </w:tc>
        <w:tc>
          <w:tcPr>
            <w:tcW w:w="1934" w:type="dxa"/>
            <w:vAlign w:val="center"/>
          </w:tcPr>
          <w:p w14:paraId="27E3C705" w14:textId="77777777" w:rsidR="009C10ED" w:rsidRPr="00CE6559" w:rsidRDefault="009C10ED" w:rsidP="009C10ED">
            <w:pPr>
              <w:tabs>
                <w:tab w:val="clear" w:pos="5041"/>
              </w:tabs>
              <w:spacing w:after="0"/>
              <w:rPr>
                <w:sz w:val="18"/>
                <w:szCs w:val="18"/>
              </w:rPr>
            </w:pPr>
          </w:p>
        </w:tc>
        <w:tc>
          <w:tcPr>
            <w:tcW w:w="1548" w:type="dxa"/>
          </w:tcPr>
          <w:p w14:paraId="6856D4C5" w14:textId="77777777" w:rsidR="009C10ED" w:rsidRPr="00CE6559" w:rsidRDefault="009C10ED" w:rsidP="009C10ED">
            <w:pPr>
              <w:tabs>
                <w:tab w:val="clear" w:pos="5041"/>
              </w:tabs>
              <w:spacing w:after="0"/>
              <w:rPr>
                <w:sz w:val="18"/>
                <w:szCs w:val="18"/>
              </w:rPr>
            </w:pPr>
          </w:p>
        </w:tc>
        <w:tc>
          <w:tcPr>
            <w:tcW w:w="1483" w:type="dxa"/>
            <w:vAlign w:val="center"/>
          </w:tcPr>
          <w:p w14:paraId="662D6E1E" w14:textId="77777777" w:rsidR="009C10ED" w:rsidRPr="00CE6559" w:rsidRDefault="009C10ED" w:rsidP="009C10ED">
            <w:pPr>
              <w:tabs>
                <w:tab w:val="clear" w:pos="5041"/>
              </w:tabs>
              <w:spacing w:after="0"/>
              <w:rPr>
                <w:sz w:val="18"/>
                <w:szCs w:val="18"/>
              </w:rPr>
            </w:pPr>
          </w:p>
        </w:tc>
      </w:tr>
      <w:tr w:rsidR="009C10ED" w14:paraId="461B0653" w14:textId="77777777" w:rsidTr="009C10ED">
        <w:tc>
          <w:tcPr>
            <w:tcW w:w="2634" w:type="dxa"/>
            <w:vAlign w:val="center"/>
          </w:tcPr>
          <w:p w14:paraId="711239A0" w14:textId="77777777" w:rsidR="009C10ED" w:rsidRPr="00CE6559" w:rsidRDefault="009C10ED" w:rsidP="009C10ED">
            <w:pPr>
              <w:tabs>
                <w:tab w:val="clear" w:pos="5041"/>
              </w:tabs>
              <w:spacing w:after="0"/>
              <w:rPr>
                <w:rFonts w:asciiTheme="minorHAnsi" w:hAnsiTheme="minorHAnsi"/>
                <w:sz w:val="18"/>
                <w:szCs w:val="18"/>
              </w:rPr>
            </w:pPr>
            <w:r w:rsidRPr="00CE6559">
              <w:rPr>
                <w:rFonts w:asciiTheme="minorHAnsi" w:hAnsiTheme="minorHAnsi"/>
                <w:sz w:val="18"/>
                <w:szCs w:val="18"/>
              </w:rPr>
              <w:t>Ålands hav</w:t>
            </w:r>
          </w:p>
        </w:tc>
        <w:tc>
          <w:tcPr>
            <w:tcW w:w="1973" w:type="dxa"/>
          </w:tcPr>
          <w:p w14:paraId="63399C5E" w14:textId="77777777" w:rsidR="009C10ED" w:rsidRDefault="009C10ED" w:rsidP="009C10ED">
            <w:r w:rsidRPr="00131604">
              <w:rPr>
                <w:sz w:val="18"/>
                <w:szCs w:val="18"/>
              </w:rPr>
              <w:t>Ej tillämpligt</w:t>
            </w:r>
          </w:p>
        </w:tc>
        <w:tc>
          <w:tcPr>
            <w:tcW w:w="1934" w:type="dxa"/>
            <w:vAlign w:val="center"/>
          </w:tcPr>
          <w:p w14:paraId="3430BC0F" w14:textId="77777777" w:rsidR="009C10ED" w:rsidRPr="00CE6559" w:rsidRDefault="009C10ED" w:rsidP="009C10ED">
            <w:pPr>
              <w:tabs>
                <w:tab w:val="clear" w:pos="5041"/>
              </w:tabs>
              <w:spacing w:after="0"/>
              <w:rPr>
                <w:sz w:val="18"/>
                <w:szCs w:val="18"/>
              </w:rPr>
            </w:pPr>
          </w:p>
        </w:tc>
        <w:tc>
          <w:tcPr>
            <w:tcW w:w="1548" w:type="dxa"/>
          </w:tcPr>
          <w:p w14:paraId="4CAB533B" w14:textId="77777777" w:rsidR="009C10ED" w:rsidRPr="00CE6559" w:rsidRDefault="009C10ED" w:rsidP="009C10ED">
            <w:pPr>
              <w:tabs>
                <w:tab w:val="clear" w:pos="5041"/>
              </w:tabs>
              <w:spacing w:after="0"/>
              <w:rPr>
                <w:sz w:val="18"/>
                <w:szCs w:val="18"/>
              </w:rPr>
            </w:pPr>
          </w:p>
        </w:tc>
        <w:tc>
          <w:tcPr>
            <w:tcW w:w="1483" w:type="dxa"/>
            <w:vAlign w:val="center"/>
          </w:tcPr>
          <w:p w14:paraId="63A4D8B8" w14:textId="77777777" w:rsidR="009C10ED" w:rsidRPr="00CE6559" w:rsidRDefault="009C10ED" w:rsidP="009C10ED">
            <w:pPr>
              <w:tabs>
                <w:tab w:val="clear" w:pos="5041"/>
              </w:tabs>
              <w:spacing w:after="0"/>
              <w:rPr>
                <w:sz w:val="18"/>
                <w:szCs w:val="18"/>
              </w:rPr>
            </w:pPr>
          </w:p>
        </w:tc>
      </w:tr>
      <w:tr w:rsidR="009C10ED" w14:paraId="6BB53B3B" w14:textId="77777777" w:rsidTr="009C10ED">
        <w:tc>
          <w:tcPr>
            <w:tcW w:w="2634" w:type="dxa"/>
            <w:vAlign w:val="center"/>
          </w:tcPr>
          <w:p w14:paraId="2ED8062F" w14:textId="77777777" w:rsidR="009C10ED" w:rsidRPr="00CE6559" w:rsidRDefault="009C10ED" w:rsidP="009C10ED">
            <w:pPr>
              <w:tabs>
                <w:tab w:val="clear" w:pos="5041"/>
              </w:tabs>
              <w:spacing w:after="0"/>
              <w:rPr>
                <w:rFonts w:asciiTheme="minorHAnsi" w:hAnsiTheme="minorHAnsi"/>
                <w:sz w:val="18"/>
                <w:szCs w:val="18"/>
              </w:rPr>
            </w:pPr>
            <w:r w:rsidRPr="00CE6559">
              <w:rPr>
                <w:rFonts w:asciiTheme="minorHAnsi" w:hAnsiTheme="minorHAnsi"/>
                <w:sz w:val="18"/>
                <w:szCs w:val="18"/>
              </w:rPr>
              <w:t>Bottenhavet</w:t>
            </w:r>
          </w:p>
        </w:tc>
        <w:tc>
          <w:tcPr>
            <w:tcW w:w="1973" w:type="dxa"/>
          </w:tcPr>
          <w:p w14:paraId="30721610" w14:textId="77777777" w:rsidR="009C10ED" w:rsidRDefault="009C10ED" w:rsidP="009C10ED">
            <w:r w:rsidRPr="00131604">
              <w:rPr>
                <w:sz w:val="18"/>
                <w:szCs w:val="18"/>
              </w:rPr>
              <w:t>Ej tillämpligt</w:t>
            </w:r>
          </w:p>
        </w:tc>
        <w:tc>
          <w:tcPr>
            <w:tcW w:w="1934" w:type="dxa"/>
            <w:vAlign w:val="center"/>
          </w:tcPr>
          <w:p w14:paraId="23C52740" w14:textId="77777777" w:rsidR="009C10ED" w:rsidRPr="00CE6559" w:rsidRDefault="009C10ED" w:rsidP="009C10ED">
            <w:pPr>
              <w:tabs>
                <w:tab w:val="clear" w:pos="5041"/>
              </w:tabs>
              <w:spacing w:after="0"/>
              <w:rPr>
                <w:sz w:val="18"/>
                <w:szCs w:val="18"/>
              </w:rPr>
            </w:pPr>
          </w:p>
        </w:tc>
        <w:tc>
          <w:tcPr>
            <w:tcW w:w="1548" w:type="dxa"/>
          </w:tcPr>
          <w:p w14:paraId="5D7F8802" w14:textId="77777777" w:rsidR="009C10ED" w:rsidRPr="00CE6559" w:rsidRDefault="009C10ED" w:rsidP="009C10ED">
            <w:pPr>
              <w:tabs>
                <w:tab w:val="clear" w:pos="5041"/>
              </w:tabs>
              <w:spacing w:after="0"/>
              <w:rPr>
                <w:sz w:val="18"/>
                <w:szCs w:val="18"/>
              </w:rPr>
            </w:pPr>
          </w:p>
        </w:tc>
        <w:tc>
          <w:tcPr>
            <w:tcW w:w="1483" w:type="dxa"/>
            <w:vAlign w:val="center"/>
          </w:tcPr>
          <w:p w14:paraId="009192B1" w14:textId="77777777" w:rsidR="009C10ED" w:rsidRPr="00CE6559" w:rsidRDefault="009C10ED" w:rsidP="009C10ED">
            <w:pPr>
              <w:tabs>
                <w:tab w:val="clear" w:pos="5041"/>
              </w:tabs>
              <w:spacing w:after="0"/>
              <w:rPr>
                <w:sz w:val="18"/>
                <w:szCs w:val="18"/>
              </w:rPr>
            </w:pPr>
          </w:p>
        </w:tc>
      </w:tr>
      <w:tr w:rsidR="009C10ED" w14:paraId="02C26418" w14:textId="77777777" w:rsidTr="009C10ED">
        <w:tc>
          <w:tcPr>
            <w:tcW w:w="2634" w:type="dxa"/>
            <w:vAlign w:val="center"/>
          </w:tcPr>
          <w:p w14:paraId="134E9320" w14:textId="77777777" w:rsidR="009C10ED" w:rsidRPr="00CE6559" w:rsidRDefault="009C10ED" w:rsidP="009C10ED">
            <w:pPr>
              <w:tabs>
                <w:tab w:val="clear" w:pos="5041"/>
              </w:tabs>
              <w:spacing w:after="0"/>
              <w:rPr>
                <w:rFonts w:asciiTheme="minorHAnsi" w:hAnsiTheme="minorHAnsi"/>
                <w:sz w:val="18"/>
                <w:szCs w:val="18"/>
              </w:rPr>
            </w:pPr>
            <w:r w:rsidRPr="00CE6559">
              <w:rPr>
                <w:rFonts w:asciiTheme="minorHAnsi" w:hAnsiTheme="minorHAnsi"/>
                <w:sz w:val="18"/>
                <w:szCs w:val="18"/>
              </w:rPr>
              <w:t>Norra Kvarken</w:t>
            </w:r>
          </w:p>
        </w:tc>
        <w:tc>
          <w:tcPr>
            <w:tcW w:w="1973" w:type="dxa"/>
          </w:tcPr>
          <w:p w14:paraId="486EFB75" w14:textId="77777777" w:rsidR="009C10ED" w:rsidRDefault="009C10ED" w:rsidP="009C10ED">
            <w:r w:rsidRPr="00131604">
              <w:rPr>
                <w:sz w:val="18"/>
                <w:szCs w:val="18"/>
              </w:rPr>
              <w:t>Ej tillämpligt</w:t>
            </w:r>
          </w:p>
        </w:tc>
        <w:tc>
          <w:tcPr>
            <w:tcW w:w="1934" w:type="dxa"/>
            <w:vAlign w:val="center"/>
          </w:tcPr>
          <w:p w14:paraId="64B18042" w14:textId="77777777" w:rsidR="009C10ED" w:rsidRPr="00CE6559" w:rsidRDefault="009C10ED" w:rsidP="009C10ED">
            <w:pPr>
              <w:tabs>
                <w:tab w:val="clear" w:pos="5041"/>
              </w:tabs>
              <w:spacing w:after="0"/>
              <w:rPr>
                <w:sz w:val="18"/>
                <w:szCs w:val="18"/>
              </w:rPr>
            </w:pPr>
          </w:p>
        </w:tc>
        <w:tc>
          <w:tcPr>
            <w:tcW w:w="1548" w:type="dxa"/>
          </w:tcPr>
          <w:p w14:paraId="08924C21" w14:textId="77777777" w:rsidR="009C10ED" w:rsidRPr="00CE6559" w:rsidRDefault="009C10ED" w:rsidP="009C10ED">
            <w:pPr>
              <w:tabs>
                <w:tab w:val="clear" w:pos="5041"/>
              </w:tabs>
              <w:spacing w:after="0"/>
              <w:rPr>
                <w:sz w:val="18"/>
                <w:szCs w:val="18"/>
              </w:rPr>
            </w:pPr>
          </w:p>
        </w:tc>
        <w:tc>
          <w:tcPr>
            <w:tcW w:w="1483" w:type="dxa"/>
            <w:vAlign w:val="center"/>
          </w:tcPr>
          <w:p w14:paraId="6F7F53E5" w14:textId="77777777" w:rsidR="009C10ED" w:rsidRPr="00CE6559" w:rsidRDefault="009C10ED" w:rsidP="009C10ED">
            <w:pPr>
              <w:tabs>
                <w:tab w:val="clear" w:pos="5041"/>
              </w:tabs>
              <w:spacing w:after="0"/>
              <w:rPr>
                <w:sz w:val="18"/>
                <w:szCs w:val="18"/>
              </w:rPr>
            </w:pPr>
          </w:p>
        </w:tc>
      </w:tr>
      <w:tr w:rsidR="009C10ED" w14:paraId="7A76482D" w14:textId="77777777" w:rsidTr="009C10ED">
        <w:trPr>
          <w:trHeight w:val="268"/>
        </w:trPr>
        <w:tc>
          <w:tcPr>
            <w:tcW w:w="2634" w:type="dxa"/>
            <w:vAlign w:val="center"/>
          </w:tcPr>
          <w:p w14:paraId="23388CCF" w14:textId="77777777" w:rsidR="009C10ED" w:rsidRPr="00CE6559" w:rsidRDefault="009C10ED" w:rsidP="009C10ED">
            <w:pPr>
              <w:tabs>
                <w:tab w:val="clear" w:pos="5041"/>
              </w:tabs>
              <w:spacing w:after="0"/>
              <w:rPr>
                <w:rFonts w:asciiTheme="minorHAnsi" w:hAnsiTheme="minorHAnsi"/>
                <w:sz w:val="18"/>
                <w:szCs w:val="18"/>
              </w:rPr>
            </w:pPr>
            <w:r w:rsidRPr="00CE6559">
              <w:rPr>
                <w:rFonts w:asciiTheme="minorHAnsi" w:hAnsiTheme="minorHAnsi"/>
                <w:sz w:val="18"/>
                <w:szCs w:val="18"/>
              </w:rPr>
              <w:t>Bottenviken</w:t>
            </w:r>
          </w:p>
        </w:tc>
        <w:tc>
          <w:tcPr>
            <w:tcW w:w="1973" w:type="dxa"/>
          </w:tcPr>
          <w:p w14:paraId="4B7EADB3" w14:textId="77777777" w:rsidR="009C10ED" w:rsidRDefault="009C10ED" w:rsidP="009C10ED">
            <w:r w:rsidRPr="00131604">
              <w:rPr>
                <w:sz w:val="18"/>
                <w:szCs w:val="18"/>
              </w:rPr>
              <w:t>Ej tillämpligt</w:t>
            </w:r>
          </w:p>
        </w:tc>
        <w:tc>
          <w:tcPr>
            <w:tcW w:w="1934" w:type="dxa"/>
            <w:vAlign w:val="center"/>
          </w:tcPr>
          <w:p w14:paraId="55DA9753" w14:textId="77777777" w:rsidR="009C10ED" w:rsidRPr="00CE6559" w:rsidRDefault="009C10ED" w:rsidP="009C10ED">
            <w:pPr>
              <w:tabs>
                <w:tab w:val="clear" w:pos="5041"/>
              </w:tabs>
              <w:spacing w:after="0"/>
              <w:rPr>
                <w:sz w:val="18"/>
                <w:szCs w:val="18"/>
              </w:rPr>
            </w:pPr>
          </w:p>
        </w:tc>
        <w:tc>
          <w:tcPr>
            <w:tcW w:w="1548" w:type="dxa"/>
          </w:tcPr>
          <w:p w14:paraId="3DEC2930" w14:textId="77777777" w:rsidR="009C10ED" w:rsidRPr="00CE6559" w:rsidRDefault="009C10ED" w:rsidP="009C10ED">
            <w:pPr>
              <w:tabs>
                <w:tab w:val="clear" w:pos="5041"/>
              </w:tabs>
              <w:spacing w:after="0"/>
              <w:rPr>
                <w:sz w:val="18"/>
                <w:szCs w:val="18"/>
              </w:rPr>
            </w:pPr>
          </w:p>
        </w:tc>
        <w:tc>
          <w:tcPr>
            <w:tcW w:w="1483" w:type="dxa"/>
            <w:vAlign w:val="center"/>
          </w:tcPr>
          <w:p w14:paraId="27F4EEB4" w14:textId="77777777" w:rsidR="009C10ED" w:rsidRPr="00CE6559" w:rsidRDefault="009C10ED" w:rsidP="009C10ED">
            <w:pPr>
              <w:tabs>
                <w:tab w:val="clear" w:pos="5041"/>
              </w:tabs>
              <w:spacing w:after="0"/>
              <w:rPr>
                <w:sz w:val="18"/>
                <w:szCs w:val="18"/>
              </w:rPr>
            </w:pPr>
          </w:p>
        </w:tc>
      </w:tr>
      <w:tr w:rsidR="009C10ED" w14:paraId="12EFD0BB" w14:textId="77777777" w:rsidTr="009C10ED">
        <w:trPr>
          <w:trHeight w:val="268"/>
        </w:trPr>
        <w:tc>
          <w:tcPr>
            <w:tcW w:w="9572" w:type="dxa"/>
            <w:gridSpan w:val="5"/>
          </w:tcPr>
          <w:p w14:paraId="41890280" w14:textId="7AE9A337" w:rsidR="009C10ED" w:rsidRDefault="009C10ED" w:rsidP="009C10ED">
            <w:pPr>
              <w:tabs>
                <w:tab w:val="clear" w:pos="5041"/>
              </w:tabs>
              <w:spacing w:after="0"/>
              <w:rPr>
                <w:sz w:val="18"/>
                <w:szCs w:val="18"/>
              </w:rPr>
            </w:pPr>
            <w:r>
              <w:rPr>
                <w:sz w:val="18"/>
                <w:szCs w:val="18"/>
              </w:rPr>
              <w:t>* Sälarna i Sydvästra Östersjön har genetiskt utbyte med Kattegatt, varför den gemensamma populationen överstiger gränsvärdet</w:t>
            </w:r>
          </w:p>
          <w:p w14:paraId="26BBEFEB" w14:textId="76D6A2FB" w:rsidR="009C10ED" w:rsidRPr="00CE6559" w:rsidRDefault="009C10ED" w:rsidP="009C10ED">
            <w:pPr>
              <w:tabs>
                <w:tab w:val="clear" w:pos="5041"/>
              </w:tabs>
              <w:spacing w:after="0"/>
              <w:rPr>
                <w:sz w:val="18"/>
                <w:szCs w:val="18"/>
              </w:rPr>
            </w:pPr>
            <w:r>
              <w:rPr>
                <w:sz w:val="18"/>
                <w:szCs w:val="18"/>
              </w:rPr>
              <w:t xml:space="preserve">** </w:t>
            </w:r>
            <w:r w:rsidRPr="009C10ED">
              <w:rPr>
                <w:sz w:val="18"/>
                <w:szCs w:val="18"/>
              </w:rPr>
              <w:t>Kalmarsundpopulationen intar bara en del av Östra Gotlandhavet.</w:t>
            </w:r>
          </w:p>
        </w:tc>
      </w:tr>
    </w:tbl>
    <w:p w14:paraId="716DD8E8" w14:textId="77777777" w:rsidR="0070387B" w:rsidRDefault="0070387B" w:rsidP="0070387B">
      <w:pPr>
        <w:pStyle w:val="Rubrik3"/>
      </w:pPr>
      <w:r>
        <w:lastRenderedPageBreak/>
        <w:t>Sektion 2. Detaljerad information.</w:t>
      </w:r>
    </w:p>
    <w:p w14:paraId="60094CA8" w14:textId="501900A1" w:rsidR="0070387B" w:rsidRPr="009C10ED" w:rsidRDefault="0070387B" w:rsidP="0009349B">
      <w:pPr>
        <w:pStyle w:val="Brdtext"/>
        <w:rPr>
          <w:u w:val="single"/>
        </w:rPr>
      </w:pPr>
      <w:r w:rsidRPr="009C10ED">
        <w:rPr>
          <w:u w:val="single"/>
        </w:rPr>
        <w:t xml:space="preserve">2.1. </w:t>
      </w:r>
      <w:r w:rsidR="00F0386D" w:rsidRPr="009C10ED">
        <w:rPr>
          <w:u w:val="single"/>
        </w:rPr>
        <w:t>I</w:t>
      </w:r>
      <w:r w:rsidR="00F87DD4" w:rsidRPr="009C10ED">
        <w:rPr>
          <w:u w:val="single"/>
        </w:rPr>
        <w:t>ntrodu</w:t>
      </w:r>
      <w:r w:rsidR="009C10ED">
        <w:rPr>
          <w:u w:val="single"/>
        </w:rPr>
        <w:t>kt</w:t>
      </w:r>
      <w:r w:rsidR="00F87DD4" w:rsidRPr="009C10ED">
        <w:rPr>
          <w:u w:val="single"/>
        </w:rPr>
        <w:t>ion</w:t>
      </w:r>
    </w:p>
    <w:p w14:paraId="5FCEBBF8" w14:textId="305F8139" w:rsidR="007D09B8" w:rsidRDefault="007D09B8" w:rsidP="0009349B">
      <w:pPr>
        <w:pStyle w:val="Brdtext"/>
      </w:pPr>
      <w:r>
        <w:t xml:space="preserve">Knubbsälen i </w:t>
      </w:r>
      <w:r w:rsidR="00BF6216">
        <w:t>V</w:t>
      </w:r>
      <w:r>
        <w:t>ästerhavet och Östersjön har haft en dramatisk historia</w:t>
      </w:r>
      <w:r w:rsidR="009E6EFE">
        <w:t>. Undersökningar visar att det fanns över 16000 knubbsälar i västerhavet och 5000 i Kalmarsund i början av 1900-talet (Heide-Jörgensen och Härkönen 1988</w:t>
      </w:r>
      <w:r w:rsidR="00225849">
        <w:t>, Härkönen och Isakson 2011</w:t>
      </w:r>
      <w:r w:rsidR="009E6EFE">
        <w:t xml:space="preserve">). En av internationella </w:t>
      </w:r>
      <w:proofErr w:type="spellStart"/>
      <w:r w:rsidR="009E6EFE">
        <w:t>havsfroskningsrådet</w:t>
      </w:r>
      <w:proofErr w:type="spellEnd"/>
      <w:r w:rsidR="009E6EFE">
        <w:t xml:space="preserve"> koordinerad kampanj ledde till att höga skottpengar anslogs till att utrota sälarna i Östersjön och Västerhavet. </w:t>
      </w:r>
      <w:r w:rsidR="0022674F">
        <w:t>Knubbsälen utrotades efter de polska och tyska kusterna redan innan 1912</w:t>
      </w:r>
      <w:r w:rsidR="0067660D">
        <w:t xml:space="preserve"> (Härkönen m. fl.</w:t>
      </w:r>
      <w:r w:rsidR="009C1873">
        <w:t xml:space="preserve"> </w:t>
      </w:r>
      <w:r w:rsidR="0067660D">
        <w:t>2005)</w:t>
      </w:r>
      <w:r w:rsidR="0022674F">
        <w:t>, och de minskade till c:a 2 500 i Västerhavet. Samtidigt minskade knubbsälarna i Kalmarsund till några hund</w:t>
      </w:r>
      <w:r w:rsidR="0067660D">
        <w:t>ratal (Härkönen och Isakson 2011</w:t>
      </w:r>
      <w:r w:rsidR="0022674F">
        <w:t>). Jakttrycket höll stammarna nere på denna låga nivå fram till 1965 då skottpenningen togs bort i Sverige, och sälskyddsområden inrättades på västkusten. Sedan ökade antalet sälar i västerhavet med 12% per år  och 9% i Kalmarsund fram till 1988</w:t>
      </w:r>
      <w:r w:rsidR="0067660D">
        <w:t xml:space="preserve"> (Heide-Jörgensen och Härkönen 1988)</w:t>
      </w:r>
      <w:r w:rsidR="0022674F">
        <w:t>. Under våren drabbades knubbsälarna av en epidemi där över 60% dog i de värst drabbade områdena (</w:t>
      </w:r>
      <w:r w:rsidR="0067660D">
        <w:t xml:space="preserve">Dietz </w:t>
      </w:r>
      <w:proofErr w:type="spellStart"/>
      <w:r w:rsidR="0067660D">
        <w:t>m.fl</w:t>
      </w:r>
      <w:proofErr w:type="spellEnd"/>
      <w:r w:rsidR="0067660D">
        <w:t xml:space="preserve"> 1989, Härkönen m.fl. 2006</w:t>
      </w:r>
      <w:r w:rsidR="0022674F">
        <w:t xml:space="preserve">). Det visade sig att ett virus </w:t>
      </w:r>
      <w:r w:rsidR="00C266C0">
        <w:t xml:space="preserve">PDV) </w:t>
      </w:r>
      <w:r w:rsidR="0022674F">
        <w:t xml:space="preserve">besläktat med hundens valpsjukevirus drabbat sälarna och att de som överlevde </w:t>
      </w:r>
      <w:r w:rsidR="00C266C0">
        <w:t xml:space="preserve"> fick livslång immunitet. Efter 1989 ökade sälstammarna åter med 12% per år fram till 2002 då en andra PDV epidemi bröt ut, och även denna gång dog omkring 50% av de sälar som fötts efter 1988. Sedan dess har </w:t>
      </w:r>
      <w:r w:rsidR="002B2182">
        <w:t>knubbsälana i västerhavet drabbats av smärre epidemier 2007 (Härkönen m. fl. 2008) samt av fågelinfluensa under 2014 (</w:t>
      </w:r>
      <w:proofErr w:type="spellStart"/>
      <w:r w:rsidR="002B2182">
        <w:t>Zohari</w:t>
      </w:r>
      <w:proofErr w:type="spellEnd"/>
      <w:r w:rsidR="002B2182">
        <w:t xml:space="preserve"> m.</w:t>
      </w:r>
      <w:r w:rsidR="00ED7AF4">
        <w:t xml:space="preserve"> </w:t>
      </w:r>
      <w:r w:rsidR="002B2182">
        <w:t>fl. 2014). PDV-epidemin påverkade knubbsälarna i södra Östersjön där 30% dog, men senare epidemier drabbade uteslutande knubbsälarna i Västerhavet</w:t>
      </w:r>
      <w:r w:rsidR="0067660D">
        <w:t xml:space="preserve"> (Härkönen m. </w:t>
      </w:r>
      <w:proofErr w:type="spellStart"/>
      <w:r w:rsidR="0067660D">
        <w:t>fl</w:t>
      </w:r>
      <w:proofErr w:type="spellEnd"/>
      <w:r w:rsidR="0067660D">
        <w:t xml:space="preserve"> 2006</w:t>
      </w:r>
      <w:r w:rsidR="00173BE8">
        <w:t>).</w:t>
      </w:r>
    </w:p>
    <w:p w14:paraId="190E0B5D" w14:textId="77777777" w:rsidR="00450228" w:rsidRDefault="00450228" w:rsidP="0009349B">
      <w:pPr>
        <w:pStyle w:val="Brdtext"/>
      </w:pPr>
      <w:smartTag w:uri="urn:schemas-microsoft-com:office:smarttags" w:element="PersonName">
        <w:r>
          <w:t>F</w:t>
        </w:r>
      </w:smartTag>
      <w:r>
        <w:t xml:space="preserve">örvaltningen av knubbsäl i </w:t>
      </w:r>
      <w:smartTag w:uri="urn:schemas-microsoft-com:office:smarttags" w:element="PersonName">
        <w:r>
          <w:t>S</w:t>
        </w:r>
      </w:smartTag>
      <w:r>
        <w:t xml:space="preserve">kagerrak, </w:t>
      </w:r>
      <w:smartTag w:uri="urn:schemas-microsoft-com:office:smarttags" w:element="PersonName">
        <w:r>
          <w:t>K</w:t>
        </w:r>
      </w:smartTag>
      <w:r>
        <w:t xml:space="preserve">attegatt och Östersjön är en gemensam angelägenhet för de länder som gränsar till dessa hav. Knubbsälen  indelas i fyra skilda bestånd: </w:t>
      </w:r>
      <w:smartTag w:uri="urn:schemas-microsoft-com:office:smarttags" w:element="PersonName">
        <w:r>
          <w:t>S</w:t>
        </w:r>
      </w:smartTag>
      <w:r>
        <w:t xml:space="preserve">kagerrak,  </w:t>
      </w:r>
      <w:smartTag w:uri="urn:schemas-microsoft-com:office:smarttags" w:element="PersonName">
        <w:r>
          <w:t>K</w:t>
        </w:r>
      </w:smartTag>
      <w:r>
        <w:t xml:space="preserve">attegatt, södra Östersjön (Arkonahavet) inklusive Öresund, samt Kalmarsund. </w:t>
      </w:r>
      <w:r w:rsidR="007D09B8">
        <w:t xml:space="preserve"> Därför utvärderas dessa populationers status oberoende av nationella gränser.</w:t>
      </w:r>
      <w:r w:rsidR="002B2182">
        <w:t xml:space="preserve"> Förvaltning av knubbsälbestånden  regleras av Habitat direktivet samt havsmiljödi</w:t>
      </w:r>
      <w:r w:rsidR="0030626F">
        <w:t xml:space="preserve">rektivet, men även genom </w:t>
      </w:r>
      <w:proofErr w:type="spellStart"/>
      <w:smartTag w:uri="urn:schemas-microsoft-com:office:smarttags" w:element="PersonName">
        <w:r w:rsidR="0030626F">
          <w:t>H</w:t>
        </w:r>
      </w:smartTag>
      <w:smartTag w:uri="urn:schemas-microsoft-com:office:smarttags" w:element="PersonName">
        <w:r w:rsidR="0030626F">
          <w:t>E</w:t>
        </w:r>
      </w:smartTag>
      <w:r w:rsidR="0030626F">
        <w:t>LC</w:t>
      </w:r>
      <w:smartTag w:uri="urn:schemas-microsoft-com:office:smarttags" w:element="PersonName">
        <w:r w:rsidR="0030626F">
          <w:t>O</w:t>
        </w:r>
      </w:smartTag>
      <w:r w:rsidR="0030626F">
        <w:t>Ms</w:t>
      </w:r>
      <w:proofErr w:type="spellEnd"/>
      <w:r w:rsidR="0030626F">
        <w:t xml:space="preserve">  rekommendation 27-28/2</w:t>
      </w:r>
      <w:r w:rsidR="00173BE8">
        <w:t>, d</w:t>
      </w:r>
      <w:r w:rsidR="0030626F">
        <w:t xml:space="preserve">är det stadgas att de </w:t>
      </w:r>
      <w:proofErr w:type="spellStart"/>
      <w:r w:rsidR="0030626F">
        <w:t>långskitiga</w:t>
      </w:r>
      <w:proofErr w:type="spellEnd"/>
      <w:r w:rsidR="0030626F">
        <w:t xml:space="preserve"> målen för förvaltningen ska vara naturligt anta</w:t>
      </w:r>
      <w:r w:rsidR="00173BE8">
        <w:t>l</w:t>
      </w:r>
      <w:r w:rsidR="0030626F">
        <w:t>, naturlig utbredning, och en hälsostatus som säkrar deras fortsatta existens i ekosystemet.</w:t>
      </w:r>
    </w:p>
    <w:p w14:paraId="4AD6A256" w14:textId="77777777" w:rsidR="00450228" w:rsidRDefault="00450228" w:rsidP="0009349B">
      <w:pPr>
        <w:pStyle w:val="Brdtext"/>
      </w:pPr>
    </w:p>
    <w:p w14:paraId="271E95E2" w14:textId="35C69916" w:rsidR="0030626F" w:rsidRPr="00BF6216" w:rsidRDefault="0070387B" w:rsidP="0009349B">
      <w:pPr>
        <w:pStyle w:val="Brdtext"/>
        <w:rPr>
          <w:u w:val="single"/>
        </w:rPr>
      </w:pPr>
      <w:r w:rsidRPr="00BF6216">
        <w:rPr>
          <w:u w:val="single"/>
        </w:rPr>
        <w:t xml:space="preserve">2.2. </w:t>
      </w:r>
      <w:r w:rsidR="0030626F" w:rsidRPr="00BF6216">
        <w:rPr>
          <w:u w:val="single"/>
        </w:rPr>
        <w:t>Material och metoder</w:t>
      </w:r>
      <w:r w:rsidR="00F87DD4" w:rsidRPr="00BF6216">
        <w:rPr>
          <w:u w:val="single"/>
        </w:rPr>
        <w:t xml:space="preserve"> </w:t>
      </w:r>
    </w:p>
    <w:p w14:paraId="5B68D45E" w14:textId="77777777" w:rsidR="00173BE8" w:rsidRDefault="00173BE8" w:rsidP="0009349B">
      <w:pPr>
        <w:pStyle w:val="Brdtext"/>
      </w:pPr>
      <w:r>
        <w:t>Flyginventeringar utförs under de två sista veckorna i augusti då störst andel av knubbsälarna befinner sig på land. Under denna period byter de päls med högst intensitet och håret kan inte växa om de befinner sig i vattnet. Inventeringarna koordineras mellan Sverige, Norge och Danmark, varvid flygningarna sker samma dagar i de tre länderna. Det utförs tre inventeringar under denna period</w:t>
      </w:r>
      <w:r w:rsidR="00E44C14">
        <w:t xml:space="preserve"> varvid resultatet beräknas som genomsnittet av de två högsta räkningarna, et så kallat trimmat</w:t>
      </w:r>
      <w:r w:rsidR="0067660D">
        <w:t xml:space="preserve"> medelvärde (</w:t>
      </w:r>
      <w:proofErr w:type="spellStart"/>
      <w:r w:rsidR="0067660D">
        <w:t>Teilman</w:t>
      </w:r>
      <w:r w:rsidR="009C1873">
        <w:t>n</w:t>
      </w:r>
      <w:proofErr w:type="spellEnd"/>
      <w:r w:rsidR="009C1873">
        <w:t xml:space="preserve"> m. fl.</w:t>
      </w:r>
      <w:r w:rsidR="0067660D">
        <w:t xml:space="preserve"> 2011</w:t>
      </w:r>
      <w:r w:rsidR="00E44C14">
        <w:t>). Varje plats med säl fotograferas från 90 m höjd, och antalet sälar på fotona räknas senare. Detta ger dels tidserier för beräkning av tillväxthastighet, men även data på sälarnas utbredning. Andelen djur som ligger uppe på land är 65% om man använder trimmade medelvärden.</w:t>
      </w:r>
    </w:p>
    <w:p w14:paraId="4D5893C4" w14:textId="48C80AA0" w:rsidR="00E44C14" w:rsidRDefault="00E44C14" w:rsidP="0009349B">
      <w:pPr>
        <w:pStyle w:val="Brdtext"/>
      </w:pPr>
      <w:r>
        <w:t xml:space="preserve">Utarbetandet av gränsvärden har skett genom </w:t>
      </w:r>
      <w:proofErr w:type="spellStart"/>
      <w:r>
        <w:t>HELCOMs</w:t>
      </w:r>
      <w:proofErr w:type="spellEnd"/>
      <w:r>
        <w:t xml:space="preserve"> CORESET program där det svenska deltagandet finansierats av HaV och Sverige </w:t>
      </w:r>
      <w:r w:rsidR="007F6F2B">
        <w:t>har varit huvudansvarigt</w:t>
      </w:r>
      <w:r>
        <w:t xml:space="preserve"> för indikatorerna ”Abundans och trender” samt ”Distribution</w:t>
      </w:r>
      <w:r w:rsidR="007F6F2B">
        <w:t>”</w:t>
      </w:r>
      <w:r w:rsidR="00BF6216">
        <w:t xml:space="preserve"> (</w:t>
      </w:r>
      <w:proofErr w:type="spellStart"/>
      <w:r w:rsidR="00BF6216">
        <w:t>Helcom</w:t>
      </w:r>
      <w:proofErr w:type="spellEnd"/>
      <w:r w:rsidR="00BF6216">
        <w:t xml:space="preserve"> 2017)</w:t>
      </w:r>
      <w:r w:rsidR="007F6F2B">
        <w:t>.</w:t>
      </w:r>
    </w:p>
    <w:p w14:paraId="5A29A3F0" w14:textId="77777777" w:rsidR="007F6F2B" w:rsidRDefault="007F6F2B" w:rsidP="0009349B">
      <w:pPr>
        <w:pStyle w:val="Brdtext"/>
      </w:pPr>
    </w:p>
    <w:p w14:paraId="0A8310F2" w14:textId="5600EFDB" w:rsidR="007F6F2B" w:rsidRDefault="007F6F2B" w:rsidP="0009349B">
      <w:pPr>
        <w:pStyle w:val="Brdtext"/>
      </w:pPr>
      <w:r>
        <w:lastRenderedPageBreak/>
        <w:t>Gränsvärdet för god status när det gäller abundans är 10 000 sälar i genetiskt isolerade populationer, men även i konglomerat av mindre populationer som har visst genetiskt utbyte</w:t>
      </w:r>
      <w:r w:rsidR="009C1873">
        <w:t xml:space="preserve"> (</w:t>
      </w:r>
      <w:proofErr w:type="spellStart"/>
      <w:r w:rsidR="00BF6216">
        <w:t>Helcom</w:t>
      </w:r>
      <w:proofErr w:type="spellEnd"/>
      <w:r w:rsidR="00BF6216">
        <w:t xml:space="preserve"> 2017</w:t>
      </w:r>
      <w:r w:rsidR="006902FA">
        <w:t>)</w:t>
      </w:r>
      <w:r>
        <w:t>.</w:t>
      </w:r>
    </w:p>
    <w:p w14:paraId="36973E5C" w14:textId="77777777" w:rsidR="007F6F2B" w:rsidRDefault="007F6F2B" w:rsidP="0009349B">
      <w:pPr>
        <w:pStyle w:val="Brdtext"/>
      </w:pPr>
      <w:r>
        <w:t>Det finns två gränsvärden för trend: Dels när populationen tillväxer exponentiellt (9% per år) och dels när populationen nått taket ”</w:t>
      </w:r>
      <w:proofErr w:type="spellStart"/>
      <w:r>
        <w:t>carrying</w:t>
      </w:r>
      <w:proofErr w:type="spellEnd"/>
      <w:r>
        <w:t xml:space="preserve"> </w:t>
      </w:r>
      <w:proofErr w:type="spellStart"/>
      <w:r>
        <w:t>capacity</w:t>
      </w:r>
      <w:proofErr w:type="spellEnd"/>
      <w:r>
        <w:t>”. I det senare fallet definieras god status som: Ingen minskning överstigande 10% under en 10-årsperiod</w:t>
      </w:r>
      <w:r w:rsidR="006902FA">
        <w:t xml:space="preserve"> (Härkönen m.fl. 2017)</w:t>
      </w:r>
      <w:r>
        <w:t xml:space="preserve">. Det finns tydliga tecken på att populationerna i Skagerrak och Kattegatt närmar sig taket då </w:t>
      </w:r>
      <w:proofErr w:type="spellStart"/>
      <w:r>
        <w:t>kutvikterna</w:t>
      </w:r>
      <w:proofErr w:type="spellEnd"/>
      <w:r>
        <w:t xml:space="preserve"> på hösten minskar och att knubbsälarna blir kortare som vuxna jämfört med tidigare (Harding m.fl. in </w:t>
      </w:r>
      <w:proofErr w:type="spellStart"/>
      <w:r>
        <w:t>prep</w:t>
      </w:r>
      <w:proofErr w:type="spellEnd"/>
      <w:r>
        <w:t>)</w:t>
      </w:r>
      <w:r w:rsidR="006902FA">
        <w:t>. Den statistiska metod som används är</w:t>
      </w:r>
      <w:r w:rsidR="0094143D">
        <w:t xml:space="preserve"> </w:t>
      </w:r>
      <w:proofErr w:type="spellStart"/>
      <w:r w:rsidR="0094143D">
        <w:t>Bey</w:t>
      </w:r>
      <w:r w:rsidR="006902FA">
        <w:t>esiansk</w:t>
      </w:r>
      <w:proofErr w:type="spellEnd"/>
      <w:r w:rsidR="006902FA">
        <w:t xml:space="preserve"> där </w:t>
      </w:r>
      <w:proofErr w:type="spellStart"/>
      <w:r w:rsidR="0094143D">
        <w:t>obseverade</w:t>
      </w:r>
      <w:proofErr w:type="spellEnd"/>
      <w:r w:rsidR="0094143D">
        <w:t xml:space="preserve"> </w:t>
      </w:r>
      <w:r w:rsidR="006902FA">
        <w:t>data jämförs med</w:t>
      </w:r>
      <w:r w:rsidR="0094143D">
        <w:t xml:space="preserve"> gränsvärdet som inte ha</w:t>
      </w:r>
      <w:r w:rsidR="009C1873">
        <w:t>r någon varians (</w:t>
      </w:r>
      <w:proofErr w:type="spellStart"/>
      <w:r w:rsidR="009C1873">
        <w:t>Anon</w:t>
      </w:r>
      <w:proofErr w:type="spellEnd"/>
      <w:r w:rsidR="009C1873">
        <w:t xml:space="preserve">. </w:t>
      </w:r>
      <w:r w:rsidR="0094143D">
        <w:t xml:space="preserve"> 2017).  Tidserier av data för varje förvaltningsenhet används som ingångsvärden  där det utvärderas om observerade data stöder det angivna gränsvärdet för god miljömässig status. Här krävs 80%:s stöd för att tillväxten är lika med eller högre än gränsvärdet. </w:t>
      </w:r>
      <w:r w:rsidR="00436DC2">
        <w:t>Paketet ”</w:t>
      </w:r>
      <w:proofErr w:type="spellStart"/>
      <w:r w:rsidR="00436DC2">
        <w:t>Beyesm</w:t>
      </w:r>
      <w:proofErr w:type="spellEnd"/>
      <w:r w:rsidR="00436DC2">
        <w:t>” i programmet ”R” används i analysen</w:t>
      </w:r>
    </w:p>
    <w:p w14:paraId="35DAA15A" w14:textId="77777777" w:rsidR="00E44C14" w:rsidRDefault="00E44C14" w:rsidP="0009349B">
      <w:pPr>
        <w:pStyle w:val="Brdtext"/>
      </w:pPr>
    </w:p>
    <w:p w14:paraId="1F6CD350" w14:textId="286BD288" w:rsidR="00393373" w:rsidRPr="00BF6216" w:rsidRDefault="0070387B" w:rsidP="00F87DD4">
      <w:pPr>
        <w:pStyle w:val="Brdtext"/>
        <w:rPr>
          <w:u w:val="single"/>
        </w:rPr>
      </w:pPr>
      <w:r w:rsidRPr="00BF6216">
        <w:rPr>
          <w:u w:val="single"/>
        </w:rPr>
        <w:t xml:space="preserve">2.3. </w:t>
      </w:r>
      <w:r w:rsidR="004921C2" w:rsidRPr="00BF6216">
        <w:rPr>
          <w:u w:val="single"/>
        </w:rPr>
        <w:t>Resultat</w:t>
      </w:r>
    </w:p>
    <w:p w14:paraId="2CF360D5" w14:textId="77777777" w:rsidR="006902FA" w:rsidRPr="00393373" w:rsidRDefault="00393373" w:rsidP="00F87DD4">
      <w:pPr>
        <w:pStyle w:val="Brdtext"/>
        <w:rPr>
          <w:i/>
        </w:rPr>
      </w:pPr>
      <w:r w:rsidRPr="00393373">
        <w:rPr>
          <w:i/>
        </w:rPr>
        <w:t>Skagerrak och Kattegatt</w:t>
      </w:r>
      <w:r w:rsidR="00F87DD4" w:rsidRPr="00393373">
        <w:rPr>
          <w:i/>
        </w:rPr>
        <w:t xml:space="preserve"> </w:t>
      </w:r>
    </w:p>
    <w:p w14:paraId="0FD68AC6" w14:textId="77777777" w:rsidR="006902FA" w:rsidRDefault="00674465" w:rsidP="00F87DD4">
      <w:pPr>
        <w:pStyle w:val="Brdtext"/>
      </w:pPr>
      <w:r>
        <w:t xml:space="preserve">Abundans: Det sker ett genflöde mellan populationerna i Skagerrak och </w:t>
      </w:r>
      <w:proofErr w:type="spellStart"/>
      <w:r>
        <w:t>Kattegat</w:t>
      </w:r>
      <w:proofErr w:type="spellEnd"/>
      <w:r>
        <w:t>, varför det gemensamma antalet individer ska användas för utvärdering av Abundans</w:t>
      </w:r>
      <w:r w:rsidR="00393373">
        <w:t>. Räknat antal sälar i Skagerrak 2016 var 6 600 och i Kattegatt 9 200, vilket blir 16 800 räknade knubbsälar, vilket överstiger gränsvärdet på 10 000. Populationerna uppnår God miljömässig status med avseende på abundans.</w:t>
      </w:r>
    </w:p>
    <w:p w14:paraId="349674AB" w14:textId="77777777" w:rsidR="006902FA" w:rsidRDefault="00393373" w:rsidP="00F87DD4">
      <w:pPr>
        <w:pStyle w:val="Brdtext"/>
      </w:pPr>
      <w:r>
        <w:t xml:space="preserve">Trend: </w:t>
      </w:r>
      <w:r w:rsidR="006902FA">
        <w:t>Populationen i Skagerrak har vuxit med  7,5% per år sedan 2005</w:t>
      </w:r>
      <w:r w:rsidR="00436DC2">
        <w:t xml:space="preserve">, men den exponentiella modellen är tveksamt tillämplig då den linjära modellen ger lika god korrelation. Det finns andra data som visar att populationen i Skagerrak är nära </w:t>
      </w:r>
      <w:proofErr w:type="spellStart"/>
      <w:r w:rsidR="0067660D">
        <w:t>carrying</w:t>
      </w:r>
      <w:proofErr w:type="spellEnd"/>
      <w:r w:rsidR="0067660D">
        <w:t xml:space="preserve"> </w:t>
      </w:r>
      <w:proofErr w:type="spellStart"/>
      <w:r w:rsidR="0067660D">
        <w:t>capacity</w:t>
      </w:r>
      <w:proofErr w:type="spellEnd"/>
      <w:r w:rsidR="0067660D">
        <w:t>.</w:t>
      </w:r>
      <w:r w:rsidR="00F43063">
        <w:t>.  Därför bör den observerade tillväxthastigheten  analyseras gentemot  ”</w:t>
      </w:r>
      <w:proofErr w:type="spellStart"/>
      <w:r w:rsidR="00F43063">
        <w:t>carrying</w:t>
      </w:r>
      <w:proofErr w:type="spellEnd"/>
      <w:r w:rsidR="00F43063">
        <w:t xml:space="preserve"> </w:t>
      </w:r>
      <w:proofErr w:type="spellStart"/>
      <w:r w:rsidR="00F43063">
        <w:t>capacity</w:t>
      </w:r>
      <w:proofErr w:type="spellEnd"/>
      <w:r w:rsidR="00F43063">
        <w:t xml:space="preserve">” </w:t>
      </w:r>
      <w:r w:rsidR="00674465">
        <w:t xml:space="preserve">gränsvärdet </w:t>
      </w:r>
      <w:r w:rsidR="0067660D">
        <w:t xml:space="preserve">(se diskussion) </w:t>
      </w:r>
      <w:r w:rsidR="00674465">
        <w:t>och då kommer observerade data att överstiga gränsvärdet med mer än 80%:s stöd.</w:t>
      </w:r>
    </w:p>
    <w:p w14:paraId="0B069A71" w14:textId="77777777" w:rsidR="00393373" w:rsidRDefault="00393373" w:rsidP="00F87DD4">
      <w:pPr>
        <w:pStyle w:val="Brdtext"/>
      </w:pPr>
    </w:p>
    <w:p w14:paraId="621319E3" w14:textId="77777777" w:rsidR="00BF6216" w:rsidRDefault="006902FA" w:rsidP="00BF6216">
      <w:pPr>
        <w:pStyle w:val="Brdtext"/>
        <w:keepNext/>
      </w:pPr>
      <w:r>
        <w:rPr>
          <w:noProof/>
          <w:lang w:eastAsia="sv-SE"/>
        </w:rPr>
        <w:lastRenderedPageBreak/>
        <w:drawing>
          <wp:inline distT="0" distB="0" distL="0" distR="0" wp14:anchorId="15A8297F" wp14:editId="6F4CA5A1">
            <wp:extent cx="4638675" cy="32004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5F9E1F" w14:textId="10039C92" w:rsidR="006902FA" w:rsidRDefault="00BF6216" w:rsidP="00BF6216">
      <w:pPr>
        <w:pStyle w:val="Beskrivning"/>
      </w:pPr>
      <w:r>
        <w:t xml:space="preserve">Figur </w:t>
      </w:r>
      <w:r w:rsidR="007367F2">
        <w:fldChar w:fldCharType="begin"/>
      </w:r>
      <w:r w:rsidR="007367F2">
        <w:instrText xml:space="preserve"> SEQ Figur \* ARABIC </w:instrText>
      </w:r>
      <w:r w:rsidR="007367F2">
        <w:fldChar w:fldCharType="separate"/>
      </w:r>
      <w:r w:rsidR="00FC351F">
        <w:rPr>
          <w:noProof/>
        </w:rPr>
        <w:t>2</w:t>
      </w:r>
      <w:r w:rsidR="007367F2">
        <w:rPr>
          <w:noProof/>
        </w:rPr>
        <w:fldChar w:fldCharType="end"/>
      </w:r>
      <w:r>
        <w:t xml:space="preserve"> </w:t>
      </w:r>
      <w:r w:rsidRPr="00BF6216">
        <w:t>Populationerna i Skagerrak och Kattegatt växer med omkring 7% per år under de senaste 11 åren</w:t>
      </w:r>
    </w:p>
    <w:p w14:paraId="5C81B431" w14:textId="77777777" w:rsidR="00674465" w:rsidRDefault="00674465" w:rsidP="00F87DD4">
      <w:pPr>
        <w:pStyle w:val="Brdtext"/>
      </w:pPr>
      <w:r>
        <w:t xml:space="preserve">Ett liknande resonemang kan föras för populationen i Kattegatt. Här var tillväxthastigheten 7% per år och god miljöstatus skulle ej uppnås om man använder den exponentiella modellen, men även här uppnås god miljömässig </w:t>
      </w:r>
      <w:proofErr w:type="spellStart"/>
      <w:r>
        <w:t>ststus</w:t>
      </w:r>
      <w:proofErr w:type="spellEnd"/>
      <w:r>
        <w:t xml:space="preserve"> om man använder ”</w:t>
      </w:r>
      <w:proofErr w:type="spellStart"/>
      <w:r>
        <w:t>carrying</w:t>
      </w:r>
      <w:proofErr w:type="spellEnd"/>
      <w:r>
        <w:t xml:space="preserve"> </w:t>
      </w:r>
      <w:proofErr w:type="spellStart"/>
      <w:r>
        <w:t>capacity</w:t>
      </w:r>
      <w:proofErr w:type="spellEnd"/>
      <w:r>
        <w:t>” modellen.</w:t>
      </w:r>
    </w:p>
    <w:p w14:paraId="65594D59" w14:textId="77777777" w:rsidR="007959F1" w:rsidRDefault="007959F1" w:rsidP="00F87DD4">
      <w:pPr>
        <w:pStyle w:val="Brdtext"/>
      </w:pPr>
    </w:p>
    <w:p w14:paraId="2DF93B61" w14:textId="77777777" w:rsidR="007959F1" w:rsidRPr="007959F1" w:rsidRDefault="007959F1" w:rsidP="00F87DD4">
      <w:pPr>
        <w:pStyle w:val="Brdtext"/>
        <w:rPr>
          <w:i/>
        </w:rPr>
      </w:pPr>
      <w:r w:rsidRPr="007959F1">
        <w:rPr>
          <w:i/>
        </w:rPr>
        <w:t>Södra Östersjön och Öresund</w:t>
      </w:r>
    </w:p>
    <w:p w14:paraId="4D67CF3B" w14:textId="77777777" w:rsidR="007959F1" w:rsidRDefault="007959F1" w:rsidP="00F87DD4">
      <w:pPr>
        <w:pStyle w:val="Brdtext"/>
      </w:pPr>
      <w:r>
        <w:t xml:space="preserve">Det finns en liten spridd population av knubbsäl i området, varav de flesta finns i danska vatten. Den </w:t>
      </w:r>
      <w:proofErr w:type="spellStart"/>
      <w:r>
        <w:t>västraste</w:t>
      </w:r>
      <w:proofErr w:type="spellEnd"/>
      <w:r>
        <w:t xml:space="preserve"> lokalen finns vid Ven (30 djur), men en grupp om 60 sälar håller till vid Landskrona, och den största svenska gruppen finns vid Falsterbo på revet Måkläppen. Andra grupper finns vid Rödsand i Danmark.</w:t>
      </w:r>
    </w:p>
    <w:p w14:paraId="04E98ABC" w14:textId="70AC844B" w:rsidR="003F4193" w:rsidRDefault="009D00B9" w:rsidP="00F87DD4">
      <w:pPr>
        <w:pStyle w:val="Brdtext"/>
      </w:pPr>
      <w:r>
        <w:t>Abundans:</w:t>
      </w:r>
      <w:r w:rsidR="003F4193">
        <w:t xml:space="preserve"> populationen är ekologiskt avskild från andra populationer med avseende på vitala populationsparametrar, </w:t>
      </w:r>
      <w:proofErr w:type="spellStart"/>
      <w:r w:rsidR="003F4193">
        <w:t>födoval</w:t>
      </w:r>
      <w:proofErr w:type="spellEnd"/>
      <w:r w:rsidR="003F4193">
        <w:t xml:space="preserve"> etc., men har genetiskt utbyte med omgivande populationer, populationen ingår genetiskt i ett konglomerat där även Kattegatt ingår, varför det totala antalet sälar i </w:t>
      </w:r>
      <w:proofErr w:type="spellStart"/>
      <w:r w:rsidR="003F4193">
        <w:t>konglomerated</w:t>
      </w:r>
      <w:proofErr w:type="spellEnd"/>
      <w:r w:rsidR="003F4193">
        <w:t xml:space="preserve"> överstiger 10 000 sälar. God miljömässig status erhålles när det gäller abundans.</w:t>
      </w:r>
    </w:p>
    <w:p w14:paraId="483CE501" w14:textId="77777777" w:rsidR="003F4193" w:rsidRDefault="003F4193" w:rsidP="00F87DD4">
      <w:pPr>
        <w:pStyle w:val="Brdtext"/>
      </w:pPr>
      <w:r>
        <w:t xml:space="preserve">Trend: Tillväxthastigheten har varit 7,5% i tidserien (Fig. 3) och en analys </w:t>
      </w:r>
      <w:proofErr w:type="spellStart"/>
      <w:r>
        <w:t>visr</w:t>
      </w:r>
      <w:proofErr w:type="spellEnd"/>
      <w:r>
        <w:t xml:space="preserve"> att det inte finns 80%:s stöd för att tillväxthastigheten uppnår gränsvärdet. </w:t>
      </w:r>
      <w:r w:rsidR="00344003">
        <w:t>Uppnår ej god miljömässig status.</w:t>
      </w:r>
    </w:p>
    <w:p w14:paraId="632A3313" w14:textId="77777777" w:rsidR="003F4193" w:rsidRDefault="003F4193" w:rsidP="00F87DD4">
      <w:pPr>
        <w:pStyle w:val="Brdtext"/>
      </w:pPr>
    </w:p>
    <w:p w14:paraId="13584427" w14:textId="77777777" w:rsidR="00FC351F" w:rsidRDefault="003F4193" w:rsidP="00FC351F">
      <w:pPr>
        <w:pStyle w:val="Brdtext"/>
        <w:keepNext/>
      </w:pPr>
      <w:r>
        <w:rPr>
          <w:noProof/>
          <w:lang w:eastAsia="sv-SE"/>
        </w:rPr>
        <w:lastRenderedPageBreak/>
        <w:drawing>
          <wp:inline distT="0" distB="0" distL="0" distR="0" wp14:anchorId="6A7B100A" wp14:editId="0E2347E5">
            <wp:extent cx="3738563" cy="2762251"/>
            <wp:effectExtent l="0" t="0" r="14605" b="1905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F64654" w14:textId="15A55E83" w:rsidR="003F4193" w:rsidRDefault="00FC351F" w:rsidP="00FC351F">
      <w:pPr>
        <w:pStyle w:val="Beskrivning"/>
      </w:pPr>
      <w:r>
        <w:t xml:space="preserve">Figur </w:t>
      </w:r>
      <w:r w:rsidR="007367F2">
        <w:fldChar w:fldCharType="begin"/>
      </w:r>
      <w:r w:rsidR="007367F2">
        <w:instrText xml:space="preserve"> SEQ Figur \* ARABIC </w:instrText>
      </w:r>
      <w:r w:rsidR="007367F2">
        <w:fldChar w:fldCharType="separate"/>
      </w:r>
      <w:r>
        <w:rPr>
          <w:noProof/>
        </w:rPr>
        <w:t>3</w:t>
      </w:r>
      <w:r w:rsidR="007367F2">
        <w:rPr>
          <w:noProof/>
        </w:rPr>
        <w:fldChar w:fldCharType="end"/>
      </w:r>
      <w:r>
        <w:t xml:space="preserve"> </w:t>
      </w:r>
      <w:r w:rsidRPr="00FC351F">
        <w:t>Antal knubbsälar i södra Östersjön inklusive Öresund . Tillväxthastigheten har varit 7,5% per år .</w:t>
      </w:r>
    </w:p>
    <w:p w14:paraId="27F6DA30" w14:textId="77777777" w:rsidR="00344003" w:rsidRPr="00344003" w:rsidRDefault="00344003" w:rsidP="00F87DD4">
      <w:pPr>
        <w:pStyle w:val="Brdtext"/>
        <w:rPr>
          <w:i/>
        </w:rPr>
      </w:pPr>
      <w:r w:rsidRPr="00344003">
        <w:rPr>
          <w:i/>
        </w:rPr>
        <w:t>Kalmarsund</w:t>
      </w:r>
    </w:p>
    <w:p w14:paraId="441D25C0" w14:textId="77777777" w:rsidR="007959F1" w:rsidRDefault="00344003" w:rsidP="00F87DD4">
      <w:pPr>
        <w:pStyle w:val="Brdtext"/>
      </w:pPr>
      <w:r>
        <w:t xml:space="preserve">Knubbsälen i Kalmarsund har låg genetisk variation (Fst=0,38) jämfört med sälarna i Kattegatt (Fst=0,56) (Goodman m. fl. </w:t>
      </w:r>
      <w:r w:rsidR="00ED7AF4">
        <w:t>1999</w:t>
      </w:r>
      <w:r>
        <w:t>). Den har i stort inget genetiskt utbyte med andra knubbsälkolonier.</w:t>
      </w:r>
    </w:p>
    <w:p w14:paraId="3FA232F4" w14:textId="77777777" w:rsidR="00344003" w:rsidRDefault="002217FF" w:rsidP="00F87DD4">
      <w:pPr>
        <w:pStyle w:val="Brdtext"/>
      </w:pPr>
      <w:r>
        <w:t xml:space="preserve">Abundans: </w:t>
      </w:r>
      <w:r w:rsidR="00344003">
        <w:t>Under 2016 räknades 1100 knubbsälar i Kalmarsund och detta understiger gränsvärdet på 10 000 sälar</w:t>
      </w:r>
      <w:r>
        <w:t xml:space="preserve">. Uppnår inte god miljömässig status och kommer inte att göra det inom överkomlig tid. </w:t>
      </w:r>
    </w:p>
    <w:p w14:paraId="52F2BCCC" w14:textId="77777777" w:rsidR="002217FF" w:rsidRDefault="002217FF" w:rsidP="00F87DD4">
      <w:pPr>
        <w:pStyle w:val="Brdtext"/>
      </w:pPr>
      <w:r>
        <w:t xml:space="preserve">Trend: Knubbsälarna i </w:t>
      </w:r>
      <w:proofErr w:type="spellStart"/>
      <w:r>
        <w:t>områdeet</w:t>
      </w:r>
      <w:proofErr w:type="spellEnd"/>
      <w:r>
        <w:t xml:space="preserve"> har räknats sedan 1975 då endast c:a 50 sälar återstod efter den hårda jakten och troligen problem med miljögifter. När dessa problem försvann eller reducerades ökade antalet med i genomsnitt 8,5% per år fram till 2016. Detta värde har inte 80%:s stöd för att ligga över gränsvärdet på 9%. Uppnår ej god miljömässig status </w:t>
      </w:r>
    </w:p>
    <w:p w14:paraId="2E508B94" w14:textId="77777777" w:rsidR="00FC351F" w:rsidRDefault="00344003" w:rsidP="00FC351F">
      <w:pPr>
        <w:pStyle w:val="Brdtext"/>
        <w:keepNext/>
      </w:pPr>
      <w:r>
        <w:rPr>
          <w:noProof/>
          <w:lang w:eastAsia="sv-SE"/>
        </w:rPr>
        <w:drawing>
          <wp:inline distT="0" distB="0" distL="0" distR="0" wp14:anchorId="7A89E41F" wp14:editId="1701617D">
            <wp:extent cx="4572000" cy="2743200"/>
            <wp:effectExtent l="0" t="0" r="19050" b="1905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41C31D" w14:textId="0CD21DBB" w:rsidR="00344003" w:rsidRDefault="00FC351F" w:rsidP="00FC351F">
      <w:pPr>
        <w:pStyle w:val="Beskrivning"/>
      </w:pPr>
      <w:r>
        <w:t xml:space="preserve">Figur </w:t>
      </w:r>
      <w:r w:rsidR="007367F2">
        <w:fldChar w:fldCharType="begin"/>
      </w:r>
      <w:r w:rsidR="007367F2">
        <w:instrText xml:space="preserve"> SEQ Figur \* ARABIC </w:instrText>
      </w:r>
      <w:r w:rsidR="007367F2">
        <w:fldChar w:fldCharType="separate"/>
      </w:r>
      <w:r>
        <w:rPr>
          <w:noProof/>
        </w:rPr>
        <w:t>4</w:t>
      </w:r>
      <w:r w:rsidR="007367F2">
        <w:rPr>
          <w:noProof/>
        </w:rPr>
        <w:fldChar w:fldCharType="end"/>
      </w:r>
      <w:r>
        <w:t xml:space="preserve"> U</w:t>
      </w:r>
      <w:r w:rsidRPr="00FC351F">
        <w:t>tvecklingen av knubbsälarna i Kalmarsund 1975-2016. Tillväxthastigheten har varit 8,5% per år.</w:t>
      </w:r>
    </w:p>
    <w:p w14:paraId="6D18AF57" w14:textId="77777777" w:rsidR="00FC351F" w:rsidRDefault="00FC351F" w:rsidP="007C6A94">
      <w:pPr>
        <w:pStyle w:val="Brdtext"/>
        <w:rPr>
          <w:u w:val="single"/>
        </w:rPr>
      </w:pPr>
    </w:p>
    <w:p w14:paraId="1BF8A608" w14:textId="3BB6C10C" w:rsidR="00674465" w:rsidRDefault="00674465" w:rsidP="007C6A94">
      <w:pPr>
        <w:pStyle w:val="Brdtext"/>
      </w:pPr>
      <w:r w:rsidRPr="00FC351F">
        <w:rPr>
          <w:u w:val="single"/>
        </w:rPr>
        <w:lastRenderedPageBreak/>
        <w:t>2.4. Disk</w:t>
      </w:r>
      <w:r w:rsidR="00F87DD4" w:rsidRPr="00FC351F">
        <w:rPr>
          <w:u w:val="single"/>
        </w:rPr>
        <w:t>ussion</w:t>
      </w:r>
    </w:p>
    <w:p w14:paraId="2D0645FE" w14:textId="77777777" w:rsidR="00674465" w:rsidRDefault="00DF5C27" w:rsidP="007C6A94">
      <w:pPr>
        <w:pStyle w:val="Brdtext"/>
      </w:pPr>
      <w:r>
        <w:t xml:space="preserve">Utvärderingen av knubbsälens status baseras på indikatorer utarbetade inom </w:t>
      </w:r>
      <w:proofErr w:type="spellStart"/>
      <w:r>
        <w:t>HELCOMs</w:t>
      </w:r>
      <w:proofErr w:type="spellEnd"/>
      <w:r>
        <w:t xml:space="preserve"> CORESET program, där det visas att analyserna ska baseras på biologiskt relevanta förvaltningsområden. För knubbsäl innebär detta att populationen i Skagerrak är gemensam för Sverige och Norge och populationen i Kattegatt är gemensam för Sverige och Danmark, medan knubbsälarna i södra</w:t>
      </w:r>
      <w:r w:rsidR="00ED7AF4">
        <w:t xml:space="preserve"> Östersjön inklusive Öresund gemen</w:t>
      </w:r>
      <w:r>
        <w:t xml:space="preserve">samt ska </w:t>
      </w:r>
      <w:proofErr w:type="spellStart"/>
      <w:r>
        <w:t>förvatlas</w:t>
      </w:r>
      <w:proofErr w:type="spellEnd"/>
      <w:r>
        <w:t xml:space="preserve"> av Sverige, Danmark och Tyskland. Populationen i Kalmarsund bef</w:t>
      </w:r>
      <w:r w:rsidR="00ED7AF4">
        <w:t>inner</w:t>
      </w:r>
      <w:r>
        <w:t xml:space="preserve"> sig helt i svenska vatten.</w:t>
      </w:r>
    </w:p>
    <w:p w14:paraId="0072DC66" w14:textId="77777777" w:rsidR="00FC351F" w:rsidRDefault="00803A42" w:rsidP="007C6A94">
      <w:pPr>
        <w:pStyle w:val="Brdtext"/>
      </w:pPr>
      <w:r>
        <w:t>En komplikation i utvärdering av status är att alla populationer utvecklas kontinuerligt, varför kriterier för god miljömässig status måste anpassas  till sådana naturliga processer. Alla sälpopulationer i Europa har tidigare varit utsatta för mycket hårt jakttryck och även utrotats i mer tätt bebyggda områden. När sälstammarna skyddades från jakt var de fåtaliga och endast kvar i kärnområden. Skyddet medförde att knubbsälarna ökade med 12% per år i västerhavet, 7,5% i Södra Östersjön och 8,5% i Kalmarsund.</w:t>
      </w:r>
    </w:p>
    <w:p w14:paraId="645E347E" w14:textId="3AF5BD7B" w:rsidR="00803A42" w:rsidRDefault="00803A42" w:rsidP="007C6A94">
      <w:pPr>
        <w:pStyle w:val="Brdtext"/>
      </w:pPr>
      <w:r>
        <w:t>För att uppnå god miljömässig status under sådana förhållanden krävs:</w:t>
      </w:r>
    </w:p>
    <w:p w14:paraId="553A9401" w14:textId="77777777" w:rsidR="00803A42" w:rsidRDefault="00803A42" w:rsidP="00803A42">
      <w:pPr>
        <w:pStyle w:val="Brdtext"/>
        <w:numPr>
          <w:ilvl w:val="0"/>
          <w:numId w:val="28"/>
        </w:numPr>
      </w:pPr>
      <w:r>
        <w:t>I</w:t>
      </w:r>
      <w:r w:rsidR="002E4B55">
        <w:t>ndividantalet i i</w:t>
      </w:r>
      <w:r>
        <w:t>solerade populationer (såsom den i Kalmarsund)</w:t>
      </w:r>
      <w:r w:rsidR="002E4B55">
        <w:t xml:space="preserve"> ska överstiga 10 000 djur.</w:t>
      </w:r>
    </w:p>
    <w:p w14:paraId="434CC494" w14:textId="2D261BBB" w:rsidR="002E4B55" w:rsidRDefault="002E4B55" w:rsidP="00803A42">
      <w:pPr>
        <w:pStyle w:val="Brdtext"/>
        <w:numPr>
          <w:ilvl w:val="0"/>
          <w:numId w:val="28"/>
        </w:numPr>
      </w:pPr>
      <w:r>
        <w:t>Individantalet i genetiskt kopplade, me</w:t>
      </w:r>
      <w:r w:rsidR="00561749">
        <w:t>n</w:t>
      </w:r>
      <w:r>
        <w:t xml:space="preserve"> ekologiskt skilda populationer ska överstiga 10 000 individer</w:t>
      </w:r>
    </w:p>
    <w:p w14:paraId="731E2FEA" w14:textId="77777777" w:rsidR="002E4B55" w:rsidRDefault="002E4B55" w:rsidP="00803A42">
      <w:pPr>
        <w:pStyle w:val="Brdtext"/>
        <w:numPr>
          <w:ilvl w:val="0"/>
          <w:numId w:val="28"/>
        </w:numPr>
      </w:pPr>
      <w:r>
        <w:t>Tillväxthastigheten under den exponentiella fasen av tillväxt ska vara tre procent under den maximala tillväxthastigheten för arten. Gränsvärdet för god miljömässig status är därför  9%, då den maximala tillväxthastigheten är 12%.</w:t>
      </w:r>
    </w:p>
    <w:p w14:paraId="574F41C7" w14:textId="77777777" w:rsidR="002E4B55" w:rsidRDefault="002E4B55" w:rsidP="002E4B55">
      <w:pPr>
        <w:pStyle w:val="Brdtext"/>
      </w:pPr>
      <w:r>
        <w:t>Men inga populationer fortsätter att tillväxa exponentiellt och når så småningom ett tak där tillväxten kommer att variera kring noll. Här gäller andra kriterier för god miljömässig status. I likhet med OSPARs definition antog HELCOM definitionen: Minskningen får inte överstiga 10% under en 10-årsperiod. Kriteriet för individantal är det samm</w:t>
      </w:r>
      <w:r w:rsidR="00D93087">
        <w:t xml:space="preserve">a som för exponentiell tillväxt. </w:t>
      </w:r>
    </w:p>
    <w:p w14:paraId="6167EB75" w14:textId="77777777" w:rsidR="001741FB" w:rsidRDefault="00D93087" w:rsidP="002E4B55">
      <w:pPr>
        <w:pStyle w:val="Brdtext"/>
      </w:pPr>
      <w:r>
        <w:t xml:space="preserve">Populationerna i Kattegatt och Skagerrak har under decennier vuxit med 12 % per år, men tillväxten har under det senaste dryga decenniet minskat till 7-8%. </w:t>
      </w:r>
      <w:r w:rsidR="001741FB">
        <w:t xml:space="preserve"> Andra typer av undersökningar visar tydliga tecken på att populationerna börjar närma sig ett tak (Harding m.fl. in press). Populationernas storlek överstiger histor</w:t>
      </w:r>
      <w:r w:rsidR="009C1873">
        <w:t xml:space="preserve">iskt antal för 100 år sedan (Härkönen </w:t>
      </w:r>
      <w:proofErr w:type="spellStart"/>
      <w:r w:rsidR="009C1873">
        <w:t>m.fl</w:t>
      </w:r>
      <w:proofErr w:type="spellEnd"/>
      <w:r w:rsidR="009C1873">
        <w:t>, 2006</w:t>
      </w:r>
      <w:r w:rsidR="001741FB">
        <w:t>)  Därför bör dessa populationer utvärderas enligt det andra kriteriet där populationen inte får minska</w:t>
      </w:r>
    </w:p>
    <w:p w14:paraId="02586107" w14:textId="77777777" w:rsidR="00D93087" w:rsidRDefault="001741FB" w:rsidP="002E4B55">
      <w:pPr>
        <w:pStyle w:val="Brdtext"/>
      </w:pPr>
      <w:r>
        <w:t>Övriga populationer är historiskt små och bör befinna sig i den exponentiella fasen, men uppnår inte tröskelvärdet om 9%.</w:t>
      </w:r>
    </w:p>
    <w:p w14:paraId="5546C2F4" w14:textId="77777777" w:rsidR="00744D37" w:rsidRPr="00FC351F" w:rsidRDefault="00744D37" w:rsidP="007C6A94">
      <w:pPr>
        <w:pStyle w:val="Brdtext"/>
        <w:rPr>
          <w:u w:val="single"/>
        </w:rPr>
      </w:pPr>
      <w:r w:rsidRPr="00FC351F">
        <w:rPr>
          <w:u w:val="single"/>
        </w:rPr>
        <w:t>2.5. Referenser</w:t>
      </w:r>
    </w:p>
    <w:p w14:paraId="44B070A9" w14:textId="77777777" w:rsidR="000C037F" w:rsidRPr="005C3FF3" w:rsidRDefault="000C037F" w:rsidP="000C037F">
      <w:pPr>
        <w:rPr>
          <w:rFonts w:ascii="Georgia" w:eastAsiaTheme="minorHAnsi" w:hAnsi="Georgia" w:cstheme="minorBidi"/>
          <w:sz w:val="22"/>
          <w:szCs w:val="22"/>
          <w:lang w:val="en-US" w:eastAsia="en-US"/>
        </w:rPr>
      </w:pPr>
      <w:r w:rsidRPr="00225849">
        <w:rPr>
          <w:rFonts w:ascii="Georgia" w:eastAsiaTheme="minorHAnsi" w:hAnsi="Georgia" w:cstheme="minorBidi"/>
          <w:sz w:val="22"/>
          <w:szCs w:val="22"/>
          <w:lang w:eastAsia="en-US"/>
        </w:rPr>
        <w:t xml:space="preserve">Dietz, R., M.-P. Heide-Jørgensen and T. Härkönen 1989. </w:t>
      </w:r>
      <w:r w:rsidRPr="00440240">
        <w:rPr>
          <w:rFonts w:ascii="Georgia" w:eastAsiaTheme="minorHAnsi" w:hAnsi="Georgia" w:cstheme="minorBidi"/>
          <w:sz w:val="22"/>
          <w:szCs w:val="22"/>
          <w:lang w:val="en-US" w:eastAsia="en-US"/>
        </w:rPr>
        <w:t xml:space="preserve">Mass deaths of </w:t>
      </w:r>
      <w:proofErr w:type="spellStart"/>
      <w:r w:rsidRPr="00440240">
        <w:rPr>
          <w:rFonts w:ascii="Georgia" w:eastAsiaTheme="minorHAnsi" w:hAnsi="Georgia" w:cstheme="minorBidi"/>
          <w:sz w:val="22"/>
          <w:szCs w:val="22"/>
          <w:lang w:val="en-US" w:eastAsia="en-US"/>
        </w:rPr>
        <w:t>harbour</w:t>
      </w:r>
      <w:proofErr w:type="spellEnd"/>
      <w:r w:rsidRPr="00440240">
        <w:rPr>
          <w:rFonts w:ascii="Georgia" w:eastAsiaTheme="minorHAnsi" w:hAnsi="Georgia" w:cstheme="minorBidi"/>
          <w:sz w:val="22"/>
          <w:szCs w:val="22"/>
          <w:lang w:val="en-US" w:eastAsia="en-US"/>
        </w:rPr>
        <w:t xml:space="preserve"> </w:t>
      </w:r>
      <w:r w:rsidRPr="00440240">
        <w:rPr>
          <w:rFonts w:ascii="Georgia" w:eastAsiaTheme="minorHAnsi" w:hAnsi="Georgia" w:cstheme="minorBidi"/>
          <w:i/>
          <w:sz w:val="22"/>
          <w:szCs w:val="22"/>
          <w:lang w:val="en-US" w:eastAsia="en-US"/>
        </w:rPr>
        <w:t xml:space="preserve">seals  </w:t>
      </w:r>
      <w:proofErr w:type="spellStart"/>
      <w:r w:rsidRPr="00440240">
        <w:rPr>
          <w:rFonts w:ascii="Georgia" w:eastAsiaTheme="minorHAnsi" w:hAnsi="Georgia" w:cstheme="minorBidi"/>
          <w:i/>
          <w:sz w:val="22"/>
          <w:szCs w:val="22"/>
          <w:lang w:val="en-US" w:eastAsia="en-US"/>
        </w:rPr>
        <w:t>Phoca</w:t>
      </w:r>
      <w:proofErr w:type="spellEnd"/>
      <w:r w:rsidRPr="00440240">
        <w:rPr>
          <w:rFonts w:ascii="Georgia" w:eastAsiaTheme="minorHAnsi" w:hAnsi="Georgia" w:cstheme="minorBidi"/>
          <w:i/>
          <w:sz w:val="22"/>
          <w:szCs w:val="22"/>
          <w:lang w:val="en-US" w:eastAsia="en-US"/>
        </w:rPr>
        <w:t xml:space="preserve"> </w:t>
      </w:r>
      <w:proofErr w:type="spellStart"/>
      <w:r w:rsidRPr="00440240">
        <w:rPr>
          <w:rFonts w:ascii="Georgia" w:eastAsiaTheme="minorHAnsi" w:hAnsi="Georgia" w:cstheme="minorBidi"/>
          <w:i/>
          <w:sz w:val="22"/>
          <w:szCs w:val="22"/>
          <w:lang w:val="en-US" w:eastAsia="en-US"/>
        </w:rPr>
        <w:t>vitulina</w:t>
      </w:r>
      <w:proofErr w:type="spellEnd"/>
      <w:r w:rsidRPr="00440240">
        <w:rPr>
          <w:rFonts w:ascii="Georgia" w:eastAsiaTheme="minorHAnsi" w:hAnsi="Georgia" w:cstheme="minorBidi"/>
          <w:sz w:val="22"/>
          <w:szCs w:val="22"/>
          <w:lang w:val="en-US" w:eastAsia="en-US"/>
        </w:rPr>
        <w:t xml:space="preserve"> in Europe. </w:t>
      </w:r>
      <w:proofErr w:type="spellStart"/>
      <w:r w:rsidRPr="005C3FF3">
        <w:rPr>
          <w:rFonts w:ascii="Georgia" w:eastAsiaTheme="minorHAnsi" w:hAnsi="Georgia" w:cstheme="minorBidi"/>
          <w:sz w:val="22"/>
          <w:szCs w:val="22"/>
          <w:lang w:val="en-US" w:eastAsia="en-US"/>
        </w:rPr>
        <w:t>Ambio</w:t>
      </w:r>
      <w:proofErr w:type="spellEnd"/>
      <w:r w:rsidRPr="005C3FF3">
        <w:rPr>
          <w:rFonts w:ascii="Georgia" w:eastAsiaTheme="minorHAnsi" w:hAnsi="Georgia" w:cstheme="minorBidi"/>
          <w:sz w:val="22"/>
          <w:szCs w:val="22"/>
          <w:lang w:val="en-US" w:eastAsia="en-US"/>
        </w:rPr>
        <w:t xml:space="preserve"> 18(5): 258-264.</w:t>
      </w:r>
    </w:p>
    <w:p w14:paraId="65CE41F7" w14:textId="77777777" w:rsidR="00663AF8" w:rsidRDefault="00663AF8" w:rsidP="00663AF8">
      <w:pPr>
        <w:spacing w:after="240"/>
        <w:rPr>
          <w:rStyle w:val="Normal1"/>
          <w:lang w:val="en-GB"/>
        </w:rPr>
      </w:pPr>
      <w:r w:rsidRPr="00385945">
        <w:rPr>
          <w:rStyle w:val="Normal1"/>
          <w:lang w:val="en-GB"/>
        </w:rPr>
        <w:t xml:space="preserve">Goodman SJ. 1998. Patterns of extensive genetic differentiation and variation among European </w:t>
      </w:r>
      <w:proofErr w:type="spellStart"/>
      <w:r w:rsidRPr="00385945">
        <w:rPr>
          <w:rStyle w:val="Normal1"/>
          <w:lang w:val="en-GB"/>
        </w:rPr>
        <w:t>harbor</w:t>
      </w:r>
      <w:proofErr w:type="spellEnd"/>
      <w:r w:rsidRPr="00385945">
        <w:rPr>
          <w:rStyle w:val="Normal1"/>
          <w:lang w:val="en-GB"/>
        </w:rPr>
        <w:t xml:space="preserve"> seals (</w:t>
      </w:r>
      <w:proofErr w:type="spellStart"/>
      <w:r w:rsidRPr="00225849">
        <w:rPr>
          <w:rStyle w:val="Normal1"/>
          <w:i/>
          <w:lang w:val="en-GB"/>
        </w:rPr>
        <w:t>Phoca</w:t>
      </w:r>
      <w:proofErr w:type="spellEnd"/>
      <w:r w:rsidRPr="00225849">
        <w:rPr>
          <w:rStyle w:val="Normal1"/>
          <w:i/>
          <w:lang w:val="en-GB"/>
        </w:rPr>
        <w:t xml:space="preserve"> </w:t>
      </w:r>
      <w:proofErr w:type="spellStart"/>
      <w:r w:rsidRPr="00225849">
        <w:rPr>
          <w:rStyle w:val="Normal1"/>
          <w:i/>
          <w:lang w:val="en-GB"/>
        </w:rPr>
        <w:t>vitulina</w:t>
      </w:r>
      <w:proofErr w:type="spellEnd"/>
      <w:r w:rsidRPr="00225849">
        <w:rPr>
          <w:rStyle w:val="Normal1"/>
          <w:i/>
          <w:lang w:val="en-GB"/>
        </w:rPr>
        <w:t xml:space="preserve"> </w:t>
      </w:r>
      <w:proofErr w:type="spellStart"/>
      <w:r w:rsidRPr="00225849">
        <w:rPr>
          <w:rStyle w:val="Normal1"/>
          <w:i/>
          <w:lang w:val="en-GB"/>
        </w:rPr>
        <w:t>vitulina</w:t>
      </w:r>
      <w:proofErr w:type="spellEnd"/>
      <w:r w:rsidRPr="00385945">
        <w:rPr>
          <w:rStyle w:val="Normal1"/>
          <w:lang w:val="en-GB"/>
        </w:rPr>
        <w:t xml:space="preserve">) revealed using microsatellite DNA polymorphisms. </w:t>
      </w:r>
      <w:proofErr w:type="spellStart"/>
      <w:r w:rsidRPr="00385945">
        <w:rPr>
          <w:rStyle w:val="Normal1"/>
          <w:lang w:val="en-GB"/>
        </w:rPr>
        <w:t>Mol</w:t>
      </w:r>
      <w:proofErr w:type="spellEnd"/>
      <w:r w:rsidRPr="00385945">
        <w:rPr>
          <w:rStyle w:val="Normal1"/>
          <w:lang w:val="en-GB"/>
        </w:rPr>
        <w:t xml:space="preserve"> </w:t>
      </w:r>
      <w:proofErr w:type="spellStart"/>
      <w:r w:rsidRPr="00385945">
        <w:rPr>
          <w:rStyle w:val="Normal1"/>
          <w:lang w:val="en-GB"/>
        </w:rPr>
        <w:t>Biol</w:t>
      </w:r>
      <w:proofErr w:type="spellEnd"/>
      <w:r w:rsidRPr="00385945">
        <w:rPr>
          <w:rStyle w:val="Normal1"/>
          <w:lang w:val="en-GB"/>
        </w:rPr>
        <w:t xml:space="preserve"> </w:t>
      </w:r>
      <w:proofErr w:type="spellStart"/>
      <w:r w:rsidRPr="00385945">
        <w:rPr>
          <w:rStyle w:val="Normal1"/>
          <w:lang w:val="en-GB"/>
        </w:rPr>
        <w:t>Evol</w:t>
      </w:r>
      <w:proofErr w:type="spellEnd"/>
      <w:r w:rsidRPr="00385945">
        <w:rPr>
          <w:rStyle w:val="Normal1"/>
          <w:lang w:val="en-GB"/>
        </w:rPr>
        <w:t xml:space="preserve"> 15(2):104-118.</w:t>
      </w:r>
    </w:p>
    <w:p w14:paraId="34C585F6" w14:textId="77777777" w:rsidR="000C037F" w:rsidRPr="00DF47E2" w:rsidRDefault="000C037F" w:rsidP="000C037F">
      <w:pPr>
        <w:rPr>
          <w:rStyle w:val="Normal1"/>
          <w:lang w:val="en-US"/>
        </w:rPr>
      </w:pPr>
      <w:r w:rsidRPr="00440240">
        <w:rPr>
          <w:rStyle w:val="Normal1"/>
          <w:lang w:val="en-US"/>
        </w:rPr>
        <w:lastRenderedPageBreak/>
        <w:t xml:space="preserve">Harding, K.C. Härkönen, T. and H. Caswell 2002. </w:t>
      </w:r>
      <w:r w:rsidRPr="005C3FF3">
        <w:rPr>
          <w:rStyle w:val="Normal1"/>
          <w:lang w:val="en-US"/>
        </w:rPr>
        <w:t xml:space="preserve">The 2002 European seal plague: epidemiology and population consequences. </w:t>
      </w:r>
      <w:r w:rsidRPr="00DF47E2">
        <w:rPr>
          <w:rStyle w:val="Normal1"/>
          <w:lang w:val="en-US"/>
        </w:rPr>
        <w:t>Ecology Letters, 5: 727-732.</w:t>
      </w:r>
    </w:p>
    <w:p w14:paraId="18B0F10E" w14:textId="77777777" w:rsidR="00C266C0" w:rsidRPr="00DF47E2" w:rsidRDefault="00C266C0" w:rsidP="007C6A94">
      <w:pPr>
        <w:pStyle w:val="Brdtext"/>
        <w:rPr>
          <w:rStyle w:val="Normal1"/>
          <w:rFonts w:ascii="Times New Roman" w:eastAsia="Times New Roman" w:hAnsi="Times New Roman" w:cs="Times New Roman"/>
          <w:sz w:val="24"/>
          <w:szCs w:val="24"/>
          <w:lang w:val="en-GB" w:eastAsia="sv-SE"/>
        </w:rPr>
      </w:pPr>
      <w:proofErr w:type="spellStart"/>
      <w:r w:rsidRPr="00DF47E2">
        <w:rPr>
          <w:rStyle w:val="Normal1"/>
          <w:rFonts w:ascii="Times New Roman" w:eastAsia="Times New Roman" w:hAnsi="Times New Roman" w:cs="Times New Roman"/>
          <w:sz w:val="24"/>
          <w:szCs w:val="24"/>
          <w:lang w:val="en-US" w:eastAsia="sv-SE"/>
        </w:rPr>
        <w:t>Harkonen</w:t>
      </w:r>
      <w:proofErr w:type="spellEnd"/>
      <w:r w:rsidRPr="00DF47E2">
        <w:rPr>
          <w:rStyle w:val="Normal1"/>
          <w:rFonts w:ascii="Times New Roman" w:eastAsia="Times New Roman" w:hAnsi="Times New Roman" w:cs="Times New Roman"/>
          <w:sz w:val="24"/>
          <w:szCs w:val="24"/>
          <w:lang w:val="en-US" w:eastAsia="sv-SE"/>
        </w:rPr>
        <w:t xml:space="preserve">, T., </w:t>
      </w:r>
      <w:proofErr w:type="spellStart"/>
      <w:r w:rsidRPr="00DF47E2">
        <w:rPr>
          <w:rStyle w:val="Normal1"/>
          <w:rFonts w:ascii="Times New Roman" w:eastAsia="Times New Roman" w:hAnsi="Times New Roman" w:cs="Times New Roman"/>
          <w:sz w:val="24"/>
          <w:szCs w:val="24"/>
          <w:lang w:val="en-US" w:eastAsia="sv-SE"/>
        </w:rPr>
        <w:t>Bäcklin</w:t>
      </w:r>
      <w:proofErr w:type="spellEnd"/>
      <w:r w:rsidRPr="00DF47E2">
        <w:rPr>
          <w:rStyle w:val="Normal1"/>
          <w:rFonts w:ascii="Times New Roman" w:eastAsia="Times New Roman" w:hAnsi="Times New Roman" w:cs="Times New Roman"/>
          <w:sz w:val="24"/>
          <w:szCs w:val="24"/>
          <w:lang w:val="en-US" w:eastAsia="sv-SE"/>
        </w:rPr>
        <w:t xml:space="preserve">, B-M., Barrett, T., Anders Bergman, A., </w:t>
      </w:r>
      <w:proofErr w:type="spellStart"/>
      <w:r w:rsidRPr="00DF47E2">
        <w:rPr>
          <w:rStyle w:val="Normal1"/>
          <w:rFonts w:ascii="Times New Roman" w:eastAsia="Times New Roman" w:hAnsi="Times New Roman" w:cs="Times New Roman"/>
          <w:sz w:val="24"/>
          <w:szCs w:val="24"/>
          <w:lang w:val="en-US" w:eastAsia="sv-SE"/>
        </w:rPr>
        <w:t>Corteyn</w:t>
      </w:r>
      <w:proofErr w:type="spellEnd"/>
      <w:r w:rsidRPr="00DF47E2">
        <w:rPr>
          <w:rStyle w:val="Normal1"/>
          <w:rFonts w:ascii="Times New Roman" w:eastAsia="Times New Roman" w:hAnsi="Times New Roman" w:cs="Times New Roman"/>
          <w:sz w:val="24"/>
          <w:szCs w:val="24"/>
          <w:lang w:val="en-US" w:eastAsia="sv-SE"/>
        </w:rPr>
        <w:t xml:space="preserve">, M., Dietz, R., Harding, K., </w:t>
      </w:r>
      <w:proofErr w:type="spellStart"/>
      <w:r w:rsidRPr="00DF47E2">
        <w:rPr>
          <w:rStyle w:val="Normal1"/>
          <w:rFonts w:ascii="Times New Roman" w:eastAsia="Times New Roman" w:hAnsi="Times New Roman" w:cs="Times New Roman"/>
          <w:sz w:val="24"/>
          <w:szCs w:val="24"/>
          <w:lang w:val="en-US" w:eastAsia="sv-SE"/>
        </w:rPr>
        <w:t>Malmsten</w:t>
      </w:r>
      <w:proofErr w:type="spellEnd"/>
      <w:r w:rsidRPr="00DF47E2">
        <w:rPr>
          <w:rStyle w:val="Normal1"/>
          <w:rFonts w:ascii="Times New Roman" w:eastAsia="Times New Roman" w:hAnsi="Times New Roman" w:cs="Times New Roman"/>
          <w:sz w:val="24"/>
          <w:szCs w:val="24"/>
          <w:lang w:val="en-US" w:eastAsia="sv-SE"/>
        </w:rPr>
        <w:t xml:space="preserve">, J., </w:t>
      </w:r>
      <w:proofErr w:type="spellStart"/>
      <w:r w:rsidRPr="00DF47E2">
        <w:rPr>
          <w:rStyle w:val="Normal1"/>
          <w:rFonts w:ascii="Times New Roman" w:eastAsia="Times New Roman" w:hAnsi="Times New Roman" w:cs="Times New Roman"/>
          <w:sz w:val="24"/>
          <w:szCs w:val="24"/>
          <w:lang w:val="en-US" w:eastAsia="sv-SE"/>
        </w:rPr>
        <w:t>Roos</w:t>
      </w:r>
      <w:proofErr w:type="spellEnd"/>
      <w:r w:rsidRPr="00DF47E2">
        <w:rPr>
          <w:rStyle w:val="Normal1"/>
          <w:rFonts w:ascii="Times New Roman" w:eastAsia="Times New Roman" w:hAnsi="Times New Roman" w:cs="Times New Roman"/>
          <w:sz w:val="24"/>
          <w:szCs w:val="24"/>
          <w:lang w:val="en-US" w:eastAsia="sv-SE"/>
        </w:rPr>
        <w:t xml:space="preserve">, A., </w:t>
      </w:r>
      <w:proofErr w:type="spellStart"/>
      <w:r w:rsidRPr="00DF47E2">
        <w:rPr>
          <w:rStyle w:val="Normal1"/>
          <w:rFonts w:ascii="Times New Roman" w:eastAsia="Times New Roman" w:hAnsi="Times New Roman" w:cs="Times New Roman"/>
          <w:sz w:val="24"/>
          <w:szCs w:val="24"/>
          <w:lang w:val="en-US" w:eastAsia="sv-SE"/>
        </w:rPr>
        <w:t>Teilmann</w:t>
      </w:r>
      <w:proofErr w:type="spellEnd"/>
      <w:r w:rsidRPr="00DF47E2">
        <w:rPr>
          <w:rStyle w:val="Normal1"/>
          <w:rFonts w:ascii="Times New Roman" w:eastAsia="Times New Roman" w:hAnsi="Times New Roman" w:cs="Times New Roman"/>
          <w:sz w:val="24"/>
          <w:szCs w:val="24"/>
          <w:lang w:val="en-US" w:eastAsia="sv-SE"/>
        </w:rPr>
        <w:t xml:space="preserve">, T. (2008). </w:t>
      </w:r>
      <w:r w:rsidRPr="00440240">
        <w:rPr>
          <w:rStyle w:val="Normal1"/>
          <w:rFonts w:ascii="Times New Roman" w:eastAsia="Times New Roman" w:hAnsi="Times New Roman" w:cs="Times New Roman"/>
          <w:sz w:val="24"/>
          <w:szCs w:val="24"/>
          <w:lang w:val="en-US" w:eastAsia="sv-SE"/>
        </w:rPr>
        <w:t xml:space="preserve">Mass mortality in </w:t>
      </w:r>
      <w:proofErr w:type="spellStart"/>
      <w:r w:rsidRPr="00440240">
        <w:rPr>
          <w:rStyle w:val="Normal1"/>
          <w:rFonts w:ascii="Times New Roman" w:eastAsia="Times New Roman" w:hAnsi="Times New Roman" w:cs="Times New Roman"/>
          <w:sz w:val="24"/>
          <w:szCs w:val="24"/>
          <w:lang w:val="en-US" w:eastAsia="sv-SE"/>
        </w:rPr>
        <w:t>harbour</w:t>
      </w:r>
      <w:proofErr w:type="spellEnd"/>
      <w:r w:rsidRPr="00440240">
        <w:rPr>
          <w:rStyle w:val="Normal1"/>
          <w:rFonts w:ascii="Times New Roman" w:eastAsia="Times New Roman" w:hAnsi="Times New Roman" w:cs="Times New Roman"/>
          <w:sz w:val="24"/>
          <w:szCs w:val="24"/>
          <w:lang w:val="en-US" w:eastAsia="sv-SE"/>
        </w:rPr>
        <w:t xml:space="preserve"> seals and </w:t>
      </w:r>
      <w:proofErr w:type="spellStart"/>
      <w:r w:rsidRPr="00440240">
        <w:rPr>
          <w:rStyle w:val="Normal1"/>
          <w:rFonts w:ascii="Times New Roman" w:eastAsia="Times New Roman" w:hAnsi="Times New Roman" w:cs="Times New Roman"/>
          <w:sz w:val="24"/>
          <w:szCs w:val="24"/>
          <w:lang w:val="en-US" w:eastAsia="sv-SE"/>
        </w:rPr>
        <w:t>harbour</w:t>
      </w:r>
      <w:proofErr w:type="spellEnd"/>
      <w:r w:rsidRPr="00440240">
        <w:rPr>
          <w:rStyle w:val="Normal1"/>
          <w:rFonts w:ascii="Times New Roman" w:eastAsia="Times New Roman" w:hAnsi="Times New Roman" w:cs="Times New Roman"/>
          <w:sz w:val="24"/>
          <w:szCs w:val="24"/>
          <w:lang w:val="en-US" w:eastAsia="sv-SE"/>
        </w:rPr>
        <w:t xml:space="preserve"> porpoises caused by an unknown pathogen. </w:t>
      </w:r>
      <w:r w:rsidRPr="00DF47E2">
        <w:rPr>
          <w:rStyle w:val="Normal1"/>
          <w:rFonts w:ascii="Times New Roman" w:eastAsia="Times New Roman" w:hAnsi="Times New Roman" w:cs="Times New Roman"/>
          <w:sz w:val="24"/>
          <w:szCs w:val="24"/>
          <w:lang w:val="en-GB" w:eastAsia="sv-SE"/>
        </w:rPr>
        <w:t xml:space="preserve">The Veterinary Record, </w:t>
      </w:r>
      <w:r w:rsidRPr="00DF47E2">
        <w:rPr>
          <w:rStyle w:val="Normal1"/>
          <w:rFonts w:eastAsia="Times New Roman"/>
          <w:sz w:val="24"/>
          <w:szCs w:val="24"/>
          <w:lang w:val="en-GB" w:eastAsia="sv-SE"/>
        </w:rPr>
        <w:t>162: 555-556</w:t>
      </w:r>
      <w:r w:rsidRPr="00DF47E2">
        <w:rPr>
          <w:rStyle w:val="Normal1"/>
          <w:rFonts w:ascii="Times New Roman" w:eastAsia="Times New Roman" w:hAnsi="Times New Roman" w:cs="Times New Roman"/>
          <w:sz w:val="24"/>
          <w:szCs w:val="24"/>
          <w:lang w:val="en-GB" w:eastAsia="sv-SE"/>
        </w:rPr>
        <w:t>.</w:t>
      </w:r>
    </w:p>
    <w:p w14:paraId="571C72E3" w14:textId="77777777" w:rsidR="000C037F" w:rsidRPr="00225849" w:rsidRDefault="000C037F" w:rsidP="000C037F">
      <w:pPr>
        <w:rPr>
          <w:rStyle w:val="Normal1"/>
          <w:lang w:val="en-US"/>
        </w:rPr>
      </w:pPr>
      <w:proofErr w:type="spellStart"/>
      <w:r w:rsidRPr="00440240">
        <w:rPr>
          <w:rStyle w:val="Normal1"/>
          <w:lang w:val="en-US"/>
        </w:rPr>
        <w:t>Heide-Jørgensen</w:t>
      </w:r>
      <w:proofErr w:type="spellEnd"/>
      <w:r w:rsidRPr="00440240">
        <w:rPr>
          <w:rStyle w:val="Normal1"/>
          <w:lang w:val="en-US"/>
        </w:rPr>
        <w:t xml:space="preserve">, M.-P., T. Härkönen, R. Dietz and P. Thompson 1992. Retrospective of the 1988 European seal epizootic. </w:t>
      </w:r>
      <w:r w:rsidRPr="00225849">
        <w:rPr>
          <w:rStyle w:val="Normal1"/>
          <w:lang w:val="en-US"/>
        </w:rPr>
        <w:t>Diseases of Aquatic Organisms. 13: 37-62.</w:t>
      </w:r>
    </w:p>
    <w:p w14:paraId="5AC1F878" w14:textId="0B8CE1FE" w:rsidR="00FC351F" w:rsidRDefault="00FC351F" w:rsidP="00FC351F">
      <w:pPr>
        <w:rPr>
          <w:rStyle w:val="Normal1"/>
          <w:lang w:val="en-GB"/>
        </w:rPr>
      </w:pPr>
      <w:r w:rsidRPr="00FC351F">
        <w:rPr>
          <w:rStyle w:val="Normal1"/>
          <w:lang w:val="en-GB"/>
        </w:rPr>
        <w:t>HELCOM (201</w:t>
      </w:r>
      <w:r>
        <w:rPr>
          <w:rStyle w:val="Normal1"/>
          <w:lang w:val="en-GB"/>
        </w:rPr>
        <w:t>7</w:t>
      </w:r>
      <w:r w:rsidRPr="00FC351F">
        <w:rPr>
          <w:rStyle w:val="Normal1"/>
          <w:lang w:val="en-GB"/>
        </w:rPr>
        <w:t>) Population trends and abundance of seals. HELC</w:t>
      </w:r>
      <w:r>
        <w:rPr>
          <w:rStyle w:val="Normal1"/>
          <w:lang w:val="en-GB"/>
        </w:rPr>
        <w:t xml:space="preserve">OM core indicator report, </w:t>
      </w:r>
      <w:bookmarkStart w:id="0" w:name="_GoBack"/>
      <w:r w:rsidR="007367F2">
        <w:fldChar w:fldCharType="begin"/>
      </w:r>
      <w:r w:rsidR="007367F2" w:rsidRPr="007367F2">
        <w:rPr>
          <w:lang w:val="en-GB"/>
        </w:rPr>
        <w:instrText xml:space="preserve"> HYPERLINK "http://helcom.fi/baltic-sea-trends/indicators/" </w:instrText>
      </w:r>
      <w:r w:rsidR="007367F2">
        <w:fldChar w:fldCharType="separate"/>
      </w:r>
      <w:r w:rsidRPr="001A08E0">
        <w:rPr>
          <w:rStyle w:val="Hyperlnk"/>
          <w:lang w:val="en-GB"/>
        </w:rPr>
        <w:t>http://helcom.fi/baltic-sea-trends/indicators/</w:t>
      </w:r>
      <w:r w:rsidR="007367F2">
        <w:rPr>
          <w:rStyle w:val="Hyperlnk"/>
          <w:lang w:val="en-GB"/>
        </w:rPr>
        <w:fldChar w:fldCharType="end"/>
      </w:r>
    </w:p>
    <w:bookmarkEnd w:id="0"/>
    <w:p w14:paraId="79704F45" w14:textId="10A12EC5" w:rsidR="000C037F" w:rsidRPr="005C3FF3" w:rsidRDefault="000C037F" w:rsidP="000C037F">
      <w:pPr>
        <w:rPr>
          <w:rStyle w:val="Normal1"/>
          <w:lang w:val="en-US"/>
        </w:rPr>
      </w:pPr>
      <w:r w:rsidRPr="00FC351F">
        <w:rPr>
          <w:rStyle w:val="Normal1"/>
        </w:rPr>
        <w:t xml:space="preserve">Härkönen, T. and M.-P. Heide-Jørgensen 1990. </w:t>
      </w:r>
      <w:r w:rsidRPr="005C3FF3">
        <w:rPr>
          <w:rStyle w:val="Normal1"/>
          <w:lang w:val="en-US"/>
        </w:rPr>
        <w:t xml:space="preserve">Short-term effects of the mass dying of </w:t>
      </w:r>
      <w:proofErr w:type="spellStart"/>
      <w:r w:rsidRPr="005C3FF3">
        <w:rPr>
          <w:rStyle w:val="Normal1"/>
          <w:lang w:val="en-US"/>
        </w:rPr>
        <w:t>harbour</w:t>
      </w:r>
      <w:proofErr w:type="spellEnd"/>
      <w:r w:rsidRPr="005C3FF3">
        <w:rPr>
          <w:rStyle w:val="Normal1"/>
          <w:lang w:val="en-US"/>
        </w:rPr>
        <w:t xml:space="preserve"> seals in the Kattegat-Skagerrak area during 1988. </w:t>
      </w:r>
      <w:proofErr w:type="spellStart"/>
      <w:r w:rsidRPr="005C3FF3">
        <w:rPr>
          <w:rStyle w:val="Normal1"/>
          <w:lang w:val="en-US"/>
        </w:rPr>
        <w:t>Zeitschrift</w:t>
      </w:r>
      <w:proofErr w:type="spellEnd"/>
      <w:r w:rsidRPr="005C3FF3">
        <w:rPr>
          <w:rStyle w:val="Normal1"/>
          <w:lang w:val="en-US"/>
        </w:rPr>
        <w:t xml:space="preserve"> </w:t>
      </w:r>
      <w:proofErr w:type="spellStart"/>
      <w:r w:rsidRPr="005C3FF3">
        <w:rPr>
          <w:rStyle w:val="Normal1"/>
          <w:lang w:val="en-US"/>
        </w:rPr>
        <w:t>für</w:t>
      </w:r>
      <w:proofErr w:type="spellEnd"/>
      <w:r w:rsidRPr="005C3FF3">
        <w:rPr>
          <w:rStyle w:val="Normal1"/>
          <w:lang w:val="en-US"/>
        </w:rPr>
        <w:t xml:space="preserve"> </w:t>
      </w:r>
      <w:proofErr w:type="spellStart"/>
      <w:r w:rsidRPr="005C3FF3">
        <w:rPr>
          <w:rStyle w:val="Normal1"/>
          <w:lang w:val="en-US"/>
        </w:rPr>
        <w:t>Säugetierkunde</w:t>
      </w:r>
      <w:proofErr w:type="spellEnd"/>
      <w:r w:rsidRPr="005C3FF3">
        <w:rPr>
          <w:rStyle w:val="Normal1"/>
          <w:lang w:val="en-US"/>
        </w:rPr>
        <w:t>, 55: 233-238.</w:t>
      </w:r>
    </w:p>
    <w:p w14:paraId="649DFDFB" w14:textId="77777777" w:rsidR="000C037F" w:rsidRPr="005C3FF3" w:rsidRDefault="000C037F" w:rsidP="000C037F">
      <w:pPr>
        <w:rPr>
          <w:rStyle w:val="Normal1"/>
          <w:lang w:val="en-US"/>
        </w:rPr>
      </w:pPr>
      <w:r w:rsidRPr="005C3FF3">
        <w:rPr>
          <w:rStyle w:val="Normal1"/>
          <w:lang w:val="en-US"/>
        </w:rPr>
        <w:t xml:space="preserve"> Härkönen, T, K.C. Harding, S. Goodman, and K. Johannesson (2005) Colonization history of the Baltic harbor seals: Integrating archaeological, </w:t>
      </w:r>
      <w:proofErr w:type="spellStart"/>
      <w:r w:rsidRPr="005C3FF3">
        <w:rPr>
          <w:rStyle w:val="Normal1"/>
          <w:lang w:val="en-US"/>
        </w:rPr>
        <w:t>behavioural</w:t>
      </w:r>
      <w:proofErr w:type="spellEnd"/>
      <w:r w:rsidRPr="005C3FF3">
        <w:rPr>
          <w:rStyle w:val="Normal1"/>
          <w:lang w:val="en-US"/>
        </w:rPr>
        <w:t xml:space="preserve"> and genetic data. Marine Mammal Science 21: 695-716.</w:t>
      </w:r>
    </w:p>
    <w:p w14:paraId="1C256006" w14:textId="77777777" w:rsidR="000C037F" w:rsidRPr="005C3FF3" w:rsidRDefault="000C037F" w:rsidP="000C037F">
      <w:pPr>
        <w:rPr>
          <w:rStyle w:val="Normal1"/>
          <w:lang w:val="en-US"/>
        </w:rPr>
      </w:pPr>
      <w:r w:rsidRPr="005C3FF3">
        <w:rPr>
          <w:rStyle w:val="Normal1"/>
          <w:lang w:val="en-US"/>
        </w:rPr>
        <w:t xml:space="preserve"> Härkönen, T., R. Dietz, P. </w:t>
      </w:r>
      <w:proofErr w:type="spellStart"/>
      <w:r w:rsidRPr="005C3FF3">
        <w:rPr>
          <w:rStyle w:val="Normal1"/>
          <w:lang w:val="en-US"/>
        </w:rPr>
        <w:t>Reijnders</w:t>
      </w:r>
      <w:proofErr w:type="spellEnd"/>
      <w:r w:rsidRPr="005C3FF3">
        <w:rPr>
          <w:rStyle w:val="Normal1"/>
          <w:lang w:val="en-US"/>
        </w:rPr>
        <w:t xml:space="preserve">, J. </w:t>
      </w:r>
      <w:proofErr w:type="spellStart"/>
      <w:r w:rsidRPr="005C3FF3">
        <w:rPr>
          <w:rStyle w:val="Normal1"/>
          <w:lang w:val="en-US"/>
        </w:rPr>
        <w:t>Teilmann</w:t>
      </w:r>
      <w:proofErr w:type="spellEnd"/>
      <w:r w:rsidRPr="005C3FF3">
        <w:rPr>
          <w:rStyle w:val="Normal1"/>
          <w:lang w:val="en-US"/>
        </w:rPr>
        <w:t xml:space="preserve">, K. Harding, A. Hall, S. Brasseur, U. Siebert, S. Goodman, P. Jepson, T. </w:t>
      </w:r>
      <w:proofErr w:type="spellStart"/>
      <w:r w:rsidRPr="005C3FF3">
        <w:rPr>
          <w:rStyle w:val="Normal1"/>
          <w:lang w:val="en-US"/>
        </w:rPr>
        <w:t>Dau</w:t>
      </w:r>
      <w:proofErr w:type="spellEnd"/>
      <w:r w:rsidRPr="005C3FF3">
        <w:rPr>
          <w:rStyle w:val="Normal1"/>
          <w:lang w:val="en-US"/>
        </w:rPr>
        <w:t xml:space="preserve"> Rasmussen, P. Thompson (2006). A review of the 1988 and 2002 </w:t>
      </w:r>
      <w:proofErr w:type="spellStart"/>
      <w:r w:rsidRPr="005C3FF3">
        <w:rPr>
          <w:rStyle w:val="Normal1"/>
          <w:lang w:val="en-US"/>
        </w:rPr>
        <w:t>phocine</w:t>
      </w:r>
      <w:proofErr w:type="spellEnd"/>
      <w:r w:rsidRPr="005C3FF3">
        <w:rPr>
          <w:rStyle w:val="Normal1"/>
          <w:lang w:val="en-US"/>
        </w:rPr>
        <w:t xml:space="preserve"> distemper virus epidemics in European </w:t>
      </w:r>
      <w:proofErr w:type="spellStart"/>
      <w:r w:rsidRPr="005C3FF3">
        <w:rPr>
          <w:rStyle w:val="Normal1"/>
          <w:lang w:val="en-US"/>
        </w:rPr>
        <w:t>harbour</w:t>
      </w:r>
      <w:proofErr w:type="spellEnd"/>
      <w:r w:rsidRPr="005C3FF3">
        <w:rPr>
          <w:rStyle w:val="Normal1"/>
          <w:lang w:val="en-US"/>
        </w:rPr>
        <w:t xml:space="preserve"> seals. Diseases of Aquatic Organisms, 68: 115-130.</w:t>
      </w:r>
    </w:p>
    <w:p w14:paraId="60E197DA" w14:textId="77777777" w:rsidR="00225849" w:rsidRPr="005C3FF3" w:rsidRDefault="00225849" w:rsidP="00225849">
      <w:pPr>
        <w:rPr>
          <w:rStyle w:val="Normal1"/>
          <w:lang w:val="en-US"/>
        </w:rPr>
      </w:pPr>
      <w:proofErr w:type="spellStart"/>
      <w:r w:rsidRPr="005C3FF3">
        <w:rPr>
          <w:rStyle w:val="Normal1"/>
          <w:lang w:val="en-US"/>
        </w:rPr>
        <w:t>Harkonen</w:t>
      </w:r>
      <w:proofErr w:type="spellEnd"/>
      <w:r w:rsidRPr="005C3FF3">
        <w:rPr>
          <w:rStyle w:val="Normal1"/>
          <w:lang w:val="en-US"/>
        </w:rPr>
        <w:t xml:space="preserve">, T. and Isakson, E. 2011. Historical and current status of </w:t>
      </w:r>
      <w:proofErr w:type="spellStart"/>
      <w:r w:rsidRPr="005C3FF3">
        <w:rPr>
          <w:rStyle w:val="Normal1"/>
          <w:lang w:val="en-US"/>
        </w:rPr>
        <w:t>harbour</w:t>
      </w:r>
      <w:proofErr w:type="spellEnd"/>
      <w:r w:rsidRPr="005C3FF3">
        <w:rPr>
          <w:rStyle w:val="Normal1"/>
          <w:lang w:val="en-US"/>
        </w:rPr>
        <w:t xml:space="preserve"> seals in the Baltic proper. NAMMCO Sci. Publ. 8: 71-76</w:t>
      </w:r>
      <w:r w:rsidR="00ED7AF4" w:rsidRPr="005C3FF3">
        <w:rPr>
          <w:rStyle w:val="Normal1"/>
          <w:lang w:val="en-US"/>
        </w:rPr>
        <w:t>.</w:t>
      </w:r>
    </w:p>
    <w:p w14:paraId="498B5F96" w14:textId="77777777" w:rsidR="00ED7AF4" w:rsidRPr="005C3FF3" w:rsidRDefault="00ED7AF4" w:rsidP="00225849">
      <w:pPr>
        <w:rPr>
          <w:rStyle w:val="Normal1"/>
          <w:lang w:val="en-US"/>
        </w:rPr>
      </w:pPr>
    </w:p>
    <w:p w14:paraId="02DECBB9" w14:textId="77777777" w:rsidR="00663AF8" w:rsidRDefault="00663AF8" w:rsidP="00663AF8">
      <w:pPr>
        <w:spacing w:after="240"/>
        <w:rPr>
          <w:rStyle w:val="Normal1"/>
          <w:lang w:val="en-GB"/>
        </w:rPr>
      </w:pPr>
      <w:proofErr w:type="spellStart"/>
      <w:r w:rsidRPr="005C3FF3">
        <w:rPr>
          <w:rStyle w:val="Normal1"/>
          <w:lang w:val="en-US"/>
        </w:rPr>
        <w:t>Heide-Jørgensen</w:t>
      </w:r>
      <w:proofErr w:type="spellEnd"/>
      <w:r w:rsidRPr="005C3FF3">
        <w:rPr>
          <w:rStyle w:val="Normal1"/>
          <w:lang w:val="en-US"/>
        </w:rPr>
        <w:t xml:space="preserve"> MP, Härkönen T. 1988. </w:t>
      </w:r>
      <w:r w:rsidRPr="00385945">
        <w:rPr>
          <w:rStyle w:val="Normal1"/>
          <w:lang w:val="en-GB"/>
        </w:rPr>
        <w:t>Rebuilding seal stocks in the Kattegat-Skagerrak. Marine Mammal Science 4:231-246.</w:t>
      </w:r>
    </w:p>
    <w:p w14:paraId="383A1D99" w14:textId="77777777" w:rsidR="00225849" w:rsidRPr="00DF47E2" w:rsidRDefault="00225849" w:rsidP="00663AF8">
      <w:pPr>
        <w:spacing w:after="240"/>
        <w:rPr>
          <w:rStyle w:val="Normal1"/>
          <w:lang w:val="en-GB"/>
        </w:rPr>
      </w:pPr>
      <w:r w:rsidRPr="00440240">
        <w:rPr>
          <w:rStyle w:val="Normal1"/>
          <w:lang w:val="en-US"/>
        </w:rPr>
        <w:t xml:space="preserve">.Olsen, M. T., L. Wesley Andersen, R. Dietz, J. </w:t>
      </w:r>
      <w:proofErr w:type="spellStart"/>
      <w:r w:rsidRPr="00440240">
        <w:rPr>
          <w:rStyle w:val="Normal1"/>
          <w:lang w:val="en-US"/>
        </w:rPr>
        <w:t>Teilmann</w:t>
      </w:r>
      <w:proofErr w:type="spellEnd"/>
      <w:r w:rsidRPr="00440240">
        <w:rPr>
          <w:rStyle w:val="Normal1"/>
          <w:lang w:val="en-US"/>
        </w:rPr>
        <w:t xml:space="preserve">, T. </w:t>
      </w:r>
      <w:proofErr w:type="spellStart"/>
      <w:r w:rsidRPr="00440240">
        <w:rPr>
          <w:rStyle w:val="Normal1"/>
          <w:lang w:val="en-US"/>
        </w:rPr>
        <w:t>Harkonen</w:t>
      </w:r>
      <w:proofErr w:type="spellEnd"/>
      <w:r w:rsidRPr="00440240">
        <w:rPr>
          <w:rStyle w:val="Normal1"/>
          <w:lang w:val="en-US"/>
        </w:rPr>
        <w:t xml:space="preserve"> and H. R. </w:t>
      </w:r>
      <w:proofErr w:type="spellStart"/>
      <w:r w:rsidRPr="00440240">
        <w:rPr>
          <w:rStyle w:val="Normal1"/>
          <w:lang w:val="en-US"/>
        </w:rPr>
        <w:t>Siegismund</w:t>
      </w:r>
      <w:proofErr w:type="spellEnd"/>
      <w:r w:rsidRPr="00440240">
        <w:rPr>
          <w:rStyle w:val="Normal1"/>
          <w:lang w:val="en-US"/>
        </w:rPr>
        <w:t xml:space="preserve"> 2014. 'Integrating genetic data and population viability analyses for the identification of </w:t>
      </w:r>
      <w:proofErr w:type="spellStart"/>
      <w:r w:rsidRPr="00440240">
        <w:rPr>
          <w:rStyle w:val="Normal1"/>
          <w:lang w:val="en-US"/>
        </w:rPr>
        <w:t>harbour</w:t>
      </w:r>
      <w:proofErr w:type="spellEnd"/>
      <w:r w:rsidRPr="00440240">
        <w:rPr>
          <w:rStyle w:val="Normal1"/>
          <w:lang w:val="en-US"/>
        </w:rPr>
        <w:t xml:space="preserve"> seal (</w:t>
      </w:r>
      <w:proofErr w:type="spellStart"/>
      <w:r w:rsidRPr="00440240">
        <w:rPr>
          <w:rStyle w:val="Normal1"/>
          <w:i/>
          <w:lang w:val="en-US"/>
        </w:rPr>
        <w:t>Phoca</w:t>
      </w:r>
      <w:proofErr w:type="spellEnd"/>
      <w:r w:rsidRPr="00440240">
        <w:rPr>
          <w:rStyle w:val="Normal1"/>
          <w:i/>
          <w:lang w:val="en-US"/>
        </w:rPr>
        <w:t xml:space="preserve"> </w:t>
      </w:r>
      <w:proofErr w:type="spellStart"/>
      <w:r w:rsidRPr="00440240">
        <w:rPr>
          <w:rStyle w:val="Normal1"/>
          <w:i/>
          <w:lang w:val="en-US"/>
        </w:rPr>
        <w:t>vitulina</w:t>
      </w:r>
      <w:proofErr w:type="spellEnd"/>
      <w:r w:rsidRPr="00440240">
        <w:rPr>
          <w:rStyle w:val="Normal1"/>
          <w:lang w:val="en-US"/>
        </w:rPr>
        <w:t xml:space="preserve">) populations and management units. </w:t>
      </w:r>
      <w:r w:rsidRPr="00DF47E2">
        <w:rPr>
          <w:rStyle w:val="Normal1"/>
          <w:lang w:val="en-GB"/>
        </w:rPr>
        <w:t>Molecular Ecology. 23: 815-831.</w:t>
      </w:r>
    </w:p>
    <w:p w14:paraId="288E4290" w14:textId="77777777" w:rsidR="00225849" w:rsidRDefault="00225849" w:rsidP="00663AF8">
      <w:pPr>
        <w:spacing w:after="240"/>
        <w:rPr>
          <w:rStyle w:val="Normal1"/>
          <w:lang w:val="en-GB"/>
        </w:rPr>
      </w:pPr>
      <w:r w:rsidRPr="00DF47E2">
        <w:rPr>
          <w:rStyle w:val="Normal1"/>
          <w:lang w:val="en-GB"/>
        </w:rPr>
        <w:t xml:space="preserve">Svensson, C.J., Hansson, A. </w:t>
      </w:r>
      <w:proofErr w:type="spellStart"/>
      <w:r w:rsidRPr="00DF47E2">
        <w:rPr>
          <w:rStyle w:val="Normal1"/>
          <w:lang w:val="en-GB"/>
        </w:rPr>
        <w:t>Harkonen</w:t>
      </w:r>
      <w:proofErr w:type="spellEnd"/>
      <w:r w:rsidRPr="00DF47E2">
        <w:rPr>
          <w:rStyle w:val="Normal1"/>
          <w:lang w:val="en-GB"/>
        </w:rPr>
        <w:t xml:space="preserve">, T. Harding, K .2011. </w:t>
      </w:r>
      <w:r w:rsidRPr="00440240">
        <w:rPr>
          <w:rStyle w:val="Normal1"/>
          <w:lang w:val="en-US"/>
        </w:rPr>
        <w:t xml:space="preserve">Detecting density dependence in growing seal populations. </w:t>
      </w:r>
      <w:r w:rsidRPr="005C3FF3">
        <w:rPr>
          <w:rStyle w:val="Normal1"/>
          <w:lang w:val="en-US"/>
        </w:rPr>
        <w:t>AMBIO (2011) 40:52–59, DOI 10.1007/s13280-010-0091</w:t>
      </w:r>
    </w:p>
    <w:p w14:paraId="749C5FD5" w14:textId="77777777" w:rsidR="000C037F" w:rsidRPr="00225849" w:rsidRDefault="000C037F" w:rsidP="000C037F">
      <w:pPr>
        <w:rPr>
          <w:rStyle w:val="Normal1"/>
          <w:lang w:val="en-US"/>
        </w:rPr>
      </w:pPr>
      <w:proofErr w:type="spellStart"/>
      <w:r w:rsidRPr="00225849">
        <w:rPr>
          <w:rStyle w:val="Normal1"/>
          <w:lang w:val="en-GB"/>
        </w:rPr>
        <w:t>Teilmann</w:t>
      </w:r>
      <w:proofErr w:type="spellEnd"/>
      <w:r w:rsidRPr="00225849">
        <w:rPr>
          <w:rStyle w:val="Normal1"/>
          <w:lang w:val="en-GB"/>
        </w:rPr>
        <w:t xml:space="preserve">, J., F. </w:t>
      </w:r>
      <w:proofErr w:type="spellStart"/>
      <w:r w:rsidRPr="00225849">
        <w:rPr>
          <w:rStyle w:val="Normal1"/>
          <w:lang w:val="en-GB"/>
        </w:rPr>
        <w:t>Riget</w:t>
      </w:r>
      <w:proofErr w:type="spellEnd"/>
      <w:r w:rsidRPr="00225849">
        <w:rPr>
          <w:rStyle w:val="Normal1"/>
          <w:lang w:val="en-GB"/>
        </w:rPr>
        <w:t xml:space="preserve">, T. </w:t>
      </w:r>
      <w:proofErr w:type="spellStart"/>
      <w:r w:rsidRPr="00225849">
        <w:rPr>
          <w:rStyle w:val="Normal1"/>
          <w:lang w:val="en-GB"/>
        </w:rPr>
        <w:t>Harkonen</w:t>
      </w:r>
      <w:proofErr w:type="spellEnd"/>
      <w:r w:rsidRPr="00225849">
        <w:rPr>
          <w:rStyle w:val="Normal1"/>
          <w:lang w:val="en-GB"/>
        </w:rPr>
        <w:t xml:space="preserve">. </w:t>
      </w:r>
      <w:r w:rsidRPr="005C3FF3">
        <w:rPr>
          <w:rStyle w:val="Normal1"/>
          <w:lang w:val="en-US"/>
        </w:rPr>
        <w:t xml:space="preserve">2010. </w:t>
      </w:r>
      <w:proofErr w:type="spellStart"/>
      <w:r w:rsidRPr="005C3FF3">
        <w:rPr>
          <w:rStyle w:val="Normal1"/>
          <w:lang w:val="en-US"/>
        </w:rPr>
        <w:t>Optimising</w:t>
      </w:r>
      <w:proofErr w:type="spellEnd"/>
      <w:r w:rsidRPr="005C3FF3">
        <w:rPr>
          <w:rStyle w:val="Normal1"/>
          <w:lang w:val="en-US"/>
        </w:rPr>
        <w:t xml:space="preserve"> survey design in Scandinavian </w:t>
      </w:r>
      <w:proofErr w:type="spellStart"/>
      <w:r w:rsidRPr="005C3FF3">
        <w:rPr>
          <w:rStyle w:val="Normal1"/>
          <w:lang w:val="en-US"/>
        </w:rPr>
        <w:t>harbour</w:t>
      </w:r>
      <w:proofErr w:type="spellEnd"/>
      <w:r w:rsidRPr="005C3FF3">
        <w:rPr>
          <w:rStyle w:val="Normal1"/>
          <w:lang w:val="en-US"/>
        </w:rPr>
        <w:t xml:space="preserve"> seals: Population trend as an ecological quality element. </w:t>
      </w:r>
      <w:r w:rsidRPr="00225849">
        <w:rPr>
          <w:rStyle w:val="Normal1"/>
          <w:lang w:val="en-US"/>
        </w:rPr>
        <w:t>ICES Journal of Marine Science, 67: 952–958</w:t>
      </w:r>
      <w:r w:rsidR="00225849">
        <w:rPr>
          <w:rStyle w:val="Normal1"/>
          <w:lang w:val="en-US"/>
        </w:rPr>
        <w:t>.</w:t>
      </w:r>
    </w:p>
    <w:p w14:paraId="2E156032" w14:textId="77777777" w:rsidR="00225849" w:rsidRPr="00225849" w:rsidRDefault="00225849" w:rsidP="000C037F">
      <w:pPr>
        <w:rPr>
          <w:rStyle w:val="Normal1"/>
          <w:lang w:val="en-GB"/>
        </w:rPr>
      </w:pPr>
      <w:proofErr w:type="spellStart"/>
      <w:r w:rsidRPr="00225849">
        <w:rPr>
          <w:rStyle w:val="Normal1"/>
          <w:lang w:val="en-US"/>
        </w:rPr>
        <w:t>Zohari</w:t>
      </w:r>
      <w:proofErr w:type="spellEnd"/>
      <w:r w:rsidRPr="00225849">
        <w:rPr>
          <w:rStyle w:val="Normal1"/>
          <w:lang w:val="en-US"/>
        </w:rPr>
        <w:t xml:space="preserve"> S, </w:t>
      </w:r>
      <w:proofErr w:type="spellStart"/>
      <w:r w:rsidRPr="00225849">
        <w:rPr>
          <w:rStyle w:val="Normal1"/>
          <w:lang w:val="en-US"/>
        </w:rPr>
        <w:t>Neimanis</w:t>
      </w:r>
      <w:proofErr w:type="spellEnd"/>
      <w:r w:rsidRPr="00225849">
        <w:rPr>
          <w:rStyle w:val="Normal1"/>
          <w:lang w:val="en-US"/>
        </w:rPr>
        <w:t xml:space="preserve"> A, Härkönen T, </w:t>
      </w:r>
      <w:proofErr w:type="spellStart"/>
      <w:r w:rsidRPr="00225849">
        <w:rPr>
          <w:rStyle w:val="Normal1"/>
          <w:lang w:val="en-US"/>
        </w:rPr>
        <w:t>Moraeus</w:t>
      </w:r>
      <w:proofErr w:type="spellEnd"/>
      <w:r w:rsidRPr="00225849">
        <w:rPr>
          <w:rStyle w:val="Normal1"/>
          <w:lang w:val="en-US"/>
        </w:rPr>
        <w:t xml:space="preserve"> C, </w:t>
      </w:r>
      <w:proofErr w:type="spellStart"/>
      <w:r w:rsidRPr="00225849">
        <w:rPr>
          <w:rStyle w:val="Normal1"/>
          <w:lang w:val="en-US"/>
        </w:rPr>
        <w:t>Valarcher</w:t>
      </w:r>
      <w:proofErr w:type="spellEnd"/>
      <w:r w:rsidRPr="00225849">
        <w:rPr>
          <w:rStyle w:val="Normal1"/>
          <w:lang w:val="en-US"/>
        </w:rPr>
        <w:t xml:space="preserve"> JF. </w:t>
      </w:r>
      <w:r w:rsidRPr="00440240">
        <w:rPr>
          <w:rStyle w:val="Normal1"/>
          <w:lang w:val="en-US"/>
        </w:rPr>
        <w:t xml:space="preserve">Avian influenza A(H10N7) virus involvement in mass mortality of </w:t>
      </w:r>
      <w:proofErr w:type="spellStart"/>
      <w:r w:rsidRPr="00440240">
        <w:rPr>
          <w:rStyle w:val="Normal1"/>
          <w:lang w:val="en-US"/>
        </w:rPr>
        <w:t>harbour</w:t>
      </w:r>
      <w:proofErr w:type="spellEnd"/>
      <w:r w:rsidRPr="00440240">
        <w:rPr>
          <w:rStyle w:val="Normal1"/>
          <w:lang w:val="en-US"/>
        </w:rPr>
        <w:t xml:space="preserve"> seals (</w:t>
      </w:r>
      <w:proofErr w:type="spellStart"/>
      <w:r w:rsidRPr="00440240">
        <w:rPr>
          <w:rStyle w:val="Normal1"/>
          <w:i/>
          <w:lang w:val="en-US"/>
        </w:rPr>
        <w:t>Phoca</w:t>
      </w:r>
      <w:proofErr w:type="spellEnd"/>
      <w:r w:rsidRPr="00440240">
        <w:rPr>
          <w:rStyle w:val="Normal1"/>
          <w:i/>
          <w:lang w:val="en-US"/>
        </w:rPr>
        <w:t xml:space="preserve"> </w:t>
      </w:r>
      <w:proofErr w:type="spellStart"/>
      <w:r w:rsidRPr="00440240">
        <w:rPr>
          <w:rStyle w:val="Normal1"/>
          <w:i/>
          <w:lang w:val="en-US"/>
        </w:rPr>
        <w:t>vitulina</w:t>
      </w:r>
      <w:proofErr w:type="spellEnd"/>
      <w:r w:rsidRPr="00440240">
        <w:rPr>
          <w:rStyle w:val="Normal1"/>
          <w:lang w:val="en-US"/>
        </w:rPr>
        <w:t xml:space="preserve">) in Sweden, March through October 2014. </w:t>
      </w:r>
      <w:r w:rsidRPr="005C3FF3">
        <w:rPr>
          <w:rStyle w:val="Normal1"/>
          <w:lang w:val="en-US"/>
        </w:rPr>
        <w:t xml:space="preserve">Euro </w:t>
      </w:r>
      <w:proofErr w:type="spellStart"/>
      <w:r w:rsidRPr="005C3FF3">
        <w:rPr>
          <w:rStyle w:val="Normal1"/>
          <w:lang w:val="en-US"/>
        </w:rPr>
        <w:t>Surveill</w:t>
      </w:r>
      <w:proofErr w:type="spellEnd"/>
      <w:r w:rsidRPr="005C3FF3">
        <w:rPr>
          <w:rStyle w:val="Normal1"/>
          <w:lang w:val="en-US"/>
        </w:rPr>
        <w:t>. 2014;19(46):</w:t>
      </w:r>
      <w:proofErr w:type="spellStart"/>
      <w:r w:rsidRPr="005C3FF3">
        <w:rPr>
          <w:rStyle w:val="Normal1"/>
          <w:lang w:val="en-US"/>
        </w:rPr>
        <w:t>pii</w:t>
      </w:r>
      <w:proofErr w:type="spellEnd"/>
      <w:r w:rsidRPr="005C3FF3">
        <w:rPr>
          <w:rStyle w:val="Normal1"/>
          <w:lang w:val="en-US"/>
        </w:rPr>
        <w:t xml:space="preserve">=20967. Available online: </w:t>
      </w:r>
      <w:hyperlink r:id="rId13" w:history="1">
        <w:r w:rsidRPr="005C3FF3">
          <w:rPr>
            <w:rStyle w:val="Normal1"/>
            <w:lang w:val="en-US"/>
          </w:rPr>
          <w:t>http://www.eurosurveillance.org/ViewArticle.aspx?ArticleId=20967</w:t>
        </w:r>
      </w:hyperlink>
    </w:p>
    <w:p w14:paraId="051834B6" w14:textId="77777777" w:rsidR="000C037F" w:rsidRPr="00385945" w:rsidRDefault="000C037F" w:rsidP="00663AF8">
      <w:pPr>
        <w:spacing w:after="240"/>
        <w:rPr>
          <w:rStyle w:val="Normal1"/>
          <w:lang w:val="en-GB"/>
        </w:rPr>
      </w:pPr>
    </w:p>
    <w:p w14:paraId="0CAAD5BB" w14:textId="77777777" w:rsidR="00663AF8" w:rsidRPr="00225849" w:rsidRDefault="00663AF8" w:rsidP="007C6A94">
      <w:pPr>
        <w:pStyle w:val="Brdtext"/>
        <w:rPr>
          <w:lang w:val="en-US"/>
        </w:rPr>
      </w:pPr>
    </w:p>
    <w:sectPr w:rsidR="00663AF8" w:rsidRPr="0022584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038BB" w14:textId="77777777" w:rsidR="0090368C" w:rsidRDefault="0090368C" w:rsidP="00D846CA">
      <w:r>
        <w:separator/>
      </w:r>
    </w:p>
  </w:endnote>
  <w:endnote w:type="continuationSeparator" w:id="0">
    <w:p w14:paraId="2EC4AF7E" w14:textId="77777777" w:rsidR="0090368C" w:rsidRDefault="0090368C" w:rsidP="00D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74715"/>
      <w:docPartObj>
        <w:docPartGallery w:val="Page Numbers (Bottom of Page)"/>
        <w:docPartUnique/>
      </w:docPartObj>
    </w:sdtPr>
    <w:sdtEndPr/>
    <w:sdtContent>
      <w:p w14:paraId="39137F3E" w14:textId="52A05778" w:rsidR="00393373" w:rsidRDefault="00393373">
        <w:pPr>
          <w:pStyle w:val="Sidfot"/>
          <w:jc w:val="right"/>
        </w:pPr>
        <w:r w:rsidRPr="00D403D0">
          <w:rPr>
            <w:sz w:val="18"/>
            <w:szCs w:val="18"/>
          </w:rPr>
          <w:fldChar w:fldCharType="begin"/>
        </w:r>
        <w:r w:rsidRPr="00D403D0">
          <w:rPr>
            <w:sz w:val="18"/>
            <w:szCs w:val="18"/>
          </w:rPr>
          <w:instrText>PAGE   \* MERGEFORMAT</w:instrText>
        </w:r>
        <w:r w:rsidRPr="00D403D0">
          <w:rPr>
            <w:sz w:val="18"/>
            <w:szCs w:val="18"/>
          </w:rPr>
          <w:fldChar w:fldCharType="separate"/>
        </w:r>
        <w:r w:rsidR="007367F2">
          <w:rPr>
            <w:sz w:val="18"/>
            <w:szCs w:val="18"/>
          </w:rPr>
          <w:t>12</w:t>
        </w:r>
        <w:r w:rsidRPr="00D403D0">
          <w:rPr>
            <w:sz w:val="18"/>
            <w:szCs w:val="18"/>
          </w:rPr>
          <w:fldChar w:fldCharType="end"/>
        </w:r>
      </w:p>
    </w:sdtContent>
  </w:sdt>
  <w:p w14:paraId="3C054B42" w14:textId="77777777" w:rsidR="00393373" w:rsidRPr="00356C54" w:rsidRDefault="00393373" w:rsidP="00356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3FEA" w14:textId="77777777" w:rsidR="0090368C" w:rsidRDefault="0090368C" w:rsidP="00D846CA">
      <w:r>
        <w:separator/>
      </w:r>
    </w:p>
  </w:footnote>
  <w:footnote w:type="continuationSeparator" w:id="0">
    <w:p w14:paraId="71B8056A" w14:textId="77777777" w:rsidR="0090368C" w:rsidRDefault="0090368C" w:rsidP="00D8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08E94" w14:textId="77777777" w:rsidR="00393373" w:rsidRDefault="00393373">
    <w:pPr>
      <w:pStyle w:val="Sidhuvud"/>
    </w:pPr>
    <w:bookmarkStart w:id="1" w:name="bmLogga"/>
    <w:r>
      <w:rPr>
        <w:lang w:eastAsia="sv-SE"/>
      </w:rPr>
      <w:drawing>
        <wp:inline distT="0" distB="0" distL="0" distR="0" wp14:anchorId="7B2F92F5" wp14:editId="6B25BBCF">
          <wp:extent cx="1443231" cy="583693"/>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_Sv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31" cy="583693"/>
                  </a:xfrm>
                  <a:prstGeom prst="rect">
                    <a:avLst/>
                  </a:prstGeom>
                </pic:spPr>
              </pic:pic>
            </a:graphicData>
          </a:graphic>
        </wp:inline>
      </w:drawing>
    </w:r>
    <w:bookmarkEnd w:id="1"/>
  </w:p>
  <w:p w14:paraId="583A9908" w14:textId="77777777" w:rsidR="00393373" w:rsidRPr="005A4563" w:rsidRDefault="00393373" w:rsidP="005A45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A481705"/>
    <w:multiLevelType w:val="hybridMultilevel"/>
    <w:tmpl w:val="0994F0D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8D43DA"/>
    <w:multiLevelType w:val="hybridMultilevel"/>
    <w:tmpl w:val="90048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AE019B"/>
    <w:multiLevelType w:val="hybridMultilevel"/>
    <w:tmpl w:val="9780B50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260374B6"/>
    <w:multiLevelType w:val="hybridMultilevel"/>
    <w:tmpl w:val="0236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30B8D"/>
    <w:multiLevelType w:val="hybridMultilevel"/>
    <w:tmpl w:val="AD669C0C"/>
    <w:lvl w:ilvl="0" w:tplc="041D000F">
      <w:start w:val="1"/>
      <w:numFmt w:val="decimal"/>
      <w:lvlText w:val="%1."/>
      <w:lvlJc w:val="left"/>
      <w:pPr>
        <w:ind w:left="810" w:hanging="360"/>
      </w:pPr>
    </w:lvl>
    <w:lvl w:ilvl="1" w:tplc="041D0019">
      <w:start w:val="1"/>
      <w:numFmt w:val="lowerLetter"/>
      <w:lvlText w:val="%2."/>
      <w:lvlJc w:val="left"/>
      <w:pPr>
        <w:ind w:left="1530" w:hanging="360"/>
      </w:pPr>
    </w:lvl>
    <w:lvl w:ilvl="2" w:tplc="041D001B">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7" w15:restartNumberingAfterBreak="0">
    <w:nsid w:val="2A617EA7"/>
    <w:multiLevelType w:val="hybridMultilevel"/>
    <w:tmpl w:val="1F3A6FF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AAC3A51"/>
    <w:multiLevelType w:val="hybridMultilevel"/>
    <w:tmpl w:val="4D148D9E"/>
    <w:lvl w:ilvl="0" w:tplc="CABC420C">
      <w:start w:val="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7536D3"/>
    <w:multiLevelType w:val="hybridMultilevel"/>
    <w:tmpl w:val="534A9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86F3E11"/>
    <w:multiLevelType w:val="hybridMultilevel"/>
    <w:tmpl w:val="08EECD26"/>
    <w:lvl w:ilvl="0" w:tplc="041D000B">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E0F030C"/>
    <w:multiLevelType w:val="hybridMultilevel"/>
    <w:tmpl w:val="E5E41442"/>
    <w:lvl w:ilvl="0" w:tplc="B10A3E20">
      <w:start w:val="1"/>
      <w:numFmt w:val="bullet"/>
      <w:pStyle w:val="Lista-Punkter"/>
      <w:lvlText w:val=""/>
      <w:lvlJc w:val="left"/>
      <w:pPr>
        <w:tabs>
          <w:tab w:val="num" w:pos="360"/>
        </w:tabs>
        <w:ind w:left="360" w:hanging="360"/>
      </w:pPr>
      <w:rPr>
        <w:rFonts w:ascii="Symbol" w:hAnsi="Symbol" w:hint="default"/>
        <w:color w:val="80808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0F7711"/>
    <w:multiLevelType w:val="hybridMultilevel"/>
    <w:tmpl w:val="2304D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647421B"/>
    <w:multiLevelType w:val="hybridMultilevel"/>
    <w:tmpl w:val="E0EA3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E665A29"/>
    <w:multiLevelType w:val="hybridMultilevel"/>
    <w:tmpl w:val="A90A8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F7E4E"/>
    <w:multiLevelType w:val="hybridMultilevel"/>
    <w:tmpl w:val="B41C19F0"/>
    <w:lvl w:ilvl="0" w:tplc="AE1034C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D5376ED"/>
    <w:multiLevelType w:val="hybridMultilevel"/>
    <w:tmpl w:val="5390200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5D73414D"/>
    <w:multiLevelType w:val="multilevel"/>
    <w:tmpl w:val="D4B0EFF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E720D13"/>
    <w:multiLevelType w:val="hybridMultilevel"/>
    <w:tmpl w:val="83EEE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E822EE"/>
    <w:multiLevelType w:val="hybridMultilevel"/>
    <w:tmpl w:val="5B820840"/>
    <w:lvl w:ilvl="0" w:tplc="041D0001">
      <w:start w:val="1"/>
      <w:numFmt w:val="bullet"/>
      <w:lvlText w:val=""/>
      <w:lvlJc w:val="left"/>
      <w:pPr>
        <w:tabs>
          <w:tab w:val="num" w:pos="644"/>
        </w:tabs>
        <w:ind w:left="644" w:hanging="360"/>
      </w:pPr>
      <w:rPr>
        <w:rFonts w:ascii="Symbol" w:hAnsi="Symbol" w:hint="default"/>
      </w:rPr>
    </w:lvl>
    <w:lvl w:ilvl="1" w:tplc="041D0003" w:tentative="1">
      <w:start w:val="1"/>
      <w:numFmt w:val="bullet"/>
      <w:lvlText w:val="o"/>
      <w:lvlJc w:val="left"/>
      <w:pPr>
        <w:tabs>
          <w:tab w:val="num" w:pos="1364"/>
        </w:tabs>
        <w:ind w:left="1364" w:hanging="360"/>
      </w:pPr>
      <w:rPr>
        <w:rFonts w:ascii="Courier New" w:hAnsi="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0"/>
  </w:num>
  <w:num w:numId="8">
    <w:abstractNumId w:val="1"/>
  </w:num>
  <w:num w:numId="9">
    <w:abstractNumId w:val="0"/>
  </w:num>
  <w:num w:numId="10">
    <w:abstractNumId w:val="1"/>
  </w:num>
  <w:num w:numId="11">
    <w:abstractNumId w:val="0"/>
  </w:num>
  <w:num w:numId="12">
    <w:abstractNumId w:val="9"/>
  </w:num>
  <w:num w:numId="13">
    <w:abstractNumId w:val="16"/>
  </w:num>
  <w:num w:numId="14">
    <w:abstractNumId w:val="2"/>
  </w:num>
  <w:num w:numId="15">
    <w:abstractNumId w:val="17"/>
  </w:num>
  <w:num w:numId="16">
    <w:abstractNumId w:val="4"/>
  </w:num>
  <w:num w:numId="17">
    <w:abstractNumId w:val="3"/>
  </w:num>
  <w:num w:numId="18">
    <w:abstractNumId w:val="19"/>
  </w:num>
  <w:num w:numId="19">
    <w:abstractNumId w:val="18"/>
  </w:num>
  <w:num w:numId="20">
    <w:abstractNumId w:val="13"/>
  </w:num>
  <w:num w:numId="21">
    <w:abstractNumId w:val="6"/>
  </w:num>
  <w:num w:numId="22">
    <w:abstractNumId w:val="11"/>
  </w:num>
  <w:num w:numId="23">
    <w:abstractNumId w:val="12"/>
  </w:num>
  <w:num w:numId="24">
    <w:abstractNumId w:val="5"/>
  </w:num>
  <w:num w:numId="25">
    <w:abstractNumId w:val="14"/>
  </w:num>
  <w:num w:numId="26">
    <w:abstractNumId w:val="7"/>
  </w:num>
  <w:num w:numId="27">
    <w:abstractNumId w:val="15"/>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63"/>
    <w:rsid w:val="00001350"/>
    <w:rsid w:val="00013EF4"/>
    <w:rsid w:val="00017F8E"/>
    <w:rsid w:val="000373D5"/>
    <w:rsid w:val="000537AF"/>
    <w:rsid w:val="0008257F"/>
    <w:rsid w:val="0008484B"/>
    <w:rsid w:val="0009349B"/>
    <w:rsid w:val="00096F5B"/>
    <w:rsid w:val="000B2C75"/>
    <w:rsid w:val="000C037F"/>
    <w:rsid w:val="0011411D"/>
    <w:rsid w:val="001319EF"/>
    <w:rsid w:val="00134617"/>
    <w:rsid w:val="00151EF7"/>
    <w:rsid w:val="001551E7"/>
    <w:rsid w:val="00170F06"/>
    <w:rsid w:val="00173BE8"/>
    <w:rsid w:val="001741FB"/>
    <w:rsid w:val="001825A8"/>
    <w:rsid w:val="00192AF0"/>
    <w:rsid w:val="001A460F"/>
    <w:rsid w:val="001B300A"/>
    <w:rsid w:val="001B602A"/>
    <w:rsid w:val="001B6F45"/>
    <w:rsid w:val="001C2CEC"/>
    <w:rsid w:val="001C677F"/>
    <w:rsid w:val="001E6610"/>
    <w:rsid w:val="002011A8"/>
    <w:rsid w:val="002047A7"/>
    <w:rsid w:val="002110E2"/>
    <w:rsid w:val="00215646"/>
    <w:rsid w:val="002217FF"/>
    <w:rsid w:val="00221FA4"/>
    <w:rsid w:val="00225849"/>
    <w:rsid w:val="0022674F"/>
    <w:rsid w:val="00261373"/>
    <w:rsid w:val="00266B3C"/>
    <w:rsid w:val="00267133"/>
    <w:rsid w:val="00272D87"/>
    <w:rsid w:val="00276A99"/>
    <w:rsid w:val="0028242D"/>
    <w:rsid w:val="002A1915"/>
    <w:rsid w:val="002A24A2"/>
    <w:rsid w:val="002A75E8"/>
    <w:rsid w:val="002B2182"/>
    <w:rsid w:val="002E4B55"/>
    <w:rsid w:val="002E7F02"/>
    <w:rsid w:val="002F35E1"/>
    <w:rsid w:val="0030626F"/>
    <w:rsid w:val="00310606"/>
    <w:rsid w:val="0034175C"/>
    <w:rsid w:val="00344003"/>
    <w:rsid w:val="003523FF"/>
    <w:rsid w:val="00353866"/>
    <w:rsid w:val="00354126"/>
    <w:rsid w:val="00356C54"/>
    <w:rsid w:val="00373939"/>
    <w:rsid w:val="00393373"/>
    <w:rsid w:val="00397D26"/>
    <w:rsid w:val="003B4CD1"/>
    <w:rsid w:val="003B718B"/>
    <w:rsid w:val="003C1776"/>
    <w:rsid w:val="003C4075"/>
    <w:rsid w:val="003D70BF"/>
    <w:rsid w:val="003F4193"/>
    <w:rsid w:val="00414CE6"/>
    <w:rsid w:val="00427C7F"/>
    <w:rsid w:val="00436DC2"/>
    <w:rsid w:val="00440240"/>
    <w:rsid w:val="00450228"/>
    <w:rsid w:val="0045136E"/>
    <w:rsid w:val="004705C4"/>
    <w:rsid w:val="00472353"/>
    <w:rsid w:val="00473D1A"/>
    <w:rsid w:val="00475B09"/>
    <w:rsid w:val="00477D2E"/>
    <w:rsid w:val="004823C7"/>
    <w:rsid w:val="004921C2"/>
    <w:rsid w:val="00494C42"/>
    <w:rsid w:val="004B7657"/>
    <w:rsid w:val="004E35C5"/>
    <w:rsid w:val="00504259"/>
    <w:rsid w:val="00507177"/>
    <w:rsid w:val="005201F8"/>
    <w:rsid w:val="005215C9"/>
    <w:rsid w:val="00533574"/>
    <w:rsid w:val="00544886"/>
    <w:rsid w:val="00546A93"/>
    <w:rsid w:val="00561749"/>
    <w:rsid w:val="00565E25"/>
    <w:rsid w:val="0057175A"/>
    <w:rsid w:val="005A4400"/>
    <w:rsid w:val="005A4563"/>
    <w:rsid w:val="005B126E"/>
    <w:rsid w:val="005B76FC"/>
    <w:rsid w:val="005B7929"/>
    <w:rsid w:val="005C3FF3"/>
    <w:rsid w:val="005C417C"/>
    <w:rsid w:val="005C5024"/>
    <w:rsid w:val="005D132C"/>
    <w:rsid w:val="005D439F"/>
    <w:rsid w:val="006024F8"/>
    <w:rsid w:val="00610375"/>
    <w:rsid w:val="006122F7"/>
    <w:rsid w:val="00616EF0"/>
    <w:rsid w:val="0062144B"/>
    <w:rsid w:val="00663AF8"/>
    <w:rsid w:val="00665204"/>
    <w:rsid w:val="00674465"/>
    <w:rsid w:val="0067660D"/>
    <w:rsid w:val="00677F04"/>
    <w:rsid w:val="00680367"/>
    <w:rsid w:val="006902FA"/>
    <w:rsid w:val="00693D90"/>
    <w:rsid w:val="006944D5"/>
    <w:rsid w:val="006A1C72"/>
    <w:rsid w:val="006B44EA"/>
    <w:rsid w:val="006B793D"/>
    <w:rsid w:val="006E3BFE"/>
    <w:rsid w:val="006E53FF"/>
    <w:rsid w:val="006F648D"/>
    <w:rsid w:val="0070387B"/>
    <w:rsid w:val="00715C5F"/>
    <w:rsid w:val="007367F2"/>
    <w:rsid w:val="00741350"/>
    <w:rsid w:val="00744D37"/>
    <w:rsid w:val="0074555C"/>
    <w:rsid w:val="00754000"/>
    <w:rsid w:val="007605D9"/>
    <w:rsid w:val="007620E9"/>
    <w:rsid w:val="0076326F"/>
    <w:rsid w:val="00764336"/>
    <w:rsid w:val="00773B4E"/>
    <w:rsid w:val="00785BB5"/>
    <w:rsid w:val="00786BCD"/>
    <w:rsid w:val="007959F1"/>
    <w:rsid w:val="00796C21"/>
    <w:rsid w:val="007A0C77"/>
    <w:rsid w:val="007A1EFA"/>
    <w:rsid w:val="007A39EC"/>
    <w:rsid w:val="007A4DC2"/>
    <w:rsid w:val="007C0B69"/>
    <w:rsid w:val="007C0D98"/>
    <w:rsid w:val="007C6A94"/>
    <w:rsid w:val="007C7C4A"/>
    <w:rsid w:val="007D09B8"/>
    <w:rsid w:val="007D0B24"/>
    <w:rsid w:val="007E2CB3"/>
    <w:rsid w:val="007F6F2B"/>
    <w:rsid w:val="00803A42"/>
    <w:rsid w:val="00804043"/>
    <w:rsid w:val="00804DBE"/>
    <w:rsid w:val="00815138"/>
    <w:rsid w:val="00831FA3"/>
    <w:rsid w:val="0083775B"/>
    <w:rsid w:val="00871A86"/>
    <w:rsid w:val="00871A93"/>
    <w:rsid w:val="00871B13"/>
    <w:rsid w:val="00880E4E"/>
    <w:rsid w:val="00884E7A"/>
    <w:rsid w:val="00884FCF"/>
    <w:rsid w:val="008879D8"/>
    <w:rsid w:val="008A483A"/>
    <w:rsid w:val="008B1796"/>
    <w:rsid w:val="008B5020"/>
    <w:rsid w:val="008C3A39"/>
    <w:rsid w:val="008C4950"/>
    <w:rsid w:val="008D1CB2"/>
    <w:rsid w:val="008D4006"/>
    <w:rsid w:val="008E759E"/>
    <w:rsid w:val="009030C6"/>
    <w:rsid w:val="0090368C"/>
    <w:rsid w:val="00914394"/>
    <w:rsid w:val="00931192"/>
    <w:rsid w:val="009344CC"/>
    <w:rsid w:val="00936E12"/>
    <w:rsid w:val="00937FFE"/>
    <w:rsid w:val="0094035B"/>
    <w:rsid w:val="0094143D"/>
    <w:rsid w:val="009510BE"/>
    <w:rsid w:val="00957BFD"/>
    <w:rsid w:val="00963995"/>
    <w:rsid w:val="00966E18"/>
    <w:rsid w:val="009737DB"/>
    <w:rsid w:val="00976CD1"/>
    <w:rsid w:val="00983754"/>
    <w:rsid w:val="0099593C"/>
    <w:rsid w:val="009A768D"/>
    <w:rsid w:val="009B4BAE"/>
    <w:rsid w:val="009C10ED"/>
    <w:rsid w:val="009C1873"/>
    <w:rsid w:val="009D00B9"/>
    <w:rsid w:val="009D5271"/>
    <w:rsid w:val="009E1C01"/>
    <w:rsid w:val="009E23BB"/>
    <w:rsid w:val="009E6EFE"/>
    <w:rsid w:val="00A03643"/>
    <w:rsid w:val="00A126B2"/>
    <w:rsid w:val="00A1284B"/>
    <w:rsid w:val="00A14805"/>
    <w:rsid w:val="00A410B2"/>
    <w:rsid w:val="00A50E7A"/>
    <w:rsid w:val="00A755D7"/>
    <w:rsid w:val="00A82AAC"/>
    <w:rsid w:val="00A84F48"/>
    <w:rsid w:val="00A86055"/>
    <w:rsid w:val="00AA0079"/>
    <w:rsid w:val="00AA30A2"/>
    <w:rsid w:val="00AA46B6"/>
    <w:rsid w:val="00AC2496"/>
    <w:rsid w:val="00AC2815"/>
    <w:rsid w:val="00AC3B7F"/>
    <w:rsid w:val="00AC5054"/>
    <w:rsid w:val="00B0348F"/>
    <w:rsid w:val="00B13809"/>
    <w:rsid w:val="00B22B22"/>
    <w:rsid w:val="00B41CBA"/>
    <w:rsid w:val="00B45879"/>
    <w:rsid w:val="00B54F8E"/>
    <w:rsid w:val="00B63A59"/>
    <w:rsid w:val="00B7632E"/>
    <w:rsid w:val="00B83C7B"/>
    <w:rsid w:val="00B85694"/>
    <w:rsid w:val="00B94615"/>
    <w:rsid w:val="00B94E43"/>
    <w:rsid w:val="00B966B8"/>
    <w:rsid w:val="00BC1B8A"/>
    <w:rsid w:val="00BC3F7B"/>
    <w:rsid w:val="00BC4AC5"/>
    <w:rsid w:val="00BC5D3C"/>
    <w:rsid w:val="00BC6F9E"/>
    <w:rsid w:val="00BE3240"/>
    <w:rsid w:val="00BF6216"/>
    <w:rsid w:val="00C00D60"/>
    <w:rsid w:val="00C075F4"/>
    <w:rsid w:val="00C266C0"/>
    <w:rsid w:val="00C336D1"/>
    <w:rsid w:val="00C35FDA"/>
    <w:rsid w:val="00C368A7"/>
    <w:rsid w:val="00C412F0"/>
    <w:rsid w:val="00C45424"/>
    <w:rsid w:val="00C5124C"/>
    <w:rsid w:val="00C65497"/>
    <w:rsid w:val="00C76A0C"/>
    <w:rsid w:val="00C76BC1"/>
    <w:rsid w:val="00C8208C"/>
    <w:rsid w:val="00C92DEA"/>
    <w:rsid w:val="00CA526E"/>
    <w:rsid w:val="00CA7B54"/>
    <w:rsid w:val="00CB57D2"/>
    <w:rsid w:val="00CB6DA4"/>
    <w:rsid w:val="00CD0774"/>
    <w:rsid w:val="00CE44D5"/>
    <w:rsid w:val="00CE6559"/>
    <w:rsid w:val="00CE71D2"/>
    <w:rsid w:val="00CF2AEF"/>
    <w:rsid w:val="00CF363B"/>
    <w:rsid w:val="00CF517E"/>
    <w:rsid w:val="00CF63E2"/>
    <w:rsid w:val="00CF6615"/>
    <w:rsid w:val="00D00924"/>
    <w:rsid w:val="00D0220B"/>
    <w:rsid w:val="00D05BBE"/>
    <w:rsid w:val="00D07703"/>
    <w:rsid w:val="00D110E3"/>
    <w:rsid w:val="00D15472"/>
    <w:rsid w:val="00D403D0"/>
    <w:rsid w:val="00D44830"/>
    <w:rsid w:val="00D607A5"/>
    <w:rsid w:val="00D60C47"/>
    <w:rsid w:val="00D64E06"/>
    <w:rsid w:val="00D80C15"/>
    <w:rsid w:val="00D846CA"/>
    <w:rsid w:val="00D93087"/>
    <w:rsid w:val="00DA66D1"/>
    <w:rsid w:val="00DB2CB5"/>
    <w:rsid w:val="00DB34D6"/>
    <w:rsid w:val="00DB5432"/>
    <w:rsid w:val="00DC75BF"/>
    <w:rsid w:val="00DD2099"/>
    <w:rsid w:val="00DD2762"/>
    <w:rsid w:val="00DE67DC"/>
    <w:rsid w:val="00DF47E2"/>
    <w:rsid w:val="00DF56BE"/>
    <w:rsid w:val="00DF5C27"/>
    <w:rsid w:val="00E05C07"/>
    <w:rsid w:val="00E13817"/>
    <w:rsid w:val="00E233A0"/>
    <w:rsid w:val="00E2662C"/>
    <w:rsid w:val="00E34D20"/>
    <w:rsid w:val="00E369ED"/>
    <w:rsid w:val="00E373B3"/>
    <w:rsid w:val="00E3746D"/>
    <w:rsid w:val="00E44C14"/>
    <w:rsid w:val="00EA4CE3"/>
    <w:rsid w:val="00EC352B"/>
    <w:rsid w:val="00ED7AF4"/>
    <w:rsid w:val="00EF0761"/>
    <w:rsid w:val="00EF2BC0"/>
    <w:rsid w:val="00F0270F"/>
    <w:rsid w:val="00F0386D"/>
    <w:rsid w:val="00F10452"/>
    <w:rsid w:val="00F159CF"/>
    <w:rsid w:val="00F161CF"/>
    <w:rsid w:val="00F21AC7"/>
    <w:rsid w:val="00F23544"/>
    <w:rsid w:val="00F265B9"/>
    <w:rsid w:val="00F32D1C"/>
    <w:rsid w:val="00F33717"/>
    <w:rsid w:val="00F43063"/>
    <w:rsid w:val="00F45946"/>
    <w:rsid w:val="00F45A1B"/>
    <w:rsid w:val="00F525BE"/>
    <w:rsid w:val="00F61D18"/>
    <w:rsid w:val="00F87720"/>
    <w:rsid w:val="00F87DD4"/>
    <w:rsid w:val="00F93C0F"/>
    <w:rsid w:val="00FB0ADA"/>
    <w:rsid w:val="00FC351F"/>
    <w:rsid w:val="00FC5460"/>
    <w:rsid w:val="00FD5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4871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5"/>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563"/>
    <w:pPr>
      <w:tabs>
        <w:tab w:val="left" w:pos="5041"/>
      </w:tabs>
      <w:spacing w:after="120"/>
    </w:pPr>
    <w:rPr>
      <w:rFonts w:ascii="Times New Roman" w:eastAsia="Times New Roman" w:hAnsi="Times New Roman" w:cs="Times New Roman"/>
      <w:sz w:val="24"/>
      <w:szCs w:val="24"/>
      <w:lang w:eastAsia="sv-SE"/>
    </w:rPr>
  </w:style>
  <w:style w:type="paragraph" w:styleId="Rubrik1">
    <w:name w:val="heading 1"/>
    <w:next w:val="Brdtext"/>
    <w:link w:val="Rubrik1Char"/>
    <w:uiPriority w:val="9"/>
    <w:qFormat/>
    <w:rsid w:val="00D110E3"/>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9"/>
    <w:qFormat/>
    <w:rsid w:val="00D110E3"/>
    <w:pPr>
      <w:keepNext/>
      <w:keepLines/>
      <w:spacing w:before="360" w:after="80" w:line="340" w:lineRule="atLeast"/>
      <w:outlineLvl w:val="1"/>
    </w:pPr>
    <w:rPr>
      <w:rFonts w:ascii="Arial" w:eastAsiaTheme="majorEastAsia" w:hAnsi="Arial" w:cstheme="majorBidi"/>
      <w:b/>
      <w:bCs/>
      <w:sz w:val="28"/>
      <w:szCs w:val="26"/>
    </w:rPr>
  </w:style>
  <w:style w:type="paragraph" w:styleId="Rubrik3">
    <w:name w:val="heading 3"/>
    <w:next w:val="Brdtext"/>
    <w:link w:val="Rubrik3Char"/>
    <w:uiPriority w:val="1"/>
    <w:qFormat/>
    <w:rsid w:val="00D110E3"/>
    <w:pPr>
      <w:keepNext/>
      <w:keepLines/>
      <w:spacing w:before="240" w:after="80" w:line="280" w:lineRule="atLeast"/>
      <w:outlineLvl w:val="2"/>
    </w:pPr>
    <w:rPr>
      <w:rFonts w:ascii="Arial" w:eastAsiaTheme="majorEastAsia" w:hAnsi="Arial" w:cstheme="majorBidi"/>
      <w:b/>
      <w:bCs/>
    </w:rPr>
  </w:style>
  <w:style w:type="paragraph" w:styleId="Rubrik4">
    <w:name w:val="heading 4"/>
    <w:basedOn w:val="Normal"/>
    <w:next w:val="Normal"/>
    <w:link w:val="Rubrik4Char"/>
    <w:uiPriority w:val="1"/>
    <w:rsid w:val="00D110E3"/>
    <w:pPr>
      <w:keepNext/>
      <w:keepLines/>
      <w:spacing w:before="200" w:after="80" w:line="280" w:lineRule="atLeast"/>
      <w:outlineLvl w:val="3"/>
    </w:pPr>
    <w:rPr>
      <w:rFonts w:eastAsiaTheme="majorEastAs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2"/>
    <w:qFormat/>
    <w:rsid w:val="00D110E3"/>
    <w:pPr>
      <w:spacing w:after="120" w:line="280" w:lineRule="atLeast"/>
    </w:pPr>
    <w:rPr>
      <w:rFonts w:ascii="Georgia" w:hAnsi="Georgia"/>
    </w:rPr>
  </w:style>
  <w:style w:type="character" w:customStyle="1" w:styleId="BrdtextChar">
    <w:name w:val="Brödtext Char"/>
    <w:basedOn w:val="Standardstycketeckensnitt"/>
    <w:link w:val="Brdtext"/>
    <w:uiPriority w:val="2"/>
    <w:rsid w:val="00D110E3"/>
    <w:rPr>
      <w:rFonts w:ascii="Georgia" w:hAnsi="Georgia"/>
    </w:rPr>
  </w:style>
  <w:style w:type="character" w:customStyle="1" w:styleId="Rubrik1Char">
    <w:name w:val="Rubrik 1 Char"/>
    <w:basedOn w:val="Standardstycketeckensnitt"/>
    <w:link w:val="Rubrik1"/>
    <w:uiPriority w:val="9"/>
    <w:rsid w:val="00D110E3"/>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9"/>
    <w:rsid w:val="00D110E3"/>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1"/>
    <w:rsid w:val="00D110E3"/>
    <w:rPr>
      <w:rFonts w:ascii="Arial" w:eastAsiaTheme="majorEastAsia" w:hAnsi="Arial" w:cstheme="majorBidi"/>
      <w:b/>
      <w:bCs/>
    </w:rPr>
  </w:style>
  <w:style w:type="paragraph" w:styleId="Adress-brev">
    <w:name w:val="envelope address"/>
    <w:uiPriority w:val="5"/>
    <w:semiHidden/>
    <w:rsid w:val="00BC6F9E"/>
    <w:rPr>
      <w:rFonts w:ascii="Times New Roman" w:eastAsiaTheme="majorEastAsia" w:hAnsi="Times New Roman" w:cstheme="majorBidi"/>
      <w:noProof/>
      <w:sz w:val="24"/>
      <w:szCs w:val="24"/>
    </w:rPr>
  </w:style>
  <w:style w:type="paragraph" w:styleId="Datum">
    <w:name w:val="Date"/>
    <w:link w:val="DatumChar"/>
    <w:uiPriority w:val="5"/>
    <w:rsid w:val="00BC6F9E"/>
    <w:rPr>
      <w:rFonts w:ascii="Times New Roman" w:hAnsi="Times New Roman"/>
      <w:sz w:val="24"/>
    </w:rPr>
  </w:style>
  <w:style w:type="character" w:customStyle="1" w:styleId="DatumChar">
    <w:name w:val="Datum Char"/>
    <w:basedOn w:val="Standardstycketeckensnitt"/>
    <w:link w:val="Datum"/>
    <w:uiPriority w:val="5"/>
    <w:rsid w:val="00F45A1B"/>
    <w:rPr>
      <w:rFonts w:ascii="Times New Roman" w:hAnsi="Times New Roman"/>
      <w:sz w:val="24"/>
    </w:rPr>
  </w:style>
  <w:style w:type="paragraph" w:styleId="Sidhuvud">
    <w:name w:val="header"/>
    <w:link w:val="SidhuvudChar"/>
    <w:uiPriority w:val="99"/>
    <w:rsid w:val="00BC6F9E"/>
    <w:rPr>
      <w:rFonts w:ascii="Arial" w:hAnsi="Arial"/>
      <w:noProof/>
      <w:sz w:val="14"/>
    </w:rPr>
  </w:style>
  <w:style w:type="character" w:customStyle="1" w:styleId="SidhuvudChar">
    <w:name w:val="Sidhuvud Char"/>
    <w:basedOn w:val="Standardstycketeckensnitt"/>
    <w:link w:val="Sidhuvud"/>
    <w:uiPriority w:val="99"/>
    <w:rsid w:val="00F45A1B"/>
    <w:rPr>
      <w:rFonts w:ascii="Arial" w:hAnsi="Arial"/>
      <w:noProof/>
      <w:sz w:val="14"/>
    </w:rPr>
  </w:style>
  <w:style w:type="character" w:styleId="Sidnummer">
    <w:name w:val="page number"/>
    <w:basedOn w:val="Standardstycketeckensnitt"/>
    <w:uiPriority w:val="5"/>
    <w:semiHidden/>
    <w:rsid w:val="00BC6F9E"/>
    <w:rPr>
      <w:rFonts w:ascii="Arial" w:hAnsi="Arial"/>
      <w:sz w:val="16"/>
    </w:rPr>
  </w:style>
  <w:style w:type="paragraph" w:styleId="Numreradlista">
    <w:name w:val="List Number"/>
    <w:basedOn w:val="Brdtext"/>
    <w:uiPriority w:val="3"/>
    <w:qFormat/>
    <w:rsid w:val="00F45A1B"/>
    <w:pPr>
      <w:numPr>
        <w:numId w:val="11"/>
      </w:numPr>
      <w:spacing w:before="120"/>
    </w:pPr>
  </w:style>
  <w:style w:type="paragraph" w:styleId="Punktlista">
    <w:name w:val="List Bullet"/>
    <w:basedOn w:val="Brdtext"/>
    <w:uiPriority w:val="3"/>
    <w:qFormat/>
    <w:rsid w:val="00F45A1B"/>
    <w:pPr>
      <w:numPr>
        <w:numId w:val="10"/>
      </w:numPr>
      <w:spacing w:before="120"/>
    </w:pPr>
  </w:style>
  <w:style w:type="paragraph" w:styleId="Sidfot">
    <w:name w:val="footer"/>
    <w:link w:val="SidfotChar"/>
    <w:uiPriority w:val="99"/>
    <w:rsid w:val="00BC6F9E"/>
    <w:pPr>
      <w:spacing w:line="180" w:lineRule="exact"/>
    </w:pPr>
    <w:rPr>
      <w:rFonts w:ascii="Arial" w:hAnsi="Arial"/>
      <w:noProof/>
      <w:sz w:val="14"/>
    </w:rPr>
  </w:style>
  <w:style w:type="character" w:customStyle="1" w:styleId="SidfotChar">
    <w:name w:val="Sidfot Char"/>
    <w:basedOn w:val="Standardstycketeckensnitt"/>
    <w:link w:val="Sidfot"/>
    <w:uiPriority w:val="99"/>
    <w:rsid w:val="00F45A1B"/>
    <w:rPr>
      <w:rFonts w:ascii="Arial" w:hAnsi="Arial"/>
      <w:noProof/>
      <w:sz w:val="14"/>
    </w:rPr>
  </w:style>
  <w:style w:type="character" w:customStyle="1" w:styleId="Rubrik4Char">
    <w:name w:val="Rubrik 4 Char"/>
    <w:basedOn w:val="Standardstycketeckensnitt"/>
    <w:link w:val="Rubrik4"/>
    <w:uiPriority w:val="1"/>
    <w:rsid w:val="00D110E3"/>
    <w:rPr>
      <w:rFonts w:ascii="Georgia" w:eastAsiaTheme="majorEastAsia" w:hAnsi="Georgia" w:cstheme="majorBidi"/>
      <w:bCs/>
      <w:i/>
      <w:iCs/>
      <w:sz w:val="23"/>
    </w:rPr>
  </w:style>
  <w:style w:type="paragraph" w:customStyle="1" w:styleId="Rubrik-1">
    <w:name w:val="Rubrik-1"/>
    <w:basedOn w:val="Normal"/>
    <w:next w:val="Normal"/>
    <w:rsid w:val="005A4563"/>
    <w:pPr>
      <w:keepNext/>
      <w:suppressAutoHyphens/>
      <w:spacing w:after="40"/>
      <w:outlineLvl w:val="0"/>
    </w:pPr>
    <w:rPr>
      <w:b/>
      <w:sz w:val="28"/>
    </w:rPr>
  </w:style>
  <w:style w:type="table" w:styleId="Tabellrutnt">
    <w:name w:val="Table Grid"/>
    <w:basedOn w:val="Normaltabell"/>
    <w:uiPriority w:val="59"/>
    <w:rsid w:val="005A4563"/>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5A4563"/>
    <w:rPr>
      <w:color w:val="0000FF"/>
      <w:u w:val="single"/>
    </w:rPr>
  </w:style>
  <w:style w:type="paragraph" w:styleId="Liststycke">
    <w:name w:val="List Paragraph"/>
    <w:basedOn w:val="Normal"/>
    <w:link w:val="ListstyckeChar"/>
    <w:uiPriority w:val="99"/>
    <w:qFormat/>
    <w:rsid w:val="005A4563"/>
    <w:pPr>
      <w:tabs>
        <w:tab w:val="clear" w:pos="5041"/>
      </w:tabs>
      <w:spacing w:after="200" w:line="276" w:lineRule="auto"/>
      <w:ind w:left="720"/>
      <w:contextualSpacing/>
    </w:pPr>
    <w:rPr>
      <w:rFonts w:ascii="Calibri" w:eastAsia="Calibri" w:hAnsi="Calibri"/>
      <w:sz w:val="22"/>
      <w:szCs w:val="22"/>
      <w:lang w:eastAsia="en-US"/>
    </w:rPr>
  </w:style>
  <w:style w:type="character" w:customStyle="1" w:styleId="ListstyckeChar">
    <w:name w:val="Liststycke Char"/>
    <w:basedOn w:val="Standardstycketeckensnitt"/>
    <w:link w:val="Liststycke"/>
    <w:uiPriority w:val="99"/>
    <w:rsid w:val="005A4563"/>
    <w:rPr>
      <w:rFonts w:ascii="Calibri" w:eastAsia="Calibri" w:hAnsi="Calibri" w:cs="Times New Roman"/>
    </w:rPr>
  </w:style>
  <w:style w:type="paragraph" w:customStyle="1" w:styleId="brevhuvud">
    <w:name w:val="brevhuvud"/>
    <w:basedOn w:val="Normal"/>
    <w:rsid w:val="005A4563"/>
    <w:pPr>
      <w:tabs>
        <w:tab w:val="clear" w:pos="5041"/>
      </w:tabs>
      <w:overflowPunct w:val="0"/>
      <w:autoSpaceDE w:val="0"/>
      <w:autoSpaceDN w:val="0"/>
      <w:adjustRightInd w:val="0"/>
      <w:spacing w:after="0"/>
      <w:textAlignment w:val="baseline"/>
    </w:pPr>
    <w:rPr>
      <w:szCs w:val="20"/>
    </w:rPr>
  </w:style>
  <w:style w:type="paragraph" w:customStyle="1" w:styleId="LedRubrik">
    <w:name w:val="LedRubrik"/>
    <w:uiPriority w:val="5"/>
    <w:semiHidden/>
    <w:rsid w:val="005A4563"/>
    <w:pPr>
      <w:spacing w:after="20"/>
    </w:pPr>
    <w:rPr>
      <w:rFonts w:ascii="Arial" w:hAnsi="Arial"/>
      <w:b/>
      <w:sz w:val="15"/>
    </w:rPr>
  </w:style>
  <w:style w:type="paragraph" w:customStyle="1" w:styleId="LedText">
    <w:name w:val="LedText"/>
    <w:basedOn w:val="LedRubrik"/>
    <w:uiPriority w:val="5"/>
    <w:semiHidden/>
    <w:rsid w:val="005A4563"/>
    <w:pPr>
      <w:spacing w:after="40"/>
    </w:pPr>
    <w:rPr>
      <w:b w:val="0"/>
      <w:sz w:val="16"/>
    </w:rPr>
  </w:style>
  <w:style w:type="paragraph" w:customStyle="1" w:styleId="Default">
    <w:name w:val="Default"/>
    <w:rsid w:val="005A4563"/>
    <w:pPr>
      <w:autoSpaceDE w:val="0"/>
      <w:autoSpaceDN w:val="0"/>
      <w:adjustRightInd w:val="0"/>
    </w:pPr>
    <w:rPr>
      <w:rFonts w:ascii="Times New Roman" w:hAnsi="Times New Roman" w:cs="Times New Roman"/>
      <w:color w:val="000000"/>
      <w:sz w:val="24"/>
      <w:szCs w:val="24"/>
    </w:rPr>
  </w:style>
  <w:style w:type="paragraph" w:styleId="Brdtextmedindrag">
    <w:name w:val="Body Text Indent"/>
    <w:basedOn w:val="Normal"/>
    <w:link w:val="BrdtextmedindragChar"/>
    <w:uiPriority w:val="99"/>
    <w:semiHidden/>
    <w:unhideWhenUsed/>
    <w:rsid w:val="005A4563"/>
    <w:pPr>
      <w:tabs>
        <w:tab w:val="clear" w:pos="5041"/>
      </w:tabs>
      <w:ind w:left="283"/>
    </w:pPr>
    <w:rPr>
      <w:color w:val="000000"/>
    </w:rPr>
  </w:style>
  <w:style w:type="character" w:customStyle="1" w:styleId="BrdtextmedindragChar">
    <w:name w:val="Brödtext med indrag Char"/>
    <w:basedOn w:val="Standardstycketeckensnitt"/>
    <w:link w:val="Brdtextmedindrag"/>
    <w:uiPriority w:val="99"/>
    <w:semiHidden/>
    <w:rsid w:val="005A4563"/>
    <w:rPr>
      <w:rFonts w:ascii="Times New Roman" w:eastAsia="Times New Roman" w:hAnsi="Times New Roman" w:cs="Times New Roman"/>
      <w:color w:val="000000"/>
      <w:sz w:val="24"/>
      <w:szCs w:val="24"/>
      <w:lang w:eastAsia="sv-SE"/>
    </w:rPr>
  </w:style>
  <w:style w:type="paragraph" w:styleId="Brdtext2">
    <w:name w:val="Body Text 2"/>
    <w:basedOn w:val="Normal"/>
    <w:link w:val="Brdtext2Char"/>
    <w:uiPriority w:val="99"/>
    <w:unhideWhenUsed/>
    <w:rsid w:val="005A4563"/>
    <w:pPr>
      <w:tabs>
        <w:tab w:val="clear" w:pos="5041"/>
      </w:tabs>
      <w:spacing w:line="480" w:lineRule="auto"/>
    </w:pPr>
    <w:rPr>
      <w:color w:val="000000"/>
    </w:rPr>
  </w:style>
  <w:style w:type="character" w:customStyle="1" w:styleId="Brdtext2Char">
    <w:name w:val="Brödtext 2 Char"/>
    <w:basedOn w:val="Standardstycketeckensnitt"/>
    <w:link w:val="Brdtext2"/>
    <w:uiPriority w:val="99"/>
    <w:rsid w:val="005A4563"/>
    <w:rPr>
      <w:rFonts w:ascii="Times New Roman" w:eastAsia="Times New Roman" w:hAnsi="Times New Roman" w:cs="Times New Roman"/>
      <w:color w:val="000000"/>
      <w:sz w:val="24"/>
      <w:szCs w:val="24"/>
      <w:lang w:eastAsia="sv-SE"/>
    </w:rPr>
  </w:style>
  <w:style w:type="character" w:customStyle="1" w:styleId="st">
    <w:name w:val="st"/>
    <w:basedOn w:val="Standardstycketeckensnitt"/>
    <w:rsid w:val="005A4563"/>
  </w:style>
  <w:style w:type="paragraph" w:customStyle="1" w:styleId="Dokumenttyp">
    <w:name w:val="Dokumenttyp"/>
    <w:basedOn w:val="Normal"/>
    <w:next w:val="Normal"/>
    <w:rsid w:val="005A4563"/>
    <w:pPr>
      <w:spacing w:after="0"/>
    </w:pPr>
  </w:style>
  <w:style w:type="paragraph" w:customStyle="1" w:styleId="Datum-Beslut">
    <w:name w:val="Datum-Beslut"/>
    <w:basedOn w:val="Normal"/>
    <w:next w:val="Normal"/>
    <w:rsid w:val="005A4563"/>
    <w:pPr>
      <w:spacing w:after="0"/>
    </w:pPr>
  </w:style>
  <w:style w:type="paragraph" w:customStyle="1" w:styleId="Diarienr-Ert">
    <w:name w:val="Diarienr-Ert"/>
    <w:basedOn w:val="Normal"/>
    <w:next w:val="Normal"/>
    <w:rsid w:val="005A4563"/>
    <w:pPr>
      <w:spacing w:after="0"/>
    </w:pPr>
  </w:style>
  <w:style w:type="paragraph" w:customStyle="1" w:styleId="Logo-Namn">
    <w:name w:val="Logo-Namn"/>
    <w:basedOn w:val="Normal"/>
    <w:next w:val="Normal"/>
    <w:rsid w:val="005A4563"/>
    <w:pPr>
      <w:spacing w:after="0"/>
    </w:pPr>
  </w:style>
  <w:style w:type="paragraph" w:customStyle="1" w:styleId="Sidnumering-Frstasida">
    <w:name w:val="Sidnumering-Förstasida"/>
    <w:basedOn w:val="Normal"/>
    <w:next w:val="Normal"/>
    <w:rsid w:val="005A4563"/>
    <w:pPr>
      <w:spacing w:after="0"/>
      <w:jc w:val="right"/>
    </w:pPr>
  </w:style>
  <w:style w:type="paragraph" w:styleId="Ballongtext">
    <w:name w:val="Balloon Text"/>
    <w:basedOn w:val="Normal"/>
    <w:link w:val="BallongtextChar"/>
    <w:uiPriority w:val="99"/>
    <w:semiHidden/>
    <w:unhideWhenUsed/>
    <w:rsid w:val="005A456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4563"/>
    <w:rPr>
      <w:rFonts w:ascii="Tahoma" w:eastAsia="Times New Roman" w:hAnsi="Tahoma" w:cs="Tahoma"/>
      <w:sz w:val="16"/>
      <w:szCs w:val="16"/>
      <w:lang w:eastAsia="sv-SE"/>
    </w:rPr>
  </w:style>
  <w:style w:type="character" w:customStyle="1" w:styleId="pp-headline-item">
    <w:name w:val="pp-headline-item"/>
    <w:basedOn w:val="Standardstycketeckensnitt"/>
    <w:rsid w:val="009344CC"/>
  </w:style>
  <w:style w:type="paragraph" w:customStyle="1" w:styleId="Lista-Punkter">
    <w:name w:val="Lista-Punkter"/>
    <w:basedOn w:val="Normal"/>
    <w:rsid w:val="0045136E"/>
    <w:pPr>
      <w:numPr>
        <w:numId w:val="22"/>
      </w:numPr>
      <w:tabs>
        <w:tab w:val="clear" w:pos="5041"/>
        <w:tab w:val="left" w:pos="567"/>
      </w:tabs>
    </w:pPr>
    <w:rPr>
      <w:color w:val="000000"/>
    </w:rPr>
  </w:style>
  <w:style w:type="paragraph" w:styleId="Fotnotstext">
    <w:name w:val="footnote text"/>
    <w:basedOn w:val="Normal"/>
    <w:link w:val="FotnotstextChar"/>
    <w:uiPriority w:val="99"/>
    <w:unhideWhenUsed/>
    <w:qFormat/>
    <w:rsid w:val="00610375"/>
    <w:pPr>
      <w:tabs>
        <w:tab w:val="clear" w:pos="5041"/>
      </w:tabs>
      <w:suppressAutoHyphens/>
      <w:spacing w:after="0"/>
    </w:pPr>
    <w:rPr>
      <w:kern w:val="2"/>
      <w:sz w:val="20"/>
      <w:szCs w:val="20"/>
      <w:lang w:val="nl-NL" w:eastAsia="ar-SA"/>
    </w:rPr>
  </w:style>
  <w:style w:type="character" w:customStyle="1" w:styleId="FotnotstextChar">
    <w:name w:val="Fotnotstext Char"/>
    <w:basedOn w:val="Standardstycketeckensnitt"/>
    <w:link w:val="Fotnotstext"/>
    <w:uiPriority w:val="99"/>
    <w:rsid w:val="00610375"/>
    <w:rPr>
      <w:rFonts w:ascii="Times New Roman" w:eastAsia="Times New Roman" w:hAnsi="Times New Roman" w:cs="Times New Roman"/>
      <w:kern w:val="2"/>
      <w:sz w:val="20"/>
      <w:szCs w:val="20"/>
      <w:lang w:val="nl-NL" w:eastAsia="ar-SA"/>
    </w:rPr>
  </w:style>
  <w:style w:type="character" w:styleId="Kommentarsreferens">
    <w:name w:val="annotation reference"/>
    <w:basedOn w:val="Standardstycketeckensnitt"/>
    <w:uiPriority w:val="99"/>
    <w:semiHidden/>
    <w:unhideWhenUsed/>
    <w:rsid w:val="00DB34D6"/>
    <w:rPr>
      <w:sz w:val="16"/>
      <w:szCs w:val="16"/>
    </w:rPr>
  </w:style>
  <w:style w:type="paragraph" w:styleId="Kommentarer">
    <w:name w:val="annotation text"/>
    <w:basedOn w:val="Normal"/>
    <w:link w:val="KommentarerChar"/>
    <w:uiPriority w:val="99"/>
    <w:semiHidden/>
    <w:unhideWhenUsed/>
    <w:rsid w:val="00DB34D6"/>
    <w:rPr>
      <w:sz w:val="20"/>
      <w:szCs w:val="20"/>
    </w:rPr>
  </w:style>
  <w:style w:type="character" w:customStyle="1" w:styleId="KommentarerChar">
    <w:name w:val="Kommentarer Char"/>
    <w:basedOn w:val="Standardstycketeckensnitt"/>
    <w:link w:val="Kommentarer"/>
    <w:uiPriority w:val="99"/>
    <w:semiHidden/>
    <w:rsid w:val="00DB34D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B34D6"/>
    <w:rPr>
      <w:b/>
      <w:bCs/>
    </w:rPr>
  </w:style>
  <w:style w:type="character" w:customStyle="1" w:styleId="KommentarsmneChar">
    <w:name w:val="Kommentarsämne Char"/>
    <w:basedOn w:val="KommentarerChar"/>
    <w:link w:val="Kommentarsmne"/>
    <w:uiPriority w:val="99"/>
    <w:semiHidden/>
    <w:rsid w:val="00DB34D6"/>
    <w:rPr>
      <w:rFonts w:ascii="Times New Roman" w:eastAsia="Times New Roman" w:hAnsi="Times New Roman" w:cs="Times New Roman"/>
      <w:b/>
      <w:bCs/>
      <w:sz w:val="20"/>
      <w:szCs w:val="20"/>
      <w:lang w:eastAsia="sv-SE"/>
    </w:rPr>
  </w:style>
  <w:style w:type="paragraph" w:customStyle="1" w:styleId="default0">
    <w:name w:val="default"/>
    <w:basedOn w:val="Normal"/>
    <w:uiPriority w:val="99"/>
    <w:rsid w:val="007A0C77"/>
    <w:pPr>
      <w:tabs>
        <w:tab w:val="clear" w:pos="5041"/>
      </w:tabs>
      <w:spacing w:after="0"/>
    </w:pPr>
    <w:rPr>
      <w:rFonts w:eastAsiaTheme="minorHAnsi"/>
      <w:color w:val="000000"/>
    </w:rPr>
  </w:style>
  <w:style w:type="character" w:styleId="AnvndHyperlnk">
    <w:name w:val="FollowedHyperlink"/>
    <w:basedOn w:val="Standardstycketeckensnitt"/>
    <w:uiPriority w:val="99"/>
    <w:semiHidden/>
    <w:unhideWhenUsed/>
    <w:rsid w:val="00192AF0"/>
    <w:rPr>
      <w:color w:val="800080" w:themeColor="followedHyperlink"/>
      <w:u w:val="single"/>
    </w:rPr>
  </w:style>
  <w:style w:type="character" w:customStyle="1" w:styleId="apple-converted-space">
    <w:name w:val="apple-converted-space"/>
    <w:basedOn w:val="Standardstycketeckensnitt"/>
    <w:rsid w:val="00533574"/>
  </w:style>
  <w:style w:type="table" w:styleId="Ljusskuggning">
    <w:name w:val="Light Shading"/>
    <w:basedOn w:val="Normaltabell"/>
    <w:uiPriority w:val="60"/>
    <w:rsid w:val="00D4483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D44830"/>
    <w:rPr>
      <w:color w:val="147763" w:themeColor="accent1" w:themeShade="BF"/>
    </w:rPr>
    <w:tblPr>
      <w:tblStyleRowBandSize w:val="1"/>
      <w:tblStyleColBandSize w:val="1"/>
      <w:tblBorders>
        <w:top w:val="single" w:sz="8" w:space="0" w:color="1BA085" w:themeColor="accent1"/>
        <w:bottom w:val="single" w:sz="8" w:space="0" w:color="1BA085" w:themeColor="accent1"/>
      </w:tblBorders>
    </w:tblPr>
    <w:tblStylePr w:type="fir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la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3E7" w:themeFill="accent1" w:themeFillTint="3F"/>
      </w:tcPr>
    </w:tblStylePr>
    <w:tblStylePr w:type="band1Horz">
      <w:tblPr/>
      <w:tcPr>
        <w:tcBorders>
          <w:left w:val="nil"/>
          <w:right w:val="nil"/>
          <w:insideH w:val="nil"/>
          <w:insideV w:val="nil"/>
        </w:tcBorders>
        <w:shd w:val="clear" w:color="auto" w:fill="BAF3E7" w:themeFill="accent1" w:themeFillTint="3F"/>
      </w:tcPr>
    </w:tblStylePr>
  </w:style>
  <w:style w:type="table" w:styleId="Ljusskuggning-dekorfrg2">
    <w:name w:val="Light Shading Accent 2"/>
    <w:basedOn w:val="Normaltabell"/>
    <w:uiPriority w:val="60"/>
    <w:rsid w:val="00D44830"/>
    <w:rPr>
      <w:color w:val="0999C3" w:themeColor="accent2" w:themeShade="BF"/>
    </w:rPr>
    <w:tblPr>
      <w:tblStyleRowBandSize w:val="1"/>
      <w:tblStyleColBandSize w:val="1"/>
      <w:tblBorders>
        <w:top w:val="single" w:sz="8" w:space="0" w:color="1FC4F4" w:themeColor="accent2"/>
        <w:bottom w:val="single" w:sz="8" w:space="0" w:color="1FC4F4" w:themeColor="accent2"/>
      </w:tblBorders>
    </w:tblPr>
    <w:tblStylePr w:type="fir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la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0FC" w:themeFill="accent2" w:themeFillTint="3F"/>
      </w:tcPr>
    </w:tblStylePr>
    <w:tblStylePr w:type="band1Horz">
      <w:tblPr/>
      <w:tcPr>
        <w:tcBorders>
          <w:left w:val="nil"/>
          <w:right w:val="nil"/>
          <w:insideH w:val="nil"/>
          <w:insideV w:val="nil"/>
        </w:tcBorders>
        <w:shd w:val="clear" w:color="auto" w:fill="C7F0FC" w:themeFill="accent2" w:themeFillTint="3F"/>
      </w:tcPr>
    </w:tblStylePr>
  </w:style>
  <w:style w:type="table" w:styleId="Ljusskuggning-dekorfrg3">
    <w:name w:val="Light Shading Accent 3"/>
    <w:basedOn w:val="Normaltabell"/>
    <w:uiPriority w:val="60"/>
    <w:rsid w:val="00D44830"/>
    <w:rPr>
      <w:color w:val="002648" w:themeColor="accent3" w:themeShade="BF"/>
    </w:rPr>
    <w:tblPr>
      <w:tblStyleRowBandSize w:val="1"/>
      <w:tblStyleColBandSize w:val="1"/>
      <w:tblBorders>
        <w:top w:val="single" w:sz="8" w:space="0" w:color="003461" w:themeColor="accent3"/>
        <w:bottom w:val="single" w:sz="8" w:space="0" w:color="003461" w:themeColor="accent3"/>
      </w:tblBorders>
    </w:tblPr>
    <w:tblStylePr w:type="fir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la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FFF" w:themeFill="accent3" w:themeFillTint="3F"/>
      </w:tcPr>
    </w:tblStylePr>
    <w:tblStylePr w:type="band1Horz">
      <w:tblPr/>
      <w:tcPr>
        <w:tcBorders>
          <w:left w:val="nil"/>
          <w:right w:val="nil"/>
          <w:insideH w:val="nil"/>
          <w:insideV w:val="nil"/>
        </w:tcBorders>
        <w:shd w:val="clear" w:color="auto" w:fill="98CFFF" w:themeFill="accent3" w:themeFillTint="3F"/>
      </w:tcPr>
    </w:tblStylePr>
  </w:style>
  <w:style w:type="table" w:styleId="Ljuslista-dekorfrg5">
    <w:name w:val="Light List Accent 5"/>
    <w:basedOn w:val="Normaltabell"/>
    <w:uiPriority w:val="61"/>
    <w:rsid w:val="00D44830"/>
    <w:tblPr>
      <w:tblStyleRowBandSize w:val="1"/>
      <w:tblStyleColBandSize w:val="1"/>
      <w:tblBorders>
        <w:top w:val="single" w:sz="8" w:space="0" w:color="9DDCF9" w:themeColor="accent5"/>
        <w:left w:val="single" w:sz="8" w:space="0" w:color="9DDCF9" w:themeColor="accent5"/>
        <w:bottom w:val="single" w:sz="8" w:space="0" w:color="9DDCF9" w:themeColor="accent5"/>
        <w:right w:val="single" w:sz="8" w:space="0" w:color="9DDCF9" w:themeColor="accent5"/>
      </w:tblBorders>
    </w:tblPr>
    <w:tblStylePr w:type="firstRow">
      <w:pPr>
        <w:spacing w:before="0" w:after="0" w:line="240" w:lineRule="auto"/>
      </w:pPr>
      <w:rPr>
        <w:b/>
        <w:bCs/>
        <w:color w:val="FFFFFF" w:themeColor="background1"/>
      </w:rPr>
      <w:tblPr/>
      <w:tcPr>
        <w:shd w:val="clear" w:color="auto" w:fill="9DDCF9" w:themeFill="accent5"/>
      </w:tcPr>
    </w:tblStylePr>
    <w:tblStylePr w:type="lastRow">
      <w:pPr>
        <w:spacing w:before="0" w:after="0" w:line="240" w:lineRule="auto"/>
      </w:pPr>
      <w:rPr>
        <w:b/>
        <w:bCs/>
      </w:rPr>
      <w:tblPr/>
      <w:tcPr>
        <w:tcBorders>
          <w:top w:val="double" w:sz="6" w:space="0" w:color="9DDCF9" w:themeColor="accent5"/>
          <w:left w:val="single" w:sz="8" w:space="0" w:color="9DDCF9" w:themeColor="accent5"/>
          <w:bottom w:val="single" w:sz="8" w:space="0" w:color="9DDCF9" w:themeColor="accent5"/>
          <w:right w:val="single" w:sz="8" w:space="0" w:color="9DDCF9" w:themeColor="accent5"/>
        </w:tcBorders>
      </w:tcPr>
    </w:tblStylePr>
    <w:tblStylePr w:type="firstCol">
      <w:rPr>
        <w:b/>
        <w:bCs/>
      </w:rPr>
    </w:tblStylePr>
    <w:tblStylePr w:type="lastCol">
      <w:rPr>
        <w:b/>
        <w:bCs/>
      </w:rPr>
    </w:tblStylePr>
    <w:tblStylePr w:type="band1Vert">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tblStylePr w:type="band1Horz">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style>
  <w:style w:type="table" w:styleId="Ljuslista-dekorfrg4">
    <w:name w:val="Light List Accent 4"/>
    <w:basedOn w:val="Normaltabell"/>
    <w:uiPriority w:val="61"/>
    <w:rsid w:val="00D44830"/>
    <w:tblPr>
      <w:tblStyleRowBandSize w:val="1"/>
      <w:tblStyleColBandSize w:val="1"/>
      <w:tblBorders>
        <w:top w:val="single" w:sz="8" w:space="0" w:color="9AD3B7" w:themeColor="accent4"/>
        <w:left w:val="single" w:sz="8" w:space="0" w:color="9AD3B7" w:themeColor="accent4"/>
        <w:bottom w:val="single" w:sz="8" w:space="0" w:color="9AD3B7" w:themeColor="accent4"/>
        <w:right w:val="single" w:sz="8" w:space="0" w:color="9AD3B7" w:themeColor="accent4"/>
      </w:tblBorders>
    </w:tblPr>
    <w:tblStylePr w:type="firstRow">
      <w:pPr>
        <w:spacing w:before="0" w:after="0" w:line="240" w:lineRule="auto"/>
      </w:pPr>
      <w:rPr>
        <w:b/>
        <w:bCs/>
        <w:color w:val="FFFFFF" w:themeColor="background1"/>
      </w:rPr>
      <w:tblPr/>
      <w:tcPr>
        <w:shd w:val="clear" w:color="auto" w:fill="9AD3B7" w:themeFill="accent4"/>
      </w:tcPr>
    </w:tblStylePr>
    <w:tblStylePr w:type="lastRow">
      <w:pPr>
        <w:spacing w:before="0" w:after="0" w:line="240" w:lineRule="auto"/>
      </w:pPr>
      <w:rPr>
        <w:b/>
        <w:bCs/>
      </w:rPr>
      <w:tblPr/>
      <w:tcPr>
        <w:tcBorders>
          <w:top w:val="double" w:sz="6" w:space="0" w:color="9AD3B7" w:themeColor="accent4"/>
          <w:left w:val="single" w:sz="8" w:space="0" w:color="9AD3B7" w:themeColor="accent4"/>
          <w:bottom w:val="single" w:sz="8" w:space="0" w:color="9AD3B7" w:themeColor="accent4"/>
          <w:right w:val="single" w:sz="8" w:space="0" w:color="9AD3B7" w:themeColor="accent4"/>
        </w:tcBorders>
      </w:tcPr>
    </w:tblStylePr>
    <w:tblStylePr w:type="firstCol">
      <w:rPr>
        <w:b/>
        <w:bCs/>
      </w:rPr>
    </w:tblStylePr>
    <w:tblStylePr w:type="lastCol">
      <w:rPr>
        <w:b/>
        <w:bCs/>
      </w:rPr>
    </w:tblStylePr>
    <w:tblStylePr w:type="band1Vert">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tblStylePr w:type="band1Horz">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style>
  <w:style w:type="paragraph" w:styleId="Ingetavstnd">
    <w:name w:val="No Spacing"/>
    <w:link w:val="IngetavstndChar"/>
    <w:uiPriority w:val="1"/>
    <w:qFormat/>
    <w:rsid w:val="00D05BBE"/>
    <w:rPr>
      <w:rFonts w:eastAsiaTheme="minorEastAsia"/>
      <w:lang w:eastAsia="sv-SE"/>
    </w:rPr>
  </w:style>
  <w:style w:type="character" w:customStyle="1" w:styleId="IngetavstndChar">
    <w:name w:val="Inget avstånd Char"/>
    <w:basedOn w:val="Standardstycketeckensnitt"/>
    <w:link w:val="Ingetavstnd"/>
    <w:uiPriority w:val="1"/>
    <w:rsid w:val="00D05BBE"/>
    <w:rPr>
      <w:rFonts w:eastAsiaTheme="minorEastAsia"/>
      <w:lang w:eastAsia="sv-SE"/>
    </w:rPr>
  </w:style>
  <w:style w:type="character" w:styleId="HTML-citat">
    <w:name w:val="HTML Cite"/>
    <w:basedOn w:val="Standardstycketeckensnitt"/>
    <w:uiPriority w:val="99"/>
    <w:semiHidden/>
    <w:unhideWhenUsed/>
    <w:rsid w:val="00A755D7"/>
    <w:rPr>
      <w:i/>
      <w:iCs/>
    </w:rPr>
  </w:style>
  <w:style w:type="character" w:customStyle="1" w:styleId="Normal1">
    <w:name w:val="Normal1"/>
    <w:basedOn w:val="Standardstycketeckensnitt"/>
    <w:rsid w:val="00663AF8"/>
  </w:style>
  <w:style w:type="paragraph" w:styleId="Beskrivning">
    <w:name w:val="caption"/>
    <w:basedOn w:val="Normal"/>
    <w:next w:val="Normal"/>
    <w:uiPriority w:val="35"/>
    <w:unhideWhenUsed/>
    <w:qFormat/>
    <w:rsid w:val="00693D90"/>
    <w:pPr>
      <w:spacing w:after="200"/>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p.ospar.org/en/ospar-assessments/intermediate-assessment-2017/biodiversity-status/marine-mammals/seal-abundance-and-distribution/" TargetMode="External"/><Relationship Id="rId13" Type="http://schemas.openxmlformats.org/officeDocument/2006/relationships/hyperlink" Target="http://www.eurosurveillance.org/ViewArticle.aspx?ArticleId=209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terohark\Desktop\Havet\popdata%20-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erohark\Desktop\Havet\popdata%20-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erohark\Desktop\Havet\popdata%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sv-SE"/>
              <a:t>Knubbsäl västkusten</a:t>
            </a:r>
          </a:p>
        </c:rich>
      </c:tx>
      <c:layout>
        <c:manualLayout>
          <c:xMode val="edge"/>
          <c:yMode val="edge"/>
          <c:x val="0.32854252561345643"/>
          <c:y val="3.5714285714285712E-2"/>
        </c:manualLayout>
      </c:layout>
      <c:overlay val="0"/>
      <c:spPr>
        <a:noFill/>
        <a:ln w="25400">
          <a:noFill/>
        </a:ln>
      </c:spPr>
    </c:title>
    <c:autoTitleDeleted val="0"/>
    <c:plotArea>
      <c:layout>
        <c:manualLayout>
          <c:layoutTarget val="inner"/>
          <c:xMode val="edge"/>
          <c:yMode val="edge"/>
          <c:x val="0.18891189372101766"/>
          <c:y val="0.18452434583201333"/>
          <c:w val="0.73100689309437272"/>
          <c:h val="0.61607321914881863"/>
        </c:manualLayout>
      </c:layout>
      <c:scatterChart>
        <c:scatterStyle val="lineMarker"/>
        <c:varyColors val="0"/>
        <c:ser>
          <c:idx val="0"/>
          <c:order val="0"/>
          <c:tx>
            <c:strRef>
              <c:f>Knubb!$B$2</c:f>
              <c:strCache>
                <c:ptCount val="1"/>
                <c:pt idx="0">
                  <c:v>Skagerrak</c:v>
                </c:pt>
              </c:strCache>
            </c:strRef>
          </c:tx>
          <c:spPr>
            <a:ln w="28575">
              <a:noFill/>
            </a:ln>
          </c:spPr>
          <c:marker>
            <c:symbol val="circle"/>
            <c:size val="5"/>
            <c:spPr>
              <a:solidFill>
                <a:srgbClr val="000000"/>
              </a:solidFill>
              <a:ln>
                <a:solidFill>
                  <a:srgbClr val="000000"/>
                </a:solidFill>
                <a:prstDash val="solid"/>
              </a:ln>
            </c:spPr>
          </c:marker>
          <c:trendline>
            <c:spPr>
              <a:ln w="25400">
                <a:solidFill>
                  <a:srgbClr val="000000"/>
                </a:solidFill>
                <a:prstDash val="solid"/>
              </a:ln>
            </c:spPr>
            <c:trendlineType val="exp"/>
            <c:dispRSqr val="0"/>
            <c:dispEq val="1"/>
            <c:trendlineLbl>
              <c:layout>
                <c:manualLayout>
                  <c:x val="2.1970282462125498E-2"/>
                  <c:y val="0.25265404324459445"/>
                </c:manualLayout>
              </c:layout>
              <c:numFmt formatCode="General" sourceLinked="0"/>
              <c:spPr>
                <a:noFill/>
                <a:ln w="25400">
                  <a:noFill/>
                </a:ln>
              </c:spPr>
              <c:txPr>
                <a:bodyPr/>
                <a:lstStyle/>
                <a:p>
                  <a:pPr>
                    <a:defRPr sz="1150" b="0" i="0" u="none" strike="noStrike" baseline="0">
                      <a:solidFill>
                        <a:srgbClr val="000000"/>
                      </a:solidFill>
                      <a:latin typeface="Arial"/>
                      <a:ea typeface="Arial"/>
                      <a:cs typeface="Arial"/>
                    </a:defRPr>
                  </a:pPr>
                  <a:endParaRPr lang="sv-SE"/>
                </a:p>
              </c:txPr>
            </c:trendlineLbl>
          </c:trendline>
          <c:xVal>
            <c:numRef>
              <c:f>Knubb!$A$29:$A$40</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xVal>
          <c:yVal>
            <c:numRef>
              <c:f>Knubb!$B$29:$B$40</c:f>
              <c:numCache>
                <c:formatCode>General</c:formatCode>
                <c:ptCount val="12"/>
                <c:pt idx="0">
                  <c:v>3605</c:v>
                </c:pt>
                <c:pt idx="1">
                  <c:v>2754</c:v>
                </c:pt>
                <c:pt idx="2">
                  <c:v>2553</c:v>
                </c:pt>
                <c:pt idx="3">
                  <c:v>4427</c:v>
                </c:pt>
                <c:pt idx="4">
                  <c:v>4035</c:v>
                </c:pt>
                <c:pt idx="5">
                  <c:v>4177</c:v>
                </c:pt>
                <c:pt idx="6">
                  <c:v>4269</c:v>
                </c:pt>
                <c:pt idx="7">
                  <c:v>5371</c:v>
                </c:pt>
                <c:pt idx="8">
                  <c:v>6616</c:v>
                </c:pt>
                <c:pt idx="9">
                  <c:v>6643</c:v>
                </c:pt>
                <c:pt idx="10">
                  <c:v>4522</c:v>
                </c:pt>
                <c:pt idx="11">
                  <c:v>6577</c:v>
                </c:pt>
              </c:numCache>
            </c:numRef>
          </c:yVal>
          <c:smooth val="0"/>
          <c:extLst>
            <c:ext xmlns:c16="http://schemas.microsoft.com/office/drawing/2014/chart" uri="{C3380CC4-5D6E-409C-BE32-E72D297353CC}">
              <c16:uniqueId val="{00000000-EA61-4C51-A0A5-C01C69E74CB9}"/>
            </c:ext>
          </c:extLst>
        </c:ser>
        <c:ser>
          <c:idx val="1"/>
          <c:order val="1"/>
          <c:tx>
            <c:strRef>
              <c:f>Knubb!$C$2</c:f>
              <c:strCache>
                <c:ptCount val="1"/>
                <c:pt idx="0">
                  <c:v>Kattegatt</c:v>
                </c:pt>
              </c:strCache>
            </c:strRef>
          </c:tx>
          <c:spPr>
            <a:ln w="28575">
              <a:noFill/>
            </a:ln>
          </c:spPr>
          <c:marker>
            <c:symbol val="circle"/>
            <c:size val="5"/>
            <c:spPr>
              <a:noFill/>
              <a:ln>
                <a:solidFill>
                  <a:srgbClr val="000000"/>
                </a:solidFill>
                <a:prstDash val="solid"/>
              </a:ln>
            </c:spPr>
          </c:marker>
          <c:trendline>
            <c:spPr>
              <a:ln w="25400">
                <a:solidFill>
                  <a:srgbClr val="000000"/>
                </a:solidFill>
                <a:prstDash val="solid"/>
              </a:ln>
            </c:spPr>
            <c:trendlineType val="exp"/>
            <c:dispRSqr val="0"/>
            <c:dispEq val="0"/>
          </c:trendline>
          <c:trendline>
            <c:spPr>
              <a:ln w="25400">
                <a:solidFill>
                  <a:srgbClr val="000000"/>
                </a:solidFill>
                <a:prstDash val="solid"/>
              </a:ln>
            </c:spPr>
            <c:trendlineType val="exp"/>
            <c:dispRSqr val="0"/>
            <c:dispEq val="1"/>
            <c:trendlineLbl>
              <c:layout>
                <c:manualLayout>
                  <c:x val="-3.3744427240851652E-2"/>
                  <c:y val="-3.6621084081965932E-2"/>
                </c:manualLayout>
              </c:layout>
              <c:numFmt formatCode="General" sourceLinked="0"/>
              <c:spPr>
                <a:noFill/>
                <a:ln w="25400">
                  <a:noFill/>
                </a:ln>
              </c:spPr>
              <c:txPr>
                <a:bodyPr/>
                <a:lstStyle/>
                <a:p>
                  <a:pPr>
                    <a:defRPr sz="1150" b="0" i="0" u="none" strike="noStrike" baseline="0">
                      <a:solidFill>
                        <a:srgbClr val="000000"/>
                      </a:solidFill>
                      <a:latin typeface="Arial"/>
                      <a:ea typeface="Arial"/>
                      <a:cs typeface="Arial"/>
                    </a:defRPr>
                  </a:pPr>
                  <a:endParaRPr lang="sv-SE"/>
                </a:p>
              </c:txPr>
            </c:trendlineLbl>
          </c:trendline>
          <c:xVal>
            <c:numRef>
              <c:f>Knubb!$A$29:$A$40</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xVal>
          <c:yVal>
            <c:numRef>
              <c:f>Knubb!$C$29:$C$40</c:f>
              <c:numCache>
                <c:formatCode>General</c:formatCode>
                <c:ptCount val="12"/>
                <c:pt idx="0">
                  <c:v>4940.5</c:v>
                </c:pt>
                <c:pt idx="1">
                  <c:v>4882</c:v>
                </c:pt>
                <c:pt idx="2">
                  <c:v>4836</c:v>
                </c:pt>
                <c:pt idx="3">
                  <c:v>5447.5</c:v>
                </c:pt>
                <c:pt idx="4">
                  <c:v>5472.5</c:v>
                </c:pt>
                <c:pt idx="5">
                  <c:v>6924.5</c:v>
                </c:pt>
                <c:pt idx="6">
                  <c:v>6308</c:v>
                </c:pt>
                <c:pt idx="7">
                  <c:v>6503</c:v>
                </c:pt>
                <c:pt idx="8">
                  <c:v>8379</c:v>
                </c:pt>
                <c:pt idx="9">
                  <c:v>7868</c:v>
                </c:pt>
                <c:pt idx="10">
                  <c:v>8230</c:v>
                </c:pt>
                <c:pt idx="11">
                  <c:v>10546</c:v>
                </c:pt>
              </c:numCache>
            </c:numRef>
          </c:yVal>
          <c:smooth val="0"/>
          <c:extLst>
            <c:ext xmlns:c16="http://schemas.microsoft.com/office/drawing/2014/chart" uri="{C3380CC4-5D6E-409C-BE32-E72D297353CC}">
              <c16:uniqueId val="{00000001-EA61-4C51-A0A5-C01C69E74CB9}"/>
            </c:ext>
          </c:extLst>
        </c:ser>
        <c:dLbls>
          <c:showLegendKey val="0"/>
          <c:showVal val="0"/>
          <c:showCatName val="0"/>
          <c:showSerName val="0"/>
          <c:showPercent val="0"/>
          <c:showBubbleSize val="0"/>
        </c:dLbls>
        <c:axId val="154425984"/>
        <c:axId val="154432256"/>
      </c:scatterChart>
      <c:valAx>
        <c:axId val="154425984"/>
        <c:scaling>
          <c:orientation val="minMax"/>
        </c:scaling>
        <c:delete val="0"/>
        <c:axPos val="b"/>
        <c:title>
          <c:tx>
            <c:rich>
              <a:bodyPr/>
              <a:lstStyle/>
              <a:p>
                <a:pPr>
                  <a:defRPr sz="1150" b="1" i="0" u="none" strike="noStrike" baseline="0">
                    <a:solidFill>
                      <a:srgbClr val="000000"/>
                    </a:solidFill>
                    <a:latin typeface="Arial"/>
                    <a:ea typeface="Arial"/>
                    <a:cs typeface="Arial"/>
                  </a:defRPr>
                </a:pPr>
                <a:r>
                  <a:rPr lang="sv-SE"/>
                  <a:t>År</a:t>
                </a:r>
              </a:p>
            </c:rich>
          </c:tx>
          <c:layout>
            <c:manualLayout>
              <c:xMode val="edge"/>
              <c:yMode val="edge"/>
              <c:x val="0.53593472273871312"/>
              <c:y val="0.9047644044494438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sv-SE"/>
          </a:p>
        </c:txPr>
        <c:crossAx val="154432256"/>
        <c:crosses val="autoZero"/>
        <c:crossBetween val="midCat"/>
      </c:valAx>
      <c:valAx>
        <c:axId val="154432256"/>
        <c:scaling>
          <c:orientation val="minMax"/>
        </c:scaling>
        <c:delete val="0"/>
        <c:axPos val="l"/>
        <c:title>
          <c:tx>
            <c:rich>
              <a:bodyPr/>
              <a:lstStyle/>
              <a:p>
                <a:pPr>
                  <a:defRPr sz="1150" b="1" i="0" u="none" strike="noStrike" baseline="0">
                    <a:solidFill>
                      <a:srgbClr val="000000"/>
                    </a:solidFill>
                    <a:latin typeface="Arial"/>
                    <a:ea typeface="Arial"/>
                    <a:cs typeface="Arial"/>
                  </a:defRPr>
                </a:pPr>
                <a:r>
                  <a:rPr lang="sv-SE"/>
                  <a:t>Räknat antal</a:t>
                </a:r>
              </a:p>
            </c:rich>
          </c:tx>
          <c:layout>
            <c:manualLayout>
              <c:xMode val="edge"/>
              <c:yMode val="edge"/>
              <c:x val="2.0533880903490759E-2"/>
              <c:y val="0.3571437945256842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sv-SE"/>
          </a:p>
        </c:txPr>
        <c:crossAx val="154425984"/>
        <c:crosses val="autoZero"/>
        <c:crossBetween val="midCat"/>
      </c:valAx>
      <c:spPr>
        <a:noFill/>
        <a:ln w="12700">
          <a:solidFill>
            <a:srgbClr val="808080"/>
          </a:solidFill>
          <a:prstDash val="solid"/>
        </a:ln>
      </c:spPr>
    </c:plotArea>
    <c:legend>
      <c:legendPos val="r"/>
      <c:legendEntry>
        <c:idx val="2"/>
        <c:delete val="1"/>
      </c:legendEntry>
      <c:legendEntry>
        <c:idx val="3"/>
        <c:delete val="1"/>
      </c:legendEntry>
      <c:legendEntry>
        <c:idx val="4"/>
        <c:delete val="1"/>
      </c:legendEntry>
      <c:layout>
        <c:manualLayout>
          <c:xMode val="edge"/>
          <c:yMode val="edge"/>
          <c:x val="0.26694066732418198"/>
          <c:y val="0.23809586301712285"/>
          <c:w val="0.16221787471637911"/>
          <c:h val="0.1279765029371328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sv-SE"/>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sv-S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'Knubb Ösj'!$B$90</c:f>
              <c:strCache>
                <c:ptCount val="1"/>
                <c:pt idx="0">
                  <c:v>Räknat antal</c:v>
                </c:pt>
              </c:strCache>
            </c:strRef>
          </c:tx>
          <c:spPr>
            <a:ln w="28575">
              <a:noFill/>
            </a:ln>
          </c:spPr>
          <c:trendline>
            <c:trendlineType val="exp"/>
            <c:dispRSqr val="0"/>
            <c:dispEq val="1"/>
            <c:trendlineLbl>
              <c:layout/>
              <c:numFmt formatCode="General" sourceLinked="0"/>
            </c:trendlineLbl>
          </c:trendline>
          <c:xVal>
            <c:numRef>
              <c:f>'Knubb Ösj'!$A$91:$A$103</c:f>
              <c:numCache>
                <c:formatCode>General</c:formatCod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numCache>
            </c:numRef>
          </c:xVal>
          <c:yVal>
            <c:numRef>
              <c:f>'Knubb Ösj'!$B$91:$B$103</c:f>
              <c:numCache>
                <c:formatCode>General</c:formatCode>
                <c:ptCount val="13"/>
                <c:pt idx="0">
                  <c:v>398.5</c:v>
                </c:pt>
                <c:pt idx="1">
                  <c:v>493.5</c:v>
                </c:pt>
                <c:pt idx="2">
                  <c:v>560</c:v>
                </c:pt>
                <c:pt idx="3">
                  <c:v>447.5</c:v>
                </c:pt>
                <c:pt idx="4">
                  <c:v>511</c:v>
                </c:pt>
                <c:pt idx="5">
                  <c:v>730.5</c:v>
                </c:pt>
                <c:pt idx="6">
                  <c:v>548</c:v>
                </c:pt>
                <c:pt idx="7">
                  <c:v>715</c:v>
                </c:pt>
                <c:pt idx="8">
                  <c:v>783</c:v>
                </c:pt>
                <c:pt idx="9">
                  <c:v>857</c:v>
                </c:pt>
                <c:pt idx="10">
                  <c:v>879.5</c:v>
                </c:pt>
                <c:pt idx="11">
                  <c:v>935</c:v>
                </c:pt>
              </c:numCache>
            </c:numRef>
          </c:yVal>
          <c:smooth val="0"/>
          <c:extLst>
            <c:ext xmlns:c16="http://schemas.microsoft.com/office/drawing/2014/chart" uri="{C3380CC4-5D6E-409C-BE32-E72D297353CC}">
              <c16:uniqueId val="{00000000-AED6-4A86-8282-196F5EB71C86}"/>
            </c:ext>
          </c:extLst>
        </c:ser>
        <c:dLbls>
          <c:showLegendKey val="0"/>
          <c:showVal val="0"/>
          <c:showCatName val="0"/>
          <c:showSerName val="0"/>
          <c:showPercent val="0"/>
          <c:showBubbleSize val="0"/>
        </c:dLbls>
        <c:axId val="154450944"/>
        <c:axId val="154457216"/>
      </c:scatterChart>
      <c:valAx>
        <c:axId val="154450944"/>
        <c:scaling>
          <c:orientation val="minMax"/>
        </c:scaling>
        <c:delete val="0"/>
        <c:axPos val="b"/>
        <c:title>
          <c:tx>
            <c:rich>
              <a:bodyPr/>
              <a:lstStyle/>
              <a:p>
                <a:pPr>
                  <a:defRPr/>
                </a:pPr>
                <a:r>
                  <a:rPr lang="sv-SE"/>
                  <a:t>År</a:t>
                </a:r>
              </a:p>
            </c:rich>
          </c:tx>
          <c:layout/>
          <c:overlay val="0"/>
        </c:title>
        <c:numFmt formatCode="General" sourceLinked="1"/>
        <c:majorTickMark val="out"/>
        <c:minorTickMark val="none"/>
        <c:tickLblPos val="nextTo"/>
        <c:crossAx val="154457216"/>
        <c:crosses val="autoZero"/>
        <c:crossBetween val="midCat"/>
      </c:valAx>
      <c:valAx>
        <c:axId val="154457216"/>
        <c:scaling>
          <c:orientation val="minMax"/>
        </c:scaling>
        <c:delete val="0"/>
        <c:axPos val="l"/>
        <c:title>
          <c:tx>
            <c:rich>
              <a:bodyPr rot="-5400000" vert="horz"/>
              <a:lstStyle/>
              <a:p>
                <a:pPr>
                  <a:defRPr/>
                </a:pPr>
                <a:r>
                  <a:rPr lang="en-US"/>
                  <a:t>Räknat antal</a:t>
                </a:r>
              </a:p>
            </c:rich>
          </c:tx>
          <c:layout/>
          <c:overlay val="0"/>
        </c:title>
        <c:numFmt formatCode="General" sourceLinked="1"/>
        <c:majorTickMark val="out"/>
        <c:minorTickMark val="none"/>
        <c:tickLblPos val="nextTo"/>
        <c:crossAx val="154450944"/>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'Knubb Ösj'!$I$42</c:f>
              <c:strCache>
                <c:ptCount val="1"/>
                <c:pt idx="0">
                  <c:v>Total</c:v>
                </c:pt>
              </c:strCache>
            </c:strRef>
          </c:tx>
          <c:spPr>
            <a:ln w="28575">
              <a:noFill/>
            </a:ln>
          </c:spPr>
          <c:trendline>
            <c:trendlineType val="exp"/>
            <c:dispRSqr val="0"/>
            <c:dispEq val="1"/>
            <c:trendlineLbl>
              <c:layout/>
              <c:numFmt formatCode="General" sourceLinked="0"/>
            </c:trendlineLbl>
          </c:trendline>
          <c:xVal>
            <c:numRef>
              <c:f>'Knubb Ösj'!$H$43:$H$84</c:f>
              <c:numCache>
                <c:formatCode>General</c:formatCode>
                <c:ptCount val="42"/>
                <c:pt idx="0">
                  <c:v>2016</c:v>
                </c:pt>
                <c:pt idx="1">
                  <c:v>2015</c:v>
                </c:pt>
                <c:pt idx="2">
                  <c:v>2014</c:v>
                </c:pt>
                <c:pt idx="3">
                  <c:v>2013</c:v>
                </c:pt>
                <c:pt idx="4">
                  <c:v>2012</c:v>
                </c:pt>
                <c:pt idx="5">
                  <c:v>2011</c:v>
                </c:pt>
                <c:pt idx="6">
                  <c:v>2010</c:v>
                </c:pt>
                <c:pt idx="7">
                  <c:v>2009</c:v>
                </c:pt>
                <c:pt idx="8">
                  <c:v>2008</c:v>
                </c:pt>
                <c:pt idx="9">
                  <c:v>2007</c:v>
                </c:pt>
                <c:pt idx="10">
                  <c:v>2006</c:v>
                </c:pt>
                <c:pt idx="11">
                  <c:v>2005</c:v>
                </c:pt>
                <c:pt idx="12">
                  <c:v>2004</c:v>
                </c:pt>
                <c:pt idx="13">
                  <c:v>2003</c:v>
                </c:pt>
                <c:pt idx="14">
                  <c:v>2002</c:v>
                </c:pt>
                <c:pt idx="15">
                  <c:v>2001</c:v>
                </c:pt>
                <c:pt idx="16">
                  <c:v>2000</c:v>
                </c:pt>
                <c:pt idx="17">
                  <c:v>1999</c:v>
                </c:pt>
                <c:pt idx="18">
                  <c:v>1998</c:v>
                </c:pt>
                <c:pt idx="19">
                  <c:v>1997</c:v>
                </c:pt>
                <c:pt idx="20">
                  <c:v>1996</c:v>
                </c:pt>
                <c:pt idx="21">
                  <c:v>1995</c:v>
                </c:pt>
                <c:pt idx="22">
                  <c:v>1994</c:v>
                </c:pt>
                <c:pt idx="23">
                  <c:v>1993</c:v>
                </c:pt>
                <c:pt idx="24">
                  <c:v>1992</c:v>
                </c:pt>
                <c:pt idx="25">
                  <c:v>1991</c:v>
                </c:pt>
                <c:pt idx="26">
                  <c:v>1990</c:v>
                </c:pt>
                <c:pt idx="27">
                  <c:v>1989</c:v>
                </c:pt>
                <c:pt idx="28">
                  <c:v>1988</c:v>
                </c:pt>
                <c:pt idx="29">
                  <c:v>1987</c:v>
                </c:pt>
                <c:pt idx="30">
                  <c:v>1986</c:v>
                </c:pt>
                <c:pt idx="31">
                  <c:v>1985</c:v>
                </c:pt>
                <c:pt idx="32">
                  <c:v>1984</c:v>
                </c:pt>
                <c:pt idx="33">
                  <c:v>1983</c:v>
                </c:pt>
                <c:pt idx="34">
                  <c:v>1982</c:v>
                </c:pt>
                <c:pt idx="35">
                  <c:v>1981</c:v>
                </c:pt>
                <c:pt idx="36">
                  <c:v>1980</c:v>
                </c:pt>
                <c:pt idx="37">
                  <c:v>1979</c:v>
                </c:pt>
                <c:pt idx="38">
                  <c:v>1978</c:v>
                </c:pt>
                <c:pt idx="39">
                  <c:v>1977</c:v>
                </c:pt>
                <c:pt idx="40">
                  <c:v>1976</c:v>
                </c:pt>
                <c:pt idx="41">
                  <c:v>1975</c:v>
                </c:pt>
              </c:numCache>
            </c:numRef>
          </c:xVal>
          <c:yVal>
            <c:numRef>
              <c:f>'Knubb Ösj'!$I$43:$I$84</c:f>
              <c:numCache>
                <c:formatCode>General</c:formatCode>
                <c:ptCount val="42"/>
                <c:pt idx="0">
                  <c:v>1100</c:v>
                </c:pt>
                <c:pt idx="1">
                  <c:v>727</c:v>
                </c:pt>
                <c:pt idx="2">
                  <c:v>1039</c:v>
                </c:pt>
                <c:pt idx="3">
                  <c:v>893</c:v>
                </c:pt>
                <c:pt idx="4">
                  <c:v>966</c:v>
                </c:pt>
                <c:pt idx="5">
                  <c:v>802</c:v>
                </c:pt>
                <c:pt idx="6">
                  <c:v>754</c:v>
                </c:pt>
                <c:pt idx="7">
                  <c:v>672</c:v>
                </c:pt>
                <c:pt idx="8">
                  <c:v>588</c:v>
                </c:pt>
                <c:pt idx="9">
                  <c:v>637</c:v>
                </c:pt>
                <c:pt idx="10">
                  <c:v>478</c:v>
                </c:pt>
                <c:pt idx="11">
                  <c:v>497</c:v>
                </c:pt>
                <c:pt idx="12">
                  <c:v>388</c:v>
                </c:pt>
                <c:pt idx="13">
                  <c:v>384</c:v>
                </c:pt>
                <c:pt idx="14">
                  <c:v>377</c:v>
                </c:pt>
                <c:pt idx="15">
                  <c:v>298</c:v>
                </c:pt>
                <c:pt idx="16">
                  <c:v>281</c:v>
                </c:pt>
                <c:pt idx="17">
                  <c:v>311</c:v>
                </c:pt>
                <c:pt idx="18">
                  <c:v>266</c:v>
                </c:pt>
                <c:pt idx="19">
                  <c:v>263</c:v>
                </c:pt>
                <c:pt idx="20">
                  <c:v>269</c:v>
                </c:pt>
                <c:pt idx="21">
                  <c:v>210</c:v>
                </c:pt>
                <c:pt idx="22">
                  <c:v>209</c:v>
                </c:pt>
                <c:pt idx="23">
                  <c:v>200</c:v>
                </c:pt>
                <c:pt idx="24">
                  <c:v>166</c:v>
                </c:pt>
                <c:pt idx="25">
                  <c:v>154</c:v>
                </c:pt>
                <c:pt idx="26">
                  <c:v>136</c:v>
                </c:pt>
                <c:pt idx="27">
                  <c:v>118</c:v>
                </c:pt>
                <c:pt idx="28">
                  <c:v>122</c:v>
                </c:pt>
                <c:pt idx="29">
                  <c:v>111</c:v>
                </c:pt>
                <c:pt idx="30">
                  <c:v>103</c:v>
                </c:pt>
                <c:pt idx="32">
                  <c:v>90</c:v>
                </c:pt>
                <c:pt idx="34">
                  <c:v>65</c:v>
                </c:pt>
                <c:pt idx="35">
                  <c:v>52</c:v>
                </c:pt>
                <c:pt idx="37">
                  <c:v>49</c:v>
                </c:pt>
                <c:pt idx="38">
                  <c:v>41</c:v>
                </c:pt>
                <c:pt idx="39">
                  <c:v>46</c:v>
                </c:pt>
              </c:numCache>
            </c:numRef>
          </c:yVal>
          <c:smooth val="0"/>
          <c:extLst>
            <c:ext xmlns:c16="http://schemas.microsoft.com/office/drawing/2014/chart" uri="{C3380CC4-5D6E-409C-BE32-E72D297353CC}">
              <c16:uniqueId val="{00000000-015D-4B48-9DB9-0F224F6BCFF9}"/>
            </c:ext>
          </c:extLst>
        </c:ser>
        <c:dLbls>
          <c:showLegendKey val="0"/>
          <c:showVal val="0"/>
          <c:showCatName val="0"/>
          <c:showSerName val="0"/>
          <c:showPercent val="0"/>
          <c:showBubbleSize val="0"/>
        </c:dLbls>
        <c:axId val="155920640"/>
        <c:axId val="155926912"/>
      </c:scatterChart>
      <c:valAx>
        <c:axId val="155920640"/>
        <c:scaling>
          <c:orientation val="minMax"/>
        </c:scaling>
        <c:delete val="0"/>
        <c:axPos val="b"/>
        <c:title>
          <c:tx>
            <c:rich>
              <a:bodyPr/>
              <a:lstStyle/>
              <a:p>
                <a:pPr>
                  <a:defRPr/>
                </a:pPr>
                <a:r>
                  <a:rPr lang="en-US"/>
                  <a:t>År</a:t>
                </a:r>
              </a:p>
            </c:rich>
          </c:tx>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155926912"/>
        <c:crosses val="autoZero"/>
        <c:crossBetween val="midCat"/>
      </c:valAx>
      <c:valAx>
        <c:axId val="155926912"/>
        <c:scaling>
          <c:orientation val="minMax"/>
        </c:scaling>
        <c:delete val="0"/>
        <c:axPos val="l"/>
        <c:title>
          <c:tx>
            <c:rich>
              <a:bodyPr rot="-5400000" vert="horz"/>
              <a:lstStyle/>
              <a:p>
                <a:pPr>
                  <a:defRPr/>
                </a:pPr>
                <a:r>
                  <a:rPr lang="en-US"/>
                  <a:t>Räknat antal</a:t>
                </a:r>
              </a:p>
            </c:rich>
          </c:tx>
          <c:layout/>
          <c:overlay val="0"/>
        </c:title>
        <c:numFmt formatCode="General" sourceLinked="1"/>
        <c:majorTickMark val="out"/>
        <c:minorTickMark val="none"/>
        <c:tickLblPos val="nextTo"/>
        <c:crossAx val="15592064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Word-typsnitt-HaV">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B2A6-4755-429E-9CBA-F358C7DC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3367</Words>
  <Characters>17851</Characters>
  <Application>Microsoft Office Word</Application>
  <DocSecurity>0</DocSecurity>
  <Lines>148</Lines>
  <Paragraphs>42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Normal - HaV</cp:keywords>
  <cp:lastModifiedBy/>
  <cp:revision>1</cp:revision>
  <dcterms:created xsi:type="dcterms:W3CDTF">2017-11-19T20:20:00Z</dcterms:created>
  <dcterms:modified xsi:type="dcterms:W3CDTF">2017-11-19T20:36:00Z</dcterms:modified>
</cp:coreProperties>
</file>