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DBF3" w14:textId="77777777" w:rsidR="00C412F0" w:rsidRDefault="00C412F0" w:rsidP="00C412F0">
      <w:pPr>
        <w:pStyle w:val="Rubrik1"/>
      </w:pPr>
      <w:r>
        <w:t>Havsmiljödirektivets inledande bedömning</w:t>
      </w:r>
    </w:p>
    <w:p w14:paraId="7D5AA03D" w14:textId="77777777" w:rsidR="00354126" w:rsidRPr="00C53C5D" w:rsidRDefault="00C53C5D" w:rsidP="00354126">
      <w:pPr>
        <w:pStyle w:val="Rubrik2"/>
        <w:rPr>
          <w:sz w:val="24"/>
          <w:szCs w:val="24"/>
        </w:rPr>
      </w:pPr>
      <w:r w:rsidRPr="00C53C5D">
        <w:rPr>
          <w:sz w:val="24"/>
          <w:szCs w:val="24"/>
        </w:rPr>
        <w:t>Nationellt artfaktablad för g</w:t>
      </w:r>
      <w:r w:rsidR="00405935" w:rsidRPr="00C53C5D">
        <w:rPr>
          <w:sz w:val="24"/>
          <w:szCs w:val="24"/>
        </w:rPr>
        <w:t xml:space="preserve">råsäl </w:t>
      </w:r>
      <w:r w:rsidR="00405935" w:rsidRPr="00C53C5D">
        <w:rPr>
          <w:i/>
          <w:sz w:val="24"/>
          <w:szCs w:val="24"/>
        </w:rPr>
        <w:t>(Halichoerus grypus)</w:t>
      </w:r>
      <w:r w:rsidR="00DD2930">
        <w:rPr>
          <w:sz w:val="24"/>
          <w:szCs w:val="24"/>
        </w:rPr>
        <w:t>: Utbredning</w:t>
      </w:r>
    </w:p>
    <w:p w14:paraId="18C22F63"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3490FE3D" wp14:editId="39762774">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55871ACE" w14:textId="77777777" w:rsidR="00CC7FE7" w:rsidRDefault="00CC7FE7">
                            <w:r>
                              <w:t>Illustrerande bild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0FE3D"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55871ACE" w14:textId="77777777" w:rsidR="00CC7FE7" w:rsidRDefault="00CC7FE7">
                      <w:r>
                        <w:t>Illustrerande bild</w:t>
                      </w:r>
                    </w:p>
                  </w:txbxContent>
                </v:textbox>
              </v:shape>
            </w:pict>
          </mc:Fallback>
        </mc:AlternateContent>
      </w:r>
    </w:p>
    <w:p w14:paraId="6CA0A548" w14:textId="77777777" w:rsidR="00C412F0" w:rsidRPr="00C412F0" w:rsidRDefault="00C412F0" w:rsidP="00C412F0">
      <w:pPr>
        <w:pStyle w:val="Brdtext"/>
      </w:pPr>
    </w:p>
    <w:p w14:paraId="69F19D76" w14:textId="77777777" w:rsidR="00354126" w:rsidRDefault="00354126" w:rsidP="0062144B"/>
    <w:p w14:paraId="75329DB1" w14:textId="77777777" w:rsidR="0062144B" w:rsidRDefault="0062144B" w:rsidP="0062144B"/>
    <w:p w14:paraId="31D889BC" w14:textId="77777777" w:rsidR="0062144B" w:rsidRDefault="0062144B" w:rsidP="0062144B"/>
    <w:p w14:paraId="5B28C3A4" w14:textId="77777777" w:rsidR="0062144B" w:rsidRDefault="0062144B" w:rsidP="0062144B"/>
    <w:p w14:paraId="45E65C52" w14:textId="77777777" w:rsidR="0062144B" w:rsidRDefault="0062144B" w:rsidP="0062144B"/>
    <w:p w14:paraId="3170854A" w14:textId="77777777" w:rsidR="0062144B" w:rsidRDefault="0062144B" w:rsidP="0062144B"/>
    <w:p w14:paraId="44B63702" w14:textId="77777777" w:rsidR="0062144B" w:rsidRDefault="0062144B" w:rsidP="0062144B"/>
    <w:p w14:paraId="1D691A60" w14:textId="77777777" w:rsidR="0062144B" w:rsidRDefault="0062144B" w:rsidP="0062144B"/>
    <w:p w14:paraId="642595C3" w14:textId="77777777" w:rsidR="0062144B" w:rsidRDefault="0062144B" w:rsidP="0062144B"/>
    <w:p w14:paraId="10EF3F39" w14:textId="77777777" w:rsidR="0062144B" w:rsidRDefault="0062144B" w:rsidP="0062144B"/>
    <w:p w14:paraId="455917F7" w14:textId="77777777" w:rsidR="0062144B" w:rsidRDefault="0062144B" w:rsidP="0062144B"/>
    <w:p w14:paraId="05F949A8" w14:textId="77777777" w:rsidR="0062144B" w:rsidRDefault="0062144B" w:rsidP="0062144B"/>
    <w:p w14:paraId="478B6D39" w14:textId="77777777" w:rsidR="0062144B" w:rsidRDefault="0062144B" w:rsidP="0062144B"/>
    <w:p w14:paraId="4AEA1094" w14:textId="77777777" w:rsidR="00B63A59" w:rsidRPr="0062144B" w:rsidRDefault="0062144B" w:rsidP="0062144B">
      <w:pPr>
        <w:rPr>
          <w:i/>
        </w:rPr>
      </w:pPr>
      <w:r>
        <w:rPr>
          <w:i/>
        </w:rPr>
        <w:t>bildtext</w:t>
      </w:r>
    </w:p>
    <w:p w14:paraId="108AD4B0" w14:textId="77777777" w:rsidR="0062144B" w:rsidRDefault="0062144B" w:rsidP="00D05BBE">
      <w:pPr>
        <w:pStyle w:val="Brdtext"/>
      </w:pPr>
    </w:p>
    <w:p w14:paraId="390E0C06" w14:textId="77777777" w:rsidR="0062144B" w:rsidRDefault="0062144B" w:rsidP="00D05BBE">
      <w:pPr>
        <w:pStyle w:val="Brdtext"/>
      </w:pPr>
    </w:p>
    <w:p w14:paraId="197551B9" w14:textId="639DB05B" w:rsidR="00D0220B" w:rsidRPr="00C979EB" w:rsidRDefault="00764336" w:rsidP="00D05BBE">
      <w:pPr>
        <w:pStyle w:val="Brdtext"/>
        <w:rPr>
          <w:highlight w:val="yellow"/>
        </w:rPr>
      </w:pPr>
      <w:r>
        <w:t xml:space="preserve">Havsmiljödirektivet syftar till </w:t>
      </w:r>
      <w:r w:rsidR="00C979EB">
        <w:t>att uppnå</w:t>
      </w:r>
      <w:r w:rsidR="00F10452">
        <w:t xml:space="preserve">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C979EB">
        <w:rPr>
          <w:highlight w:val="yellow"/>
        </w:rPr>
        <w:t>Havs- och vattenmyndighetens rapport xxxx-xx</w:t>
      </w:r>
      <w:r w:rsidR="006944D5">
        <w:t>.</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D44830" w:rsidRPr="00C979EB">
        <w:rPr>
          <w:highlight w:val="yellow"/>
        </w:rPr>
        <w:t xml:space="preserve">Version Nr., </w:t>
      </w:r>
      <w:r w:rsidR="001319EF" w:rsidRPr="00C979EB">
        <w:rPr>
          <w:highlight w:val="yellow"/>
        </w:rPr>
        <w:t>Publiceringsdatum.</w:t>
      </w:r>
    </w:p>
    <w:p w14:paraId="44CCE1ED" w14:textId="77777777" w:rsidR="00B63A59" w:rsidRPr="0062144B" w:rsidRDefault="00D0220B" w:rsidP="00D05BBE">
      <w:pPr>
        <w:pStyle w:val="Brdtext"/>
      </w:pPr>
      <w:r w:rsidRPr="00C979EB">
        <w:rPr>
          <w:highlight w:val="yellow"/>
        </w:rPr>
        <w:t>Citeras som</w:t>
      </w:r>
      <w:r w:rsidR="0062144B" w:rsidRPr="00C979EB">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03041206" w14:textId="77777777" w:rsidR="0016771B" w:rsidRDefault="0016771B" w:rsidP="0009349B">
      <w:pPr>
        <w:pStyle w:val="Brdtext"/>
      </w:pPr>
      <w:r>
        <w:t>Det fanns över 80 000 gråsälar i Östersjön i början av 1900-talet, men de minskade till 20 000 på grund av jakt och vidare till 3 000 som en följd av sterilitet och sjukdomar förorsakade av miljögifter på 1970-talet.</w:t>
      </w:r>
      <w:r w:rsidRPr="0016771B">
        <w:t xml:space="preserve"> </w:t>
      </w:r>
      <w:r>
        <w:t>Gråsälarna visade sig vara känsliga för att något allvarligt händer i miljön. Därför har ett flertal indikatorer utvecklats för att kunna få mått på gråsälens miljöstatus.</w:t>
      </w:r>
    </w:p>
    <w:p w14:paraId="4E342A40" w14:textId="77777777" w:rsidR="008B3851" w:rsidRDefault="00DD2930" w:rsidP="0009349B">
      <w:pPr>
        <w:pStyle w:val="Brdtext"/>
      </w:pPr>
      <w:r>
        <w:t xml:space="preserve">Den hårda jakten i början av 1900-talet ledde till att gråsälen utrotades i södra Östersjön och Kattegatt, medan den försvann från Skagerrak redan kring 1750. Gränsvärden för utbredning gäller utbredning på viloplatser, reproduktionsplatser samt utbredning till havs. Gränsvärdet för utbredning på liggplatser </w:t>
      </w:r>
      <w:r w:rsidR="00BF2AF9">
        <w:t>är den utbredning arten hade  i slutet av 1800-talet och att denna utbredning inte får minska. När det gäller reproduktionsplatser är situationen mer komplicerad då gråsälen kan föda sin kut på land men föredrar drivis om sådan finns tillgänglig. I det senare fallet förekommer ingen brist på reproduktionsplatser. Gränsvärdet för utbredning till havs är att det inte finns hinder för migrationer och födosök.</w:t>
      </w:r>
      <w:r w:rsidR="003A3307">
        <w:t xml:space="preserve"> Utvärderingen sker bassängsvis och det visar sig att gråsälen når god miljöstatus i huvuddelen av Östersjön, men dock ej i den sydvästra delen där arten fortfarande inte koloniserat vissa tillhåll kring de danska öarna</w:t>
      </w:r>
    </w:p>
    <w:p w14:paraId="4245AA53" w14:textId="77777777" w:rsidR="00957EE3" w:rsidRDefault="00957EE3" w:rsidP="0009349B">
      <w:pPr>
        <w:pStyle w:val="Brdtext"/>
        <w:rPr>
          <w:i/>
        </w:rPr>
      </w:pPr>
    </w:p>
    <w:p w14:paraId="379854B4" w14:textId="77777777" w:rsidR="002444BD" w:rsidRDefault="00C979EB" w:rsidP="002444BD">
      <w:pPr>
        <w:pStyle w:val="Brdtext"/>
        <w:keepNext/>
      </w:pPr>
      <w:r>
        <w:rPr>
          <w:i/>
          <w:noProof/>
          <w:lang w:eastAsia="sv-SE"/>
        </w:rPr>
        <w:lastRenderedPageBreak/>
        <w:drawing>
          <wp:inline distT="0" distB="0" distL="0" distR="0" wp14:anchorId="4FE3D5D0" wp14:editId="7F33EF05">
            <wp:extent cx="5760720" cy="814641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sal_utbredning_1710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14:paraId="05A4112A" w14:textId="7970A875" w:rsidR="003B4CD1" w:rsidRDefault="002444BD" w:rsidP="002444BD">
      <w:pPr>
        <w:pStyle w:val="Beskrivning"/>
        <w:rPr>
          <w:i w:val="0"/>
        </w:rPr>
      </w:pPr>
      <w:r>
        <w:t xml:space="preserve">Figur </w:t>
      </w:r>
      <w:fldSimple w:instr=" SEQ Figur \* ARABIC ">
        <w:r w:rsidR="008D4843">
          <w:rPr>
            <w:noProof/>
          </w:rPr>
          <w:t>1</w:t>
        </w:r>
      </w:fldSimple>
      <w:r>
        <w:t xml:space="preserve"> </w:t>
      </w:r>
      <w:r>
        <w:t>Gr</w:t>
      </w:r>
      <w:r>
        <w:t>å</w:t>
      </w:r>
      <w:r>
        <w:t>sälen har god miljöstatus med avseende på utbredning i huvuddelen av Östersjön (grönt), men uppfyller inte kriterierna i sydvästra Östersjön (rött)</w:t>
      </w:r>
    </w:p>
    <w:p w14:paraId="3AAFE9FD"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lastRenderedPageBreak/>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09B06A8D"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20"/>
        <w:gridCol w:w="1829"/>
        <w:gridCol w:w="1814"/>
        <w:gridCol w:w="1802"/>
        <w:gridCol w:w="1797"/>
      </w:tblGrid>
      <w:tr w:rsidR="001A460F" w14:paraId="68DE2692" w14:textId="77777777" w:rsidTr="00C979EB">
        <w:tc>
          <w:tcPr>
            <w:tcW w:w="1820" w:type="dxa"/>
          </w:tcPr>
          <w:p w14:paraId="4FF45C51" w14:textId="2AD93869" w:rsidR="001A460F" w:rsidRDefault="001A460F" w:rsidP="0009349B">
            <w:pPr>
              <w:pStyle w:val="Brdtext"/>
              <w:rPr>
                <w:rFonts w:asciiTheme="minorHAnsi" w:hAnsiTheme="minorHAnsi" w:cstheme="majorHAnsi"/>
              </w:rPr>
            </w:pPr>
            <w:r>
              <w:rPr>
                <w:rFonts w:asciiTheme="minorHAnsi" w:hAnsiTheme="minorHAnsi" w:cstheme="majorHAnsi"/>
              </w:rPr>
              <w:t>MSFD</w:t>
            </w:r>
            <w:r w:rsidR="00C979EB">
              <w:rPr>
                <w:rFonts w:asciiTheme="minorHAnsi" w:hAnsiTheme="minorHAnsi" w:cstheme="majorHAnsi"/>
              </w:rPr>
              <w:t xml:space="preserve"> - kriterium</w:t>
            </w:r>
          </w:p>
        </w:tc>
        <w:tc>
          <w:tcPr>
            <w:tcW w:w="1829" w:type="dxa"/>
          </w:tcPr>
          <w:p w14:paraId="6C8678FF" w14:textId="229D8B28" w:rsidR="001A460F" w:rsidRDefault="001A460F" w:rsidP="0009349B">
            <w:pPr>
              <w:pStyle w:val="Brdtext"/>
              <w:rPr>
                <w:rFonts w:asciiTheme="minorHAnsi" w:hAnsiTheme="minorHAnsi" w:cstheme="majorHAnsi"/>
              </w:rPr>
            </w:pPr>
            <w:r>
              <w:rPr>
                <w:rFonts w:asciiTheme="minorHAnsi" w:hAnsiTheme="minorHAnsi" w:cstheme="majorHAnsi"/>
              </w:rPr>
              <w:t>WFD</w:t>
            </w:r>
            <w:r w:rsidR="00C979EB">
              <w:rPr>
                <w:rFonts w:asciiTheme="minorHAnsi" w:hAnsiTheme="minorHAnsi" w:cstheme="majorHAnsi"/>
              </w:rPr>
              <w:t xml:space="preserve"> - kvalitetsnorm</w:t>
            </w:r>
          </w:p>
        </w:tc>
        <w:tc>
          <w:tcPr>
            <w:tcW w:w="1814" w:type="dxa"/>
          </w:tcPr>
          <w:p w14:paraId="7DDCCC37" w14:textId="77777777" w:rsidR="001A460F" w:rsidRDefault="001A460F" w:rsidP="0009349B">
            <w:pPr>
              <w:pStyle w:val="Brdtext"/>
              <w:rPr>
                <w:rFonts w:asciiTheme="minorHAnsi" w:hAnsiTheme="minorHAnsi" w:cstheme="majorHAnsi"/>
              </w:rPr>
            </w:pPr>
            <w:r>
              <w:rPr>
                <w:rFonts w:asciiTheme="minorHAnsi" w:hAnsiTheme="minorHAnsi" w:cstheme="majorHAnsi"/>
              </w:rPr>
              <w:t>Miljömål</w:t>
            </w:r>
          </w:p>
        </w:tc>
        <w:tc>
          <w:tcPr>
            <w:tcW w:w="1802" w:type="dxa"/>
          </w:tcPr>
          <w:p w14:paraId="1A93444E" w14:textId="77777777" w:rsidR="001A460F" w:rsidRDefault="001A460F" w:rsidP="0009349B">
            <w:pPr>
              <w:pStyle w:val="Brdtext"/>
              <w:rPr>
                <w:rFonts w:asciiTheme="minorHAnsi" w:hAnsiTheme="minorHAnsi" w:cstheme="majorHAnsi"/>
              </w:rPr>
            </w:pPr>
            <w:r>
              <w:rPr>
                <w:rFonts w:asciiTheme="minorHAnsi" w:hAnsiTheme="minorHAnsi" w:cstheme="majorHAnsi"/>
              </w:rPr>
              <w:t>BSAP</w:t>
            </w:r>
          </w:p>
        </w:tc>
        <w:tc>
          <w:tcPr>
            <w:tcW w:w="1797" w:type="dxa"/>
          </w:tcPr>
          <w:p w14:paraId="1EB03496" w14:textId="2587DDE4" w:rsidR="001A460F" w:rsidRDefault="00C979EB" w:rsidP="0009349B">
            <w:pPr>
              <w:pStyle w:val="Brdtext"/>
              <w:rPr>
                <w:rFonts w:asciiTheme="minorHAnsi" w:hAnsiTheme="minorHAnsi" w:cstheme="majorHAnsi"/>
              </w:rPr>
            </w:pPr>
            <w:r>
              <w:rPr>
                <w:rFonts w:asciiTheme="minorHAnsi" w:hAnsiTheme="minorHAnsi" w:cstheme="majorHAnsi"/>
              </w:rPr>
              <w:t>Mer</w:t>
            </w:r>
          </w:p>
        </w:tc>
      </w:tr>
      <w:tr w:rsidR="00CB57D2" w14:paraId="7365D0CB" w14:textId="77777777" w:rsidTr="00C979EB">
        <w:tc>
          <w:tcPr>
            <w:tcW w:w="1820" w:type="dxa"/>
          </w:tcPr>
          <w:p w14:paraId="5189F09A" w14:textId="3FEF1E09" w:rsidR="00CB57D2" w:rsidRDefault="00C979EB" w:rsidP="0009349B">
            <w:pPr>
              <w:pStyle w:val="Brdtext"/>
              <w:rPr>
                <w:rFonts w:asciiTheme="minorHAnsi" w:hAnsiTheme="minorHAnsi" w:cstheme="majorHAnsi"/>
              </w:rPr>
            </w:pPr>
            <w:r>
              <w:rPr>
                <w:rFonts w:asciiTheme="minorHAnsi" w:hAnsiTheme="minorHAnsi" w:cstheme="majorHAnsi"/>
              </w:rPr>
              <w:t>D1C4</w:t>
            </w:r>
          </w:p>
        </w:tc>
        <w:tc>
          <w:tcPr>
            <w:tcW w:w="1829" w:type="dxa"/>
          </w:tcPr>
          <w:p w14:paraId="33E02BCC" w14:textId="2331323E" w:rsidR="00CB57D2" w:rsidRDefault="00C979EB" w:rsidP="0009349B">
            <w:pPr>
              <w:pStyle w:val="Brdtext"/>
              <w:rPr>
                <w:rFonts w:asciiTheme="minorHAnsi" w:hAnsiTheme="minorHAnsi" w:cstheme="majorHAnsi"/>
              </w:rPr>
            </w:pPr>
            <w:r>
              <w:rPr>
                <w:rFonts w:asciiTheme="minorHAnsi" w:hAnsiTheme="minorHAnsi" w:cstheme="majorHAnsi"/>
              </w:rPr>
              <w:t>saknas</w:t>
            </w:r>
          </w:p>
        </w:tc>
        <w:tc>
          <w:tcPr>
            <w:tcW w:w="1814" w:type="dxa"/>
          </w:tcPr>
          <w:p w14:paraId="39FD0182" w14:textId="039062C2" w:rsidR="00CB57D2" w:rsidRDefault="00C979EB" w:rsidP="0009349B">
            <w:pPr>
              <w:pStyle w:val="Brdtext"/>
              <w:rPr>
                <w:rFonts w:asciiTheme="minorHAnsi" w:hAnsiTheme="minorHAnsi" w:cstheme="majorHAnsi"/>
              </w:rPr>
            </w:pPr>
            <w:r w:rsidRPr="00C979EB">
              <w:rPr>
                <w:rFonts w:asciiTheme="minorHAnsi" w:hAnsiTheme="minorHAnsi" w:cstheme="majorHAnsi"/>
              </w:rPr>
              <w:t>Hav i balans och levande kust och skärgård; Ett rikt växt- och djurliv</w:t>
            </w:r>
          </w:p>
        </w:tc>
        <w:tc>
          <w:tcPr>
            <w:tcW w:w="1802" w:type="dxa"/>
          </w:tcPr>
          <w:p w14:paraId="3A2FAE3F" w14:textId="7A3C865F" w:rsidR="00CB57D2" w:rsidRDefault="00CB57D2" w:rsidP="0009349B">
            <w:pPr>
              <w:pStyle w:val="Brdtext"/>
              <w:rPr>
                <w:rFonts w:asciiTheme="minorHAnsi" w:hAnsiTheme="minorHAnsi" w:cstheme="majorHAnsi"/>
              </w:rPr>
            </w:pPr>
          </w:p>
        </w:tc>
        <w:tc>
          <w:tcPr>
            <w:tcW w:w="1797" w:type="dxa"/>
          </w:tcPr>
          <w:p w14:paraId="523C6E71" w14:textId="470DAB66" w:rsidR="00CB57D2" w:rsidRDefault="00CB57D2" w:rsidP="0009349B">
            <w:pPr>
              <w:pStyle w:val="Brdtext"/>
              <w:rPr>
                <w:rFonts w:asciiTheme="minorHAnsi" w:hAnsiTheme="minorHAnsi" w:cstheme="majorHAnsi"/>
              </w:rPr>
            </w:pPr>
          </w:p>
        </w:tc>
      </w:tr>
    </w:tbl>
    <w:p w14:paraId="24080398" w14:textId="77777777" w:rsidR="001A460F" w:rsidRPr="00E13817" w:rsidRDefault="001A460F" w:rsidP="0009349B">
      <w:pPr>
        <w:pStyle w:val="Brdtext"/>
        <w:rPr>
          <w:rFonts w:asciiTheme="minorHAnsi" w:hAnsiTheme="minorHAnsi" w:cstheme="majorHAnsi"/>
        </w:rPr>
      </w:pPr>
    </w:p>
    <w:p w14:paraId="627E9DD5"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C979EB" w14:paraId="3773AA15" w14:textId="77777777" w:rsidTr="000F5DA6">
        <w:tc>
          <w:tcPr>
            <w:tcW w:w="9212" w:type="dxa"/>
            <w:gridSpan w:val="2"/>
          </w:tcPr>
          <w:p w14:paraId="73484B0A" w14:textId="77777777" w:rsidR="00C979EB" w:rsidRDefault="00C979EB" w:rsidP="000F5DA6">
            <w:pPr>
              <w:tabs>
                <w:tab w:val="clear" w:pos="5041"/>
              </w:tabs>
              <w:spacing w:after="0"/>
            </w:pPr>
            <w:r>
              <w:t>Grundläggande förhållanden (Bilaga III, Tabell 1)</w:t>
            </w:r>
          </w:p>
        </w:tc>
      </w:tr>
      <w:tr w:rsidR="00C979EB" w14:paraId="75E3318B" w14:textId="77777777" w:rsidTr="000F5DA6">
        <w:tc>
          <w:tcPr>
            <w:tcW w:w="4606" w:type="dxa"/>
          </w:tcPr>
          <w:p w14:paraId="6B50AD63" w14:textId="77777777" w:rsidR="00C979EB" w:rsidRDefault="00C979EB" w:rsidP="000F5DA6">
            <w:pPr>
              <w:tabs>
                <w:tab w:val="clear" w:pos="5041"/>
              </w:tabs>
              <w:spacing w:after="0"/>
            </w:pPr>
            <w:r w:rsidRPr="00072A56">
              <w:t>Grupper av arter av marina fåglar, däggdjur, reptiler, fiskar och bläckfiskar i den marina regionen eller delregionen</w:t>
            </w:r>
          </w:p>
        </w:tc>
        <w:tc>
          <w:tcPr>
            <w:tcW w:w="4606" w:type="dxa"/>
          </w:tcPr>
          <w:p w14:paraId="11188CEE" w14:textId="77777777" w:rsidR="00C979EB" w:rsidRDefault="00C979EB" w:rsidP="000F5DA6">
            <w:pPr>
              <w:tabs>
                <w:tab w:val="clear" w:pos="5041"/>
              </w:tabs>
              <w:spacing w:after="0"/>
            </w:pPr>
            <w:r w:rsidRPr="00072A56">
              <w:t>Geografisk och tidsmässig variation per art eller population:</w:t>
            </w:r>
            <w:r>
              <w:t xml:space="preserve"> </w:t>
            </w:r>
            <w:r w:rsidRPr="00072A56">
              <w:t>utbredning, abundans och/eller biomassa</w:t>
            </w:r>
            <w:r>
              <w:t xml:space="preserve"> </w:t>
            </w:r>
          </w:p>
        </w:tc>
      </w:tr>
      <w:tr w:rsidR="00C979EB" w14:paraId="5244E6B5" w14:textId="77777777" w:rsidTr="000F5DA6">
        <w:tc>
          <w:tcPr>
            <w:tcW w:w="9212" w:type="dxa"/>
            <w:gridSpan w:val="2"/>
          </w:tcPr>
          <w:p w14:paraId="27F08C58" w14:textId="77777777" w:rsidR="00C979EB" w:rsidRDefault="00C979EB" w:rsidP="000F5DA6">
            <w:pPr>
              <w:tabs>
                <w:tab w:val="clear" w:pos="5041"/>
              </w:tabs>
              <w:spacing w:after="0"/>
            </w:pPr>
            <w:r>
              <w:t>Belastning och påverkan (Bilaga III, Tabell 2)</w:t>
            </w:r>
          </w:p>
        </w:tc>
      </w:tr>
      <w:tr w:rsidR="00C979EB" w14:paraId="6FBE0376" w14:textId="77777777" w:rsidTr="000F5DA6">
        <w:tc>
          <w:tcPr>
            <w:tcW w:w="4606" w:type="dxa"/>
          </w:tcPr>
          <w:p w14:paraId="38538652" w14:textId="77777777" w:rsidR="00C979EB" w:rsidRDefault="00C979EB" w:rsidP="000F5DA6">
            <w:pPr>
              <w:tabs>
                <w:tab w:val="clear" w:pos="5041"/>
              </w:tabs>
              <w:spacing w:after="0"/>
            </w:pPr>
            <w:r w:rsidRPr="00072A56">
              <w:t xml:space="preserve">Biologiskt </w:t>
            </w:r>
          </w:p>
        </w:tc>
        <w:tc>
          <w:tcPr>
            <w:tcW w:w="4606" w:type="dxa"/>
          </w:tcPr>
          <w:p w14:paraId="7754C616" w14:textId="77777777" w:rsidR="00C979EB" w:rsidRDefault="00C979EB" w:rsidP="000F5DA6">
            <w:pPr>
              <w:tabs>
                <w:tab w:val="clear" w:pos="5041"/>
              </w:tabs>
              <w:spacing w:after="0"/>
            </w:pPr>
            <w:r w:rsidRPr="00072A56">
              <w:t>Tillförsel av patogena mikroorganismer</w:t>
            </w:r>
          </w:p>
          <w:p w14:paraId="0A403314" w14:textId="77777777" w:rsidR="00C979EB" w:rsidRDefault="00C979EB" w:rsidP="000F5DA6">
            <w:pPr>
              <w:tabs>
                <w:tab w:val="clear" w:pos="5041"/>
              </w:tabs>
              <w:spacing w:after="0"/>
            </w:pPr>
          </w:p>
          <w:p w14:paraId="5BF44E1F" w14:textId="77777777" w:rsidR="00C979EB" w:rsidRDefault="00C979EB" w:rsidP="000F5DA6">
            <w:pPr>
              <w:tabs>
                <w:tab w:val="clear" w:pos="5041"/>
              </w:tabs>
              <w:spacing w:after="0"/>
            </w:pPr>
            <w:r w:rsidRPr="00072A56">
              <w:t>Uttag av, eller dödlighet/skada hos, vilda arter, däribland mål- och icke-målarter (genom yrkes- och fritidsfiske och annan verksamhet)</w:t>
            </w:r>
          </w:p>
          <w:p w14:paraId="4665DC85" w14:textId="77777777" w:rsidR="00C979EB" w:rsidRDefault="00C979EB" w:rsidP="000F5DA6">
            <w:pPr>
              <w:tabs>
                <w:tab w:val="clear" w:pos="5041"/>
              </w:tabs>
              <w:spacing w:after="0"/>
            </w:pPr>
          </w:p>
          <w:p w14:paraId="4CC9AB50" w14:textId="77777777" w:rsidR="00C979EB" w:rsidRDefault="00C979EB" w:rsidP="000F5DA6">
            <w:pPr>
              <w:tabs>
                <w:tab w:val="clear" w:pos="5041"/>
              </w:tabs>
              <w:spacing w:after="0"/>
            </w:pPr>
            <w:r w:rsidRPr="00072A56">
              <w:t>Störning av arter (t.ex. i lek- rast- och födosöksområden) på grund av mänsklig närvaro</w:t>
            </w:r>
          </w:p>
        </w:tc>
      </w:tr>
      <w:tr w:rsidR="00C979EB" w14:paraId="435C15AF" w14:textId="77777777" w:rsidTr="000F5DA6">
        <w:tc>
          <w:tcPr>
            <w:tcW w:w="4606" w:type="dxa"/>
          </w:tcPr>
          <w:p w14:paraId="6797B92E" w14:textId="77777777" w:rsidR="00C979EB" w:rsidRPr="00072A56" w:rsidRDefault="00C979EB" w:rsidP="000F5DA6">
            <w:pPr>
              <w:tabs>
                <w:tab w:val="clear" w:pos="5041"/>
              </w:tabs>
              <w:spacing w:after="0"/>
            </w:pPr>
            <w:r>
              <w:t>Fysiskt</w:t>
            </w:r>
          </w:p>
        </w:tc>
        <w:tc>
          <w:tcPr>
            <w:tcW w:w="4606" w:type="dxa"/>
          </w:tcPr>
          <w:p w14:paraId="42A80888" w14:textId="77777777" w:rsidR="00C979EB" w:rsidRPr="00072A56" w:rsidRDefault="00C979EB" w:rsidP="000F5DA6">
            <w:pPr>
              <w:tabs>
                <w:tab w:val="clear" w:pos="5041"/>
              </w:tabs>
              <w:spacing w:after="0"/>
            </w:pPr>
            <w:r w:rsidRPr="00072A56">
              <w:t>Fysisk förlust (på grund av varaktig förändring av havsbottensubstrat eller havsbottnens morfologi och på grund av utvinning av havsbottensubstrat)</w:t>
            </w:r>
          </w:p>
        </w:tc>
      </w:tr>
      <w:tr w:rsidR="00C979EB" w14:paraId="270F8C44" w14:textId="77777777" w:rsidTr="000F5DA6">
        <w:tc>
          <w:tcPr>
            <w:tcW w:w="4606" w:type="dxa"/>
          </w:tcPr>
          <w:p w14:paraId="3EB8B0F8" w14:textId="77777777" w:rsidR="00C979EB" w:rsidRDefault="00C979EB" w:rsidP="000F5DA6">
            <w:pPr>
              <w:tabs>
                <w:tab w:val="clear" w:pos="5041"/>
              </w:tabs>
              <w:spacing w:after="0"/>
            </w:pPr>
            <w:r w:rsidRPr="00072A56">
              <w:t>Ämnen, skräp och energi</w:t>
            </w:r>
          </w:p>
        </w:tc>
        <w:tc>
          <w:tcPr>
            <w:tcW w:w="4606" w:type="dxa"/>
          </w:tcPr>
          <w:p w14:paraId="4E69DE21" w14:textId="77777777" w:rsidR="00C979EB" w:rsidRDefault="00C979EB" w:rsidP="000F5DA6">
            <w:pPr>
              <w:tabs>
                <w:tab w:val="clear" w:pos="5041"/>
              </w:tabs>
              <w:spacing w:after="0"/>
            </w:pPr>
            <w:r w:rsidRPr="00072A56">
              <w:t>Tillförsel av farliga ämnen (syntetiska ämnen, icke syntetiska ämnen, radionuklider) – diffusa källor, punktkällor, atmosfärisk deposition, akuta händelser</w:t>
            </w:r>
          </w:p>
          <w:p w14:paraId="4E7B6F21" w14:textId="77777777" w:rsidR="00C979EB" w:rsidRDefault="00C979EB" w:rsidP="000F5DA6">
            <w:pPr>
              <w:tabs>
                <w:tab w:val="clear" w:pos="5041"/>
              </w:tabs>
              <w:spacing w:after="0"/>
            </w:pPr>
          </w:p>
          <w:p w14:paraId="70632857" w14:textId="77777777" w:rsidR="00C979EB" w:rsidRPr="00072A56" w:rsidRDefault="00C979EB" w:rsidP="000F5DA6">
            <w:pPr>
              <w:tabs>
                <w:tab w:val="clear" w:pos="5041"/>
              </w:tabs>
              <w:spacing w:after="0"/>
            </w:pPr>
            <w:r w:rsidRPr="00072A56">
              <w:t>Påverkan av antropogent ljud (impulsljud, kontinuerligt ljud)</w:t>
            </w:r>
          </w:p>
        </w:tc>
      </w:tr>
    </w:tbl>
    <w:p w14:paraId="3083849B" w14:textId="77777777" w:rsidR="00A84F48" w:rsidRDefault="00A84F48">
      <w:pPr>
        <w:tabs>
          <w:tab w:val="clear" w:pos="5041"/>
        </w:tabs>
        <w:spacing w:after="0"/>
      </w:pPr>
    </w:p>
    <w:p w14:paraId="4082FF4E" w14:textId="77777777" w:rsidR="00A84F48" w:rsidRDefault="00A84F48">
      <w:pPr>
        <w:tabs>
          <w:tab w:val="clear" w:pos="5041"/>
        </w:tabs>
        <w:spacing w:after="0"/>
      </w:pPr>
    </w:p>
    <w:p w14:paraId="7C893ABC"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3ABD31AD" w14:textId="77777777" w:rsidTr="003B55CE">
        <w:trPr>
          <w:trHeight w:val="1694"/>
        </w:trPr>
        <w:tc>
          <w:tcPr>
            <w:tcW w:w="2376" w:type="dxa"/>
          </w:tcPr>
          <w:p w14:paraId="379F319D" w14:textId="77777777" w:rsidR="00544886" w:rsidRDefault="00544886">
            <w:pPr>
              <w:tabs>
                <w:tab w:val="clear" w:pos="5041"/>
              </w:tabs>
              <w:spacing w:after="0"/>
            </w:pPr>
            <w:r>
              <w:t>Parameter</w:t>
            </w:r>
          </w:p>
        </w:tc>
        <w:tc>
          <w:tcPr>
            <w:tcW w:w="2114" w:type="dxa"/>
          </w:tcPr>
          <w:p w14:paraId="713F1C7D" w14:textId="77777777" w:rsidR="00544886" w:rsidRDefault="00544886">
            <w:pPr>
              <w:tabs>
                <w:tab w:val="clear" w:pos="5041"/>
              </w:tabs>
              <w:spacing w:after="0"/>
            </w:pPr>
            <w:r>
              <w:t>Program resp. underprogram i HaVs övervakningsprogram</w:t>
            </w:r>
          </w:p>
        </w:tc>
        <w:tc>
          <w:tcPr>
            <w:tcW w:w="2293" w:type="dxa"/>
          </w:tcPr>
          <w:p w14:paraId="1D34DA0E" w14:textId="77777777" w:rsidR="00544886" w:rsidRDefault="00544886" w:rsidP="00544886">
            <w:pPr>
              <w:tabs>
                <w:tab w:val="clear" w:pos="5041"/>
              </w:tabs>
              <w:spacing w:after="0"/>
            </w:pPr>
            <w:r>
              <w:t>Dataägare samt databas med hyperlänk</w:t>
            </w:r>
          </w:p>
        </w:tc>
        <w:tc>
          <w:tcPr>
            <w:tcW w:w="2293" w:type="dxa"/>
          </w:tcPr>
          <w:p w14:paraId="0F9DFB45" w14:textId="77777777" w:rsidR="00544886" w:rsidRDefault="00544886" w:rsidP="00544886">
            <w:pPr>
              <w:tabs>
                <w:tab w:val="clear" w:pos="5041"/>
              </w:tabs>
              <w:spacing w:after="0"/>
            </w:pPr>
            <w:r>
              <w:t>Hyperlänk till rådata-snapshot</w:t>
            </w:r>
          </w:p>
        </w:tc>
      </w:tr>
      <w:tr w:rsidR="00544886" w14:paraId="6A54DD82" w14:textId="77777777" w:rsidTr="003B55CE">
        <w:trPr>
          <w:trHeight w:val="277"/>
        </w:trPr>
        <w:tc>
          <w:tcPr>
            <w:tcW w:w="2376" w:type="dxa"/>
          </w:tcPr>
          <w:p w14:paraId="072788C0" w14:textId="77777777" w:rsidR="00544886" w:rsidRPr="0034175C" w:rsidRDefault="00544886">
            <w:pPr>
              <w:tabs>
                <w:tab w:val="clear" w:pos="5041"/>
              </w:tabs>
              <w:spacing w:after="0"/>
              <w:rPr>
                <w:i/>
              </w:rPr>
            </w:pPr>
            <w:r>
              <w:rPr>
                <w:i/>
              </w:rPr>
              <w:t>i</w:t>
            </w:r>
          </w:p>
        </w:tc>
        <w:tc>
          <w:tcPr>
            <w:tcW w:w="2114" w:type="dxa"/>
          </w:tcPr>
          <w:p w14:paraId="12B5EB7E" w14:textId="77777777" w:rsidR="00544886" w:rsidRDefault="00544886">
            <w:pPr>
              <w:tabs>
                <w:tab w:val="clear" w:pos="5041"/>
              </w:tabs>
              <w:spacing w:after="0"/>
            </w:pPr>
          </w:p>
        </w:tc>
        <w:tc>
          <w:tcPr>
            <w:tcW w:w="2293" w:type="dxa"/>
          </w:tcPr>
          <w:p w14:paraId="68180E06" w14:textId="77777777" w:rsidR="00544886" w:rsidRDefault="00544886">
            <w:pPr>
              <w:tabs>
                <w:tab w:val="clear" w:pos="5041"/>
              </w:tabs>
              <w:spacing w:after="0"/>
            </w:pPr>
          </w:p>
        </w:tc>
        <w:tc>
          <w:tcPr>
            <w:tcW w:w="2293" w:type="dxa"/>
          </w:tcPr>
          <w:p w14:paraId="7DDEE06E" w14:textId="77777777" w:rsidR="00544886" w:rsidRDefault="00544886">
            <w:pPr>
              <w:tabs>
                <w:tab w:val="clear" w:pos="5041"/>
              </w:tabs>
              <w:spacing w:after="0"/>
            </w:pPr>
          </w:p>
        </w:tc>
      </w:tr>
      <w:tr w:rsidR="00544886" w14:paraId="0BF82B93" w14:textId="77777777" w:rsidTr="003B55CE">
        <w:trPr>
          <w:trHeight w:val="293"/>
        </w:trPr>
        <w:tc>
          <w:tcPr>
            <w:tcW w:w="2376" w:type="dxa"/>
          </w:tcPr>
          <w:p w14:paraId="54C2C6AD" w14:textId="77777777" w:rsidR="00544886" w:rsidRDefault="00544886">
            <w:pPr>
              <w:tabs>
                <w:tab w:val="clear" w:pos="5041"/>
              </w:tabs>
              <w:spacing w:after="0"/>
            </w:pPr>
            <w:r>
              <w:lastRenderedPageBreak/>
              <w:t>…</w:t>
            </w:r>
          </w:p>
        </w:tc>
        <w:tc>
          <w:tcPr>
            <w:tcW w:w="2114" w:type="dxa"/>
          </w:tcPr>
          <w:p w14:paraId="4F4CBDC1" w14:textId="77777777" w:rsidR="00544886" w:rsidRDefault="00544886">
            <w:pPr>
              <w:tabs>
                <w:tab w:val="clear" w:pos="5041"/>
              </w:tabs>
              <w:spacing w:after="0"/>
            </w:pPr>
          </w:p>
        </w:tc>
        <w:tc>
          <w:tcPr>
            <w:tcW w:w="2293" w:type="dxa"/>
          </w:tcPr>
          <w:p w14:paraId="4E1865F6" w14:textId="77777777" w:rsidR="00544886" w:rsidRDefault="00544886">
            <w:pPr>
              <w:tabs>
                <w:tab w:val="clear" w:pos="5041"/>
              </w:tabs>
              <w:spacing w:after="0"/>
            </w:pPr>
          </w:p>
        </w:tc>
        <w:tc>
          <w:tcPr>
            <w:tcW w:w="2293" w:type="dxa"/>
          </w:tcPr>
          <w:p w14:paraId="190C67D6" w14:textId="77777777" w:rsidR="00544886" w:rsidRDefault="00544886">
            <w:pPr>
              <w:tabs>
                <w:tab w:val="clear" w:pos="5041"/>
              </w:tabs>
              <w:spacing w:after="0"/>
            </w:pPr>
          </w:p>
        </w:tc>
      </w:tr>
    </w:tbl>
    <w:p w14:paraId="4AAC6E09" w14:textId="77777777" w:rsidR="005D132C" w:rsidRDefault="005D132C">
      <w:pPr>
        <w:tabs>
          <w:tab w:val="clear" w:pos="5041"/>
        </w:tabs>
        <w:spacing w:after="0"/>
      </w:pPr>
    </w:p>
    <w:p w14:paraId="54061B9F" w14:textId="77777777" w:rsidR="005D132C" w:rsidRDefault="005D132C">
      <w:pPr>
        <w:tabs>
          <w:tab w:val="clear" w:pos="5041"/>
        </w:tabs>
        <w:spacing w:after="0"/>
      </w:pPr>
    </w:p>
    <w:p w14:paraId="095E8020" w14:textId="77777777" w:rsidR="005D132C" w:rsidRDefault="005D132C">
      <w:pPr>
        <w:tabs>
          <w:tab w:val="clear" w:pos="5041"/>
        </w:tabs>
        <w:spacing w:after="0"/>
      </w:pPr>
    </w:p>
    <w:p w14:paraId="09660B8B" w14:textId="77777777" w:rsidR="00804DBE" w:rsidRDefault="00804DBE">
      <w:pPr>
        <w:tabs>
          <w:tab w:val="clear" w:pos="5041"/>
        </w:tabs>
        <w:spacing w:after="0"/>
      </w:pPr>
      <w:r>
        <w:br w:type="page"/>
      </w:r>
    </w:p>
    <w:p w14:paraId="2AD584A7"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5C4EB423" w14:textId="77777777" w:rsidR="00976CD1" w:rsidRDefault="00976CD1" w:rsidP="004B7657">
      <w:pPr>
        <w:tabs>
          <w:tab w:val="clear" w:pos="5041"/>
        </w:tabs>
      </w:pPr>
      <w:r>
        <w:t>Tabell 1</w:t>
      </w:r>
      <w:r w:rsidR="00B13809">
        <w:t>.</w:t>
      </w:r>
      <w:r>
        <w:t xml:space="preserve"> </w:t>
      </w:r>
      <w:r w:rsidR="00B13809">
        <w:t xml:space="preserve">Förvaltningsområde </w:t>
      </w:r>
      <w:r>
        <w:t>Nordsjön</w:t>
      </w:r>
    </w:p>
    <w:tbl>
      <w:tblPr>
        <w:tblStyle w:val="Tabellrutnt"/>
        <w:tblW w:w="0" w:type="auto"/>
        <w:tblCellMar>
          <w:top w:w="28" w:type="dxa"/>
          <w:bottom w:w="28" w:type="dxa"/>
        </w:tblCellMar>
        <w:tblLook w:val="04A0" w:firstRow="1" w:lastRow="0" w:firstColumn="1" w:lastColumn="0" w:noHBand="0" w:noVBand="1"/>
      </w:tblPr>
      <w:tblGrid>
        <w:gridCol w:w="2151"/>
        <w:gridCol w:w="1533"/>
        <w:gridCol w:w="1407"/>
        <w:gridCol w:w="1784"/>
        <w:gridCol w:w="2187"/>
      </w:tblGrid>
      <w:tr w:rsidR="005215C9" w14:paraId="68768DB8" w14:textId="77777777" w:rsidTr="00C979EB">
        <w:tc>
          <w:tcPr>
            <w:tcW w:w="2151" w:type="dxa"/>
          </w:tcPr>
          <w:p w14:paraId="3AB3F3A0" w14:textId="77777777" w:rsidR="005215C9" w:rsidRPr="00D44830" w:rsidRDefault="005215C9" w:rsidP="003B55CE">
            <w:pPr>
              <w:tabs>
                <w:tab w:val="clear" w:pos="5041"/>
              </w:tabs>
              <w:spacing w:after="0"/>
              <w:rPr>
                <w:rFonts w:asciiTheme="majorHAnsi" w:hAnsiTheme="majorHAnsi" w:cstheme="majorHAnsi"/>
                <w:b/>
                <w:sz w:val="20"/>
                <w:szCs w:val="20"/>
              </w:rPr>
            </w:pPr>
            <w:r w:rsidRPr="00D44830">
              <w:rPr>
                <w:rFonts w:asciiTheme="majorHAnsi" w:hAnsiTheme="majorHAnsi" w:cstheme="majorHAnsi"/>
                <w:b/>
                <w:sz w:val="20"/>
                <w:szCs w:val="20"/>
              </w:rPr>
              <w:t>Bedömningsområde</w:t>
            </w:r>
            <w:r>
              <w:rPr>
                <w:rFonts w:asciiTheme="majorHAnsi" w:hAnsiTheme="majorHAnsi" w:cstheme="majorHAnsi"/>
                <w:b/>
                <w:sz w:val="20"/>
                <w:szCs w:val="20"/>
              </w:rPr>
              <w:t xml:space="preserve"> Havsbassänger</w:t>
            </w:r>
          </w:p>
        </w:tc>
        <w:tc>
          <w:tcPr>
            <w:tcW w:w="1533" w:type="dxa"/>
          </w:tcPr>
          <w:p w14:paraId="249606BC" w14:textId="77777777" w:rsidR="005215C9" w:rsidRPr="00D44830" w:rsidRDefault="005215C9" w:rsidP="003B55C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407" w:type="dxa"/>
          </w:tcPr>
          <w:p w14:paraId="2A8D2A52" w14:textId="77777777" w:rsidR="005215C9" w:rsidRPr="00D44830" w:rsidRDefault="005215C9" w:rsidP="003B55C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784" w:type="dxa"/>
          </w:tcPr>
          <w:p w14:paraId="049D6555" w14:textId="77777777" w:rsidR="005215C9" w:rsidRDefault="005215C9" w:rsidP="003B55C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2187" w:type="dxa"/>
          </w:tcPr>
          <w:p w14:paraId="254523AE" w14:textId="77777777" w:rsidR="005215C9" w:rsidRDefault="005215C9" w:rsidP="003B55C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5215C9" w14:paraId="154CEF7D" w14:textId="77777777" w:rsidTr="00C979EB">
        <w:trPr>
          <w:trHeight w:val="549"/>
        </w:trPr>
        <w:tc>
          <w:tcPr>
            <w:tcW w:w="2151" w:type="dxa"/>
            <w:vAlign w:val="center"/>
          </w:tcPr>
          <w:p w14:paraId="2727BEEF" w14:textId="77777777" w:rsidR="005215C9" w:rsidRPr="00C979EB" w:rsidRDefault="005215C9" w:rsidP="003B55CE">
            <w:pPr>
              <w:tabs>
                <w:tab w:val="clear" w:pos="5041"/>
              </w:tabs>
              <w:spacing w:after="0"/>
              <w:rPr>
                <w:rFonts w:asciiTheme="minorHAnsi" w:hAnsiTheme="minorHAnsi"/>
                <w:sz w:val="18"/>
                <w:szCs w:val="18"/>
              </w:rPr>
            </w:pPr>
            <w:r w:rsidRPr="00C979EB">
              <w:rPr>
                <w:rFonts w:asciiTheme="minorHAnsi" w:hAnsiTheme="minorHAnsi"/>
                <w:sz w:val="18"/>
                <w:szCs w:val="18"/>
              </w:rPr>
              <w:t>Skagerrack</w:t>
            </w:r>
          </w:p>
        </w:tc>
        <w:tc>
          <w:tcPr>
            <w:tcW w:w="1533" w:type="dxa"/>
            <w:vAlign w:val="center"/>
          </w:tcPr>
          <w:p w14:paraId="3AD4B0AA" w14:textId="7E574887" w:rsidR="005215C9" w:rsidRPr="00C979EB" w:rsidRDefault="00DD2930" w:rsidP="003B55CE">
            <w:pPr>
              <w:tabs>
                <w:tab w:val="clear" w:pos="5041"/>
              </w:tabs>
              <w:spacing w:after="0"/>
              <w:rPr>
                <w:rFonts w:asciiTheme="minorHAnsi" w:hAnsiTheme="minorHAnsi"/>
                <w:i/>
                <w:sz w:val="18"/>
                <w:szCs w:val="18"/>
              </w:rPr>
            </w:pPr>
            <w:r w:rsidRPr="00C979EB">
              <w:rPr>
                <w:rFonts w:asciiTheme="minorHAnsi" w:hAnsiTheme="minorHAnsi"/>
                <w:i/>
                <w:sz w:val="18"/>
                <w:szCs w:val="18"/>
              </w:rPr>
              <w:t>Ingen funktionell population</w:t>
            </w:r>
            <w:r w:rsidR="00C979EB">
              <w:rPr>
                <w:rFonts w:asciiTheme="minorHAnsi" w:hAnsiTheme="minorHAnsi"/>
                <w:i/>
                <w:sz w:val="18"/>
                <w:szCs w:val="18"/>
              </w:rPr>
              <w:t>*</w:t>
            </w:r>
          </w:p>
        </w:tc>
        <w:tc>
          <w:tcPr>
            <w:tcW w:w="1407" w:type="dxa"/>
            <w:shd w:val="clear" w:color="auto" w:fill="auto"/>
            <w:vAlign w:val="center"/>
          </w:tcPr>
          <w:p w14:paraId="0C8A3B6F" w14:textId="77777777" w:rsidR="005215C9" w:rsidRPr="00C979EB" w:rsidRDefault="005215C9" w:rsidP="003B55CE">
            <w:pPr>
              <w:tabs>
                <w:tab w:val="clear" w:pos="5041"/>
              </w:tabs>
              <w:spacing w:after="0"/>
              <w:rPr>
                <w:rFonts w:asciiTheme="minorHAnsi" w:hAnsiTheme="minorHAnsi"/>
                <w:sz w:val="18"/>
                <w:szCs w:val="18"/>
              </w:rPr>
            </w:pPr>
          </w:p>
        </w:tc>
        <w:tc>
          <w:tcPr>
            <w:tcW w:w="1784" w:type="dxa"/>
          </w:tcPr>
          <w:p w14:paraId="2E16C45A" w14:textId="77777777" w:rsidR="005215C9" w:rsidRPr="00C979EB" w:rsidRDefault="005215C9" w:rsidP="003B55CE">
            <w:pPr>
              <w:tabs>
                <w:tab w:val="clear" w:pos="5041"/>
              </w:tabs>
              <w:spacing w:after="0"/>
              <w:rPr>
                <w:rFonts w:asciiTheme="minorHAnsi" w:hAnsiTheme="minorHAnsi"/>
                <w:sz w:val="18"/>
                <w:szCs w:val="18"/>
              </w:rPr>
            </w:pPr>
          </w:p>
        </w:tc>
        <w:tc>
          <w:tcPr>
            <w:tcW w:w="2187" w:type="dxa"/>
            <w:shd w:val="clear" w:color="auto" w:fill="auto"/>
            <w:vAlign w:val="center"/>
          </w:tcPr>
          <w:p w14:paraId="3A777EEC" w14:textId="77777777" w:rsidR="005215C9" w:rsidRPr="00C979EB" w:rsidRDefault="005215C9" w:rsidP="003B55CE">
            <w:pPr>
              <w:tabs>
                <w:tab w:val="clear" w:pos="5041"/>
              </w:tabs>
              <w:spacing w:after="0"/>
              <w:rPr>
                <w:rFonts w:asciiTheme="minorHAnsi" w:hAnsiTheme="minorHAnsi"/>
                <w:sz w:val="18"/>
                <w:szCs w:val="18"/>
              </w:rPr>
            </w:pPr>
          </w:p>
        </w:tc>
      </w:tr>
      <w:tr w:rsidR="005215C9" w14:paraId="4C811E90" w14:textId="77777777" w:rsidTr="00C979EB">
        <w:trPr>
          <w:trHeight w:val="613"/>
        </w:trPr>
        <w:tc>
          <w:tcPr>
            <w:tcW w:w="2151" w:type="dxa"/>
            <w:vAlign w:val="center"/>
          </w:tcPr>
          <w:p w14:paraId="438C5A63" w14:textId="77777777" w:rsidR="005215C9" w:rsidRPr="00C979EB" w:rsidRDefault="005215C9" w:rsidP="003B55CE">
            <w:pPr>
              <w:tabs>
                <w:tab w:val="clear" w:pos="5041"/>
              </w:tabs>
              <w:spacing w:after="0"/>
              <w:rPr>
                <w:rFonts w:asciiTheme="minorHAnsi" w:hAnsiTheme="minorHAnsi"/>
                <w:sz w:val="18"/>
                <w:szCs w:val="18"/>
              </w:rPr>
            </w:pPr>
            <w:r w:rsidRPr="00C979EB">
              <w:rPr>
                <w:rFonts w:asciiTheme="minorHAnsi" w:hAnsiTheme="minorHAnsi"/>
                <w:sz w:val="18"/>
                <w:szCs w:val="18"/>
              </w:rPr>
              <w:t>Kattegatt</w:t>
            </w:r>
          </w:p>
        </w:tc>
        <w:tc>
          <w:tcPr>
            <w:tcW w:w="1533" w:type="dxa"/>
            <w:vAlign w:val="center"/>
          </w:tcPr>
          <w:p w14:paraId="7A7468D8" w14:textId="44F30435" w:rsidR="005215C9" w:rsidRPr="00C979EB" w:rsidRDefault="003A3307" w:rsidP="003B55CE">
            <w:pPr>
              <w:tabs>
                <w:tab w:val="clear" w:pos="5041"/>
              </w:tabs>
              <w:spacing w:after="0"/>
              <w:rPr>
                <w:rFonts w:asciiTheme="minorHAnsi" w:hAnsiTheme="minorHAnsi"/>
                <w:i/>
                <w:sz w:val="18"/>
                <w:szCs w:val="18"/>
              </w:rPr>
            </w:pPr>
            <w:r w:rsidRPr="00C979EB">
              <w:rPr>
                <w:rFonts w:asciiTheme="minorHAnsi" w:hAnsiTheme="minorHAnsi"/>
                <w:i/>
                <w:sz w:val="18"/>
                <w:szCs w:val="18"/>
              </w:rPr>
              <w:t>Ingen funktionell population</w:t>
            </w:r>
            <w:r w:rsidR="00C979EB">
              <w:rPr>
                <w:rFonts w:asciiTheme="minorHAnsi" w:hAnsiTheme="minorHAnsi"/>
                <w:i/>
                <w:sz w:val="18"/>
                <w:szCs w:val="18"/>
              </w:rPr>
              <w:t>*</w:t>
            </w:r>
          </w:p>
        </w:tc>
        <w:tc>
          <w:tcPr>
            <w:tcW w:w="1407" w:type="dxa"/>
            <w:shd w:val="clear" w:color="auto" w:fill="auto"/>
            <w:vAlign w:val="center"/>
          </w:tcPr>
          <w:p w14:paraId="5EE72159" w14:textId="77777777" w:rsidR="005215C9" w:rsidRPr="00C979EB" w:rsidRDefault="005215C9" w:rsidP="003B55CE">
            <w:pPr>
              <w:tabs>
                <w:tab w:val="clear" w:pos="5041"/>
              </w:tabs>
              <w:spacing w:after="0"/>
              <w:rPr>
                <w:rFonts w:asciiTheme="minorHAnsi" w:hAnsiTheme="minorHAnsi"/>
                <w:sz w:val="18"/>
                <w:szCs w:val="18"/>
              </w:rPr>
            </w:pPr>
          </w:p>
        </w:tc>
        <w:tc>
          <w:tcPr>
            <w:tcW w:w="1784" w:type="dxa"/>
          </w:tcPr>
          <w:p w14:paraId="63F74F56" w14:textId="77777777" w:rsidR="005215C9" w:rsidRPr="00C979EB" w:rsidRDefault="005215C9" w:rsidP="003B55CE">
            <w:pPr>
              <w:tabs>
                <w:tab w:val="clear" w:pos="5041"/>
              </w:tabs>
              <w:spacing w:after="0"/>
              <w:rPr>
                <w:rFonts w:asciiTheme="minorHAnsi" w:hAnsiTheme="minorHAnsi"/>
                <w:sz w:val="18"/>
                <w:szCs w:val="18"/>
              </w:rPr>
            </w:pPr>
          </w:p>
        </w:tc>
        <w:tc>
          <w:tcPr>
            <w:tcW w:w="2187" w:type="dxa"/>
            <w:shd w:val="clear" w:color="auto" w:fill="auto"/>
            <w:vAlign w:val="center"/>
          </w:tcPr>
          <w:p w14:paraId="21AB87B0" w14:textId="77777777" w:rsidR="005215C9" w:rsidRPr="00C979EB" w:rsidRDefault="005215C9" w:rsidP="003B55CE">
            <w:pPr>
              <w:tabs>
                <w:tab w:val="clear" w:pos="5041"/>
              </w:tabs>
              <w:spacing w:after="0"/>
              <w:rPr>
                <w:rFonts w:asciiTheme="minorHAnsi" w:hAnsiTheme="minorHAnsi"/>
                <w:sz w:val="18"/>
                <w:szCs w:val="18"/>
              </w:rPr>
            </w:pPr>
          </w:p>
        </w:tc>
      </w:tr>
      <w:tr w:rsidR="005215C9" w14:paraId="4860A0E8" w14:textId="77777777" w:rsidTr="00B028DB">
        <w:trPr>
          <w:trHeight w:val="681"/>
        </w:trPr>
        <w:tc>
          <w:tcPr>
            <w:tcW w:w="2151" w:type="dxa"/>
            <w:vAlign w:val="center"/>
          </w:tcPr>
          <w:p w14:paraId="107E59ED" w14:textId="39AEC8D0" w:rsidR="005215C9" w:rsidRPr="00C979EB" w:rsidRDefault="005215C9" w:rsidP="003B55CE">
            <w:pPr>
              <w:tabs>
                <w:tab w:val="clear" w:pos="5041"/>
              </w:tabs>
              <w:spacing w:after="0"/>
              <w:rPr>
                <w:rFonts w:asciiTheme="minorHAnsi" w:hAnsiTheme="minorHAnsi"/>
                <w:sz w:val="18"/>
                <w:szCs w:val="18"/>
              </w:rPr>
            </w:pPr>
            <w:r w:rsidRPr="00C979EB">
              <w:rPr>
                <w:rFonts w:asciiTheme="minorHAnsi" w:hAnsiTheme="minorHAnsi"/>
                <w:sz w:val="18"/>
                <w:szCs w:val="18"/>
              </w:rPr>
              <w:t>Öresund (norr om Öresundsbron)</w:t>
            </w:r>
            <w:r w:rsidR="00C979EB">
              <w:rPr>
                <w:rFonts w:asciiTheme="minorHAnsi" w:hAnsiTheme="minorHAnsi"/>
                <w:sz w:val="18"/>
                <w:szCs w:val="18"/>
              </w:rPr>
              <w:t>**</w:t>
            </w:r>
          </w:p>
        </w:tc>
        <w:tc>
          <w:tcPr>
            <w:tcW w:w="1533" w:type="dxa"/>
            <w:vAlign w:val="center"/>
          </w:tcPr>
          <w:p w14:paraId="5A4C83E1" w14:textId="77777777" w:rsidR="005215C9" w:rsidRPr="00C979EB" w:rsidRDefault="003A3307" w:rsidP="003B55CE">
            <w:pPr>
              <w:tabs>
                <w:tab w:val="clear" w:pos="5041"/>
              </w:tabs>
              <w:spacing w:after="0"/>
              <w:rPr>
                <w:rFonts w:asciiTheme="minorHAnsi" w:hAnsiTheme="minorHAnsi"/>
                <w:sz w:val="18"/>
                <w:szCs w:val="18"/>
              </w:rPr>
            </w:pPr>
            <w:r w:rsidRPr="00C979EB">
              <w:rPr>
                <w:rFonts w:asciiTheme="minorHAnsi" w:hAnsiTheme="minorHAnsi"/>
                <w:sz w:val="18"/>
                <w:szCs w:val="18"/>
              </w:rPr>
              <w:t>Utbredning som 1880</w:t>
            </w:r>
          </w:p>
        </w:tc>
        <w:tc>
          <w:tcPr>
            <w:tcW w:w="1407" w:type="dxa"/>
            <w:shd w:val="clear" w:color="auto" w:fill="auto"/>
            <w:vAlign w:val="center"/>
          </w:tcPr>
          <w:p w14:paraId="446C4413" w14:textId="77777777" w:rsidR="005215C9" w:rsidRPr="00C979EB" w:rsidRDefault="006F7BEC" w:rsidP="003B55CE">
            <w:pPr>
              <w:tabs>
                <w:tab w:val="clear" w:pos="5041"/>
              </w:tabs>
              <w:spacing w:after="0"/>
              <w:rPr>
                <w:rFonts w:asciiTheme="minorHAnsi" w:hAnsiTheme="minorHAnsi"/>
                <w:sz w:val="18"/>
                <w:szCs w:val="18"/>
              </w:rPr>
            </w:pPr>
            <w:r w:rsidRPr="00C979EB">
              <w:rPr>
                <w:rFonts w:asciiTheme="minorHAnsi" w:hAnsiTheme="minorHAnsi"/>
                <w:sz w:val="18"/>
                <w:szCs w:val="18"/>
              </w:rPr>
              <w:t>Mindre utbredning</w:t>
            </w:r>
          </w:p>
        </w:tc>
        <w:tc>
          <w:tcPr>
            <w:tcW w:w="1784" w:type="dxa"/>
            <w:shd w:val="clear" w:color="auto" w:fill="C00000"/>
          </w:tcPr>
          <w:p w14:paraId="087C77FB" w14:textId="77777777" w:rsidR="005215C9" w:rsidRPr="00B028DB" w:rsidRDefault="006F7BEC" w:rsidP="003B55CE">
            <w:pPr>
              <w:tabs>
                <w:tab w:val="clear" w:pos="5041"/>
              </w:tabs>
              <w:spacing w:after="0"/>
              <w:rPr>
                <w:rFonts w:asciiTheme="minorHAnsi" w:hAnsiTheme="minorHAnsi"/>
                <w:color w:val="FFFFFF" w:themeColor="background1"/>
                <w:sz w:val="18"/>
                <w:szCs w:val="18"/>
              </w:rPr>
            </w:pPr>
            <w:r w:rsidRPr="00B028DB">
              <w:rPr>
                <w:rFonts w:asciiTheme="minorHAnsi" w:hAnsiTheme="minorHAnsi"/>
                <w:color w:val="FFFFFF" w:themeColor="background1"/>
                <w:sz w:val="18"/>
                <w:szCs w:val="18"/>
              </w:rPr>
              <w:t>Ej god status</w:t>
            </w:r>
          </w:p>
        </w:tc>
        <w:tc>
          <w:tcPr>
            <w:tcW w:w="2187" w:type="dxa"/>
            <w:shd w:val="clear" w:color="auto" w:fill="auto"/>
            <w:vAlign w:val="center"/>
          </w:tcPr>
          <w:p w14:paraId="2A137AF4" w14:textId="77777777" w:rsidR="005215C9" w:rsidRPr="00C979EB" w:rsidRDefault="006F7BEC" w:rsidP="003B55CE">
            <w:pPr>
              <w:tabs>
                <w:tab w:val="clear" w:pos="5041"/>
              </w:tabs>
              <w:spacing w:after="0"/>
              <w:rPr>
                <w:rFonts w:asciiTheme="minorHAnsi" w:hAnsiTheme="minorHAnsi"/>
                <w:color w:val="FFFFFF" w:themeColor="background1"/>
                <w:sz w:val="18"/>
                <w:szCs w:val="18"/>
              </w:rPr>
            </w:pPr>
            <w:r w:rsidRPr="00C979EB">
              <w:rPr>
                <w:rFonts w:asciiTheme="minorHAnsi" w:hAnsiTheme="minorHAnsi"/>
                <w:color w:val="000000" w:themeColor="text1"/>
                <w:sz w:val="18"/>
                <w:szCs w:val="18"/>
              </w:rPr>
              <w:t>Hög</w:t>
            </w:r>
          </w:p>
        </w:tc>
      </w:tr>
      <w:tr w:rsidR="00EF0761" w14:paraId="167C20B0" w14:textId="77777777" w:rsidTr="00C979EB">
        <w:trPr>
          <w:trHeight w:val="681"/>
        </w:trPr>
        <w:tc>
          <w:tcPr>
            <w:tcW w:w="9062" w:type="dxa"/>
            <w:gridSpan w:val="5"/>
            <w:vAlign w:val="center"/>
          </w:tcPr>
          <w:p w14:paraId="2D5C6C22" w14:textId="77777777" w:rsidR="00EF0761" w:rsidRDefault="00C979EB" w:rsidP="003B55CE">
            <w:pPr>
              <w:tabs>
                <w:tab w:val="clear" w:pos="5041"/>
              </w:tabs>
              <w:spacing w:after="0"/>
              <w:rPr>
                <w:sz w:val="18"/>
                <w:szCs w:val="18"/>
              </w:rPr>
            </w:pPr>
            <w:r>
              <w:rPr>
                <w:sz w:val="18"/>
                <w:szCs w:val="18"/>
              </w:rPr>
              <w:t xml:space="preserve">* </w:t>
            </w:r>
            <w:r w:rsidR="003A3307">
              <w:rPr>
                <w:sz w:val="18"/>
                <w:szCs w:val="18"/>
              </w:rPr>
              <w:t>Gråsälen utrotades i Skagerrak före 1750 och försvann som funktionell population i Kattegatt 1930. De för nuvarande c;a 150 gräsälarna är en blandning av Baltiska och Atlantiska individer.</w:t>
            </w:r>
          </w:p>
          <w:p w14:paraId="2A808A42" w14:textId="77777777" w:rsidR="00C979EB" w:rsidRDefault="00C979EB" w:rsidP="003B55CE">
            <w:pPr>
              <w:tabs>
                <w:tab w:val="clear" w:pos="5041"/>
              </w:tabs>
              <w:spacing w:after="0"/>
              <w:rPr>
                <w:sz w:val="18"/>
                <w:szCs w:val="18"/>
              </w:rPr>
            </w:pPr>
          </w:p>
          <w:p w14:paraId="3E09BBF3" w14:textId="325B6DFA" w:rsidR="00C979EB" w:rsidRPr="002047A7" w:rsidRDefault="00C979EB" w:rsidP="003B55CE">
            <w:pPr>
              <w:tabs>
                <w:tab w:val="clear" w:pos="5041"/>
              </w:tabs>
              <w:spacing w:after="0"/>
              <w:rPr>
                <w:rFonts w:asciiTheme="minorHAnsi" w:hAnsiTheme="minorHAnsi"/>
                <w:color w:val="FFFFFF" w:themeColor="background1"/>
                <w:sz w:val="18"/>
                <w:szCs w:val="18"/>
              </w:rPr>
            </w:pPr>
            <w:r>
              <w:rPr>
                <w:sz w:val="18"/>
                <w:szCs w:val="18"/>
              </w:rPr>
              <w:t>** Inkludera både Öresunds kustvatten och Skånes kustvatten</w:t>
            </w:r>
          </w:p>
        </w:tc>
      </w:tr>
    </w:tbl>
    <w:p w14:paraId="32FEB763" w14:textId="77777777" w:rsidR="00C76A0C" w:rsidRDefault="00C76A0C">
      <w:pPr>
        <w:tabs>
          <w:tab w:val="clear" w:pos="5041"/>
        </w:tabs>
        <w:spacing w:after="0"/>
      </w:pPr>
    </w:p>
    <w:p w14:paraId="1B784560" w14:textId="77777777" w:rsidR="001A460F" w:rsidRDefault="00B13809" w:rsidP="004B7657">
      <w:pPr>
        <w:tabs>
          <w:tab w:val="clear" w:pos="5041"/>
        </w:tabs>
      </w:pPr>
      <w:r>
        <w:t>Tabell 2. Förvaltningsområde Östersjön</w:t>
      </w:r>
    </w:p>
    <w:p w14:paraId="700A3955"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0" w:type="auto"/>
        <w:tblLayout w:type="fixed"/>
        <w:tblCellMar>
          <w:top w:w="28" w:type="dxa"/>
          <w:bottom w:w="28" w:type="dxa"/>
        </w:tblCellMar>
        <w:tblLook w:val="04A0" w:firstRow="1" w:lastRow="0" w:firstColumn="1" w:lastColumn="0" w:noHBand="0" w:noVBand="1"/>
      </w:tblPr>
      <w:tblGrid>
        <w:gridCol w:w="3007"/>
        <w:gridCol w:w="1537"/>
        <w:gridCol w:w="1496"/>
        <w:gridCol w:w="1468"/>
        <w:gridCol w:w="1553"/>
      </w:tblGrid>
      <w:tr w:rsidR="00475B09" w14:paraId="7741D3D7" w14:textId="77777777" w:rsidTr="00B028DB">
        <w:tc>
          <w:tcPr>
            <w:tcW w:w="3007" w:type="dxa"/>
          </w:tcPr>
          <w:p w14:paraId="53465A54" w14:textId="77777777"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p>
        </w:tc>
        <w:tc>
          <w:tcPr>
            <w:tcW w:w="1537" w:type="dxa"/>
          </w:tcPr>
          <w:p w14:paraId="4D042A72"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496" w:type="dxa"/>
          </w:tcPr>
          <w:p w14:paraId="33DD40C4"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468" w:type="dxa"/>
          </w:tcPr>
          <w:p w14:paraId="4A0A6184"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553" w:type="dxa"/>
          </w:tcPr>
          <w:p w14:paraId="0B4BD548"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C979EB" w14:paraId="0E103A07" w14:textId="77777777" w:rsidTr="00B028DB">
        <w:tc>
          <w:tcPr>
            <w:tcW w:w="3007" w:type="dxa"/>
            <w:vAlign w:val="center"/>
          </w:tcPr>
          <w:p w14:paraId="3B8B9DA6"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Öresund</w:t>
            </w:r>
            <w:r>
              <w:rPr>
                <w:rFonts w:asciiTheme="minorHAnsi" w:hAnsiTheme="minorHAnsi"/>
                <w:sz w:val="18"/>
                <w:szCs w:val="18"/>
              </w:rPr>
              <w:t xml:space="preserve"> (söder om Öresundsbron) </w:t>
            </w:r>
          </w:p>
        </w:tc>
        <w:tc>
          <w:tcPr>
            <w:tcW w:w="1537" w:type="dxa"/>
          </w:tcPr>
          <w:p w14:paraId="762BBEF2" w14:textId="77777777" w:rsidR="00C979EB" w:rsidRDefault="00C979EB">
            <w:r w:rsidRPr="00D606A2">
              <w:rPr>
                <w:rFonts w:asciiTheme="minorHAnsi" w:hAnsiTheme="minorHAnsi"/>
                <w:sz w:val="18"/>
                <w:szCs w:val="18"/>
              </w:rPr>
              <w:t>Utbredning som 1880</w:t>
            </w:r>
          </w:p>
        </w:tc>
        <w:tc>
          <w:tcPr>
            <w:tcW w:w="1496" w:type="dxa"/>
            <w:vAlign w:val="center"/>
          </w:tcPr>
          <w:p w14:paraId="07493B5C" w14:textId="77777777" w:rsidR="00C979EB" w:rsidRPr="00CE6559" w:rsidRDefault="00C979EB" w:rsidP="00D05BBE">
            <w:pPr>
              <w:tabs>
                <w:tab w:val="clear" w:pos="5041"/>
              </w:tabs>
              <w:spacing w:after="0"/>
              <w:rPr>
                <w:sz w:val="18"/>
                <w:szCs w:val="18"/>
              </w:rPr>
            </w:pPr>
            <w:r>
              <w:rPr>
                <w:sz w:val="18"/>
                <w:szCs w:val="18"/>
              </w:rPr>
              <w:t>Mindre</w:t>
            </w:r>
          </w:p>
        </w:tc>
        <w:tc>
          <w:tcPr>
            <w:tcW w:w="1468" w:type="dxa"/>
            <w:shd w:val="clear" w:color="auto" w:fill="C00000"/>
          </w:tcPr>
          <w:p w14:paraId="1F76EC33" w14:textId="77777777" w:rsidR="00C979EB" w:rsidRPr="00CE6559" w:rsidRDefault="00C979EB" w:rsidP="00B028DB">
            <w:pPr>
              <w:tabs>
                <w:tab w:val="clear" w:pos="5041"/>
              </w:tabs>
              <w:spacing w:after="0"/>
              <w:rPr>
                <w:sz w:val="18"/>
                <w:szCs w:val="18"/>
              </w:rPr>
            </w:pPr>
            <w:r>
              <w:rPr>
                <w:sz w:val="18"/>
                <w:szCs w:val="18"/>
              </w:rPr>
              <w:t>Ej god status</w:t>
            </w:r>
          </w:p>
        </w:tc>
        <w:tc>
          <w:tcPr>
            <w:tcW w:w="1553" w:type="dxa"/>
          </w:tcPr>
          <w:p w14:paraId="305027B6" w14:textId="77777777" w:rsidR="00C979EB" w:rsidRDefault="00C979EB">
            <w:r w:rsidRPr="001B433C">
              <w:rPr>
                <w:sz w:val="18"/>
                <w:szCs w:val="18"/>
              </w:rPr>
              <w:t>Hög</w:t>
            </w:r>
          </w:p>
        </w:tc>
      </w:tr>
      <w:tr w:rsidR="00C979EB" w14:paraId="7C1145E1" w14:textId="77777777" w:rsidTr="00B028DB">
        <w:tc>
          <w:tcPr>
            <w:tcW w:w="3007" w:type="dxa"/>
            <w:vAlign w:val="center"/>
          </w:tcPr>
          <w:p w14:paraId="4397CCF3"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Arkonahavet och södra Öresund</w:t>
            </w:r>
          </w:p>
        </w:tc>
        <w:tc>
          <w:tcPr>
            <w:tcW w:w="1537" w:type="dxa"/>
          </w:tcPr>
          <w:p w14:paraId="319E4C90" w14:textId="77777777" w:rsidR="00C979EB" w:rsidRDefault="00C979EB">
            <w:r w:rsidRPr="00D606A2">
              <w:rPr>
                <w:rFonts w:asciiTheme="minorHAnsi" w:hAnsiTheme="minorHAnsi"/>
                <w:sz w:val="18"/>
                <w:szCs w:val="18"/>
              </w:rPr>
              <w:t>Utbredning som 1880</w:t>
            </w:r>
          </w:p>
        </w:tc>
        <w:tc>
          <w:tcPr>
            <w:tcW w:w="1496" w:type="dxa"/>
          </w:tcPr>
          <w:p w14:paraId="20EBF254" w14:textId="77777777" w:rsidR="00C979EB" w:rsidRDefault="00C979EB">
            <w:r w:rsidRPr="009E1D6C">
              <w:rPr>
                <w:sz w:val="18"/>
                <w:szCs w:val="18"/>
              </w:rPr>
              <w:t>Mindre</w:t>
            </w:r>
          </w:p>
        </w:tc>
        <w:tc>
          <w:tcPr>
            <w:tcW w:w="1468" w:type="dxa"/>
            <w:shd w:val="clear" w:color="auto" w:fill="C00000"/>
          </w:tcPr>
          <w:p w14:paraId="16BC34F8" w14:textId="77777777" w:rsidR="00C979EB" w:rsidRPr="00CE6559" w:rsidRDefault="00C979EB" w:rsidP="00B028DB">
            <w:pPr>
              <w:tabs>
                <w:tab w:val="clear" w:pos="5041"/>
              </w:tabs>
              <w:spacing w:after="0"/>
              <w:rPr>
                <w:sz w:val="18"/>
                <w:szCs w:val="18"/>
              </w:rPr>
            </w:pPr>
            <w:r>
              <w:rPr>
                <w:sz w:val="18"/>
                <w:szCs w:val="18"/>
              </w:rPr>
              <w:t>Ej god status</w:t>
            </w:r>
          </w:p>
        </w:tc>
        <w:tc>
          <w:tcPr>
            <w:tcW w:w="1553" w:type="dxa"/>
          </w:tcPr>
          <w:p w14:paraId="4D48C743" w14:textId="77777777" w:rsidR="00C979EB" w:rsidRDefault="00C979EB">
            <w:r w:rsidRPr="001B433C">
              <w:rPr>
                <w:sz w:val="18"/>
                <w:szCs w:val="18"/>
              </w:rPr>
              <w:t>Hög</w:t>
            </w:r>
          </w:p>
        </w:tc>
      </w:tr>
      <w:tr w:rsidR="00C979EB" w14:paraId="69DC2CC9" w14:textId="77777777" w:rsidTr="00B028DB">
        <w:tc>
          <w:tcPr>
            <w:tcW w:w="3007" w:type="dxa"/>
            <w:vAlign w:val="center"/>
          </w:tcPr>
          <w:p w14:paraId="0DD0E2F1"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Bornholmshavet och Hanöbukten</w:t>
            </w:r>
          </w:p>
        </w:tc>
        <w:tc>
          <w:tcPr>
            <w:tcW w:w="1537" w:type="dxa"/>
          </w:tcPr>
          <w:p w14:paraId="219EE4CF" w14:textId="77777777" w:rsidR="00C979EB" w:rsidRDefault="00C979EB">
            <w:r w:rsidRPr="00D606A2">
              <w:rPr>
                <w:rFonts w:asciiTheme="minorHAnsi" w:hAnsiTheme="minorHAnsi"/>
                <w:sz w:val="18"/>
                <w:szCs w:val="18"/>
              </w:rPr>
              <w:t>Utbredning som 1880</w:t>
            </w:r>
          </w:p>
        </w:tc>
        <w:tc>
          <w:tcPr>
            <w:tcW w:w="1496" w:type="dxa"/>
          </w:tcPr>
          <w:p w14:paraId="67BCA7F2" w14:textId="77777777" w:rsidR="00C979EB" w:rsidRDefault="00C979EB">
            <w:r w:rsidRPr="009E1D6C">
              <w:rPr>
                <w:sz w:val="18"/>
                <w:szCs w:val="18"/>
              </w:rPr>
              <w:t>Mindre</w:t>
            </w:r>
          </w:p>
        </w:tc>
        <w:tc>
          <w:tcPr>
            <w:tcW w:w="1468" w:type="dxa"/>
            <w:shd w:val="clear" w:color="auto" w:fill="C00000"/>
          </w:tcPr>
          <w:p w14:paraId="4B83EB72" w14:textId="77777777" w:rsidR="00C979EB" w:rsidRPr="00CE6559" w:rsidRDefault="00C979EB" w:rsidP="00B028DB">
            <w:pPr>
              <w:tabs>
                <w:tab w:val="clear" w:pos="5041"/>
              </w:tabs>
              <w:spacing w:after="0"/>
              <w:rPr>
                <w:sz w:val="18"/>
                <w:szCs w:val="18"/>
              </w:rPr>
            </w:pPr>
            <w:r>
              <w:rPr>
                <w:sz w:val="18"/>
                <w:szCs w:val="18"/>
              </w:rPr>
              <w:t>Ej god status</w:t>
            </w:r>
          </w:p>
        </w:tc>
        <w:tc>
          <w:tcPr>
            <w:tcW w:w="1553" w:type="dxa"/>
          </w:tcPr>
          <w:p w14:paraId="1EEC49E9" w14:textId="77777777" w:rsidR="00C979EB" w:rsidRDefault="00C979EB">
            <w:r w:rsidRPr="001B433C">
              <w:rPr>
                <w:sz w:val="18"/>
                <w:szCs w:val="18"/>
              </w:rPr>
              <w:t>Hög</w:t>
            </w:r>
          </w:p>
        </w:tc>
      </w:tr>
      <w:tr w:rsidR="00C979EB" w14:paraId="513BC307" w14:textId="77777777" w:rsidTr="00B028DB">
        <w:tc>
          <w:tcPr>
            <w:tcW w:w="3007" w:type="dxa"/>
            <w:vAlign w:val="center"/>
          </w:tcPr>
          <w:p w14:paraId="5A365F1C"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Östra Gotlandshavet</w:t>
            </w:r>
          </w:p>
        </w:tc>
        <w:tc>
          <w:tcPr>
            <w:tcW w:w="1537" w:type="dxa"/>
          </w:tcPr>
          <w:p w14:paraId="72EB8D5C" w14:textId="77777777" w:rsidR="00C979EB" w:rsidRDefault="00C979EB">
            <w:r w:rsidRPr="00D606A2">
              <w:rPr>
                <w:rFonts w:asciiTheme="minorHAnsi" w:hAnsiTheme="minorHAnsi"/>
                <w:sz w:val="18"/>
                <w:szCs w:val="18"/>
              </w:rPr>
              <w:t>Utbredning som 1880</w:t>
            </w:r>
          </w:p>
        </w:tc>
        <w:tc>
          <w:tcPr>
            <w:tcW w:w="1496" w:type="dxa"/>
            <w:vAlign w:val="center"/>
          </w:tcPr>
          <w:p w14:paraId="519AFA9B" w14:textId="77777777" w:rsidR="00C979EB" w:rsidRPr="00CE6559" w:rsidRDefault="00C979EB" w:rsidP="00D05BBE">
            <w:pPr>
              <w:tabs>
                <w:tab w:val="clear" w:pos="5041"/>
              </w:tabs>
              <w:spacing w:after="0"/>
              <w:rPr>
                <w:sz w:val="18"/>
                <w:szCs w:val="18"/>
              </w:rPr>
            </w:pPr>
            <w:r>
              <w:rPr>
                <w:sz w:val="18"/>
                <w:szCs w:val="18"/>
              </w:rPr>
              <w:t>Som 1880</w:t>
            </w:r>
          </w:p>
        </w:tc>
        <w:tc>
          <w:tcPr>
            <w:tcW w:w="1468" w:type="dxa"/>
            <w:shd w:val="clear" w:color="auto" w:fill="5AB789" w:themeFill="accent4" w:themeFillShade="BF"/>
          </w:tcPr>
          <w:p w14:paraId="418CF3A3" w14:textId="77777777" w:rsidR="00C979EB" w:rsidRPr="00CE6559" w:rsidRDefault="00C979EB" w:rsidP="00B028DB">
            <w:pPr>
              <w:tabs>
                <w:tab w:val="clear" w:pos="5041"/>
              </w:tabs>
              <w:spacing w:after="0"/>
              <w:rPr>
                <w:sz w:val="18"/>
                <w:szCs w:val="18"/>
              </w:rPr>
            </w:pPr>
            <w:r>
              <w:rPr>
                <w:sz w:val="18"/>
                <w:szCs w:val="18"/>
              </w:rPr>
              <w:t>God status</w:t>
            </w:r>
          </w:p>
        </w:tc>
        <w:tc>
          <w:tcPr>
            <w:tcW w:w="1553" w:type="dxa"/>
          </w:tcPr>
          <w:p w14:paraId="576B7A32" w14:textId="77777777" w:rsidR="00C979EB" w:rsidRDefault="00C979EB">
            <w:r w:rsidRPr="001B433C">
              <w:rPr>
                <w:sz w:val="18"/>
                <w:szCs w:val="18"/>
              </w:rPr>
              <w:t>Hög</w:t>
            </w:r>
          </w:p>
        </w:tc>
      </w:tr>
      <w:tr w:rsidR="00C979EB" w14:paraId="0D9D6E22" w14:textId="77777777" w:rsidTr="00B028DB">
        <w:tc>
          <w:tcPr>
            <w:tcW w:w="3007" w:type="dxa"/>
            <w:vAlign w:val="center"/>
          </w:tcPr>
          <w:p w14:paraId="65CCEC23"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Västra Gotlandshavet</w:t>
            </w:r>
          </w:p>
        </w:tc>
        <w:tc>
          <w:tcPr>
            <w:tcW w:w="1537" w:type="dxa"/>
          </w:tcPr>
          <w:p w14:paraId="018BF96C" w14:textId="77777777" w:rsidR="00C979EB" w:rsidRDefault="00C979EB">
            <w:r w:rsidRPr="00D606A2">
              <w:rPr>
                <w:rFonts w:asciiTheme="minorHAnsi" w:hAnsiTheme="minorHAnsi"/>
                <w:sz w:val="18"/>
                <w:szCs w:val="18"/>
              </w:rPr>
              <w:t>Utbredning som 1880</w:t>
            </w:r>
          </w:p>
        </w:tc>
        <w:tc>
          <w:tcPr>
            <w:tcW w:w="1496" w:type="dxa"/>
          </w:tcPr>
          <w:p w14:paraId="71EC5DA0" w14:textId="77777777" w:rsidR="00C979EB" w:rsidRDefault="00C979EB">
            <w:r w:rsidRPr="00166925">
              <w:rPr>
                <w:sz w:val="18"/>
                <w:szCs w:val="18"/>
              </w:rPr>
              <w:t>Som 1880</w:t>
            </w:r>
          </w:p>
        </w:tc>
        <w:tc>
          <w:tcPr>
            <w:tcW w:w="1468" w:type="dxa"/>
            <w:shd w:val="clear" w:color="auto" w:fill="5AB789" w:themeFill="accent4" w:themeFillShade="BF"/>
          </w:tcPr>
          <w:p w14:paraId="13D0C894" w14:textId="77777777" w:rsidR="00C979EB" w:rsidRDefault="00C979EB" w:rsidP="00B028DB">
            <w:r w:rsidRPr="00D94652">
              <w:rPr>
                <w:sz w:val="18"/>
                <w:szCs w:val="18"/>
              </w:rPr>
              <w:t>God status</w:t>
            </w:r>
          </w:p>
        </w:tc>
        <w:tc>
          <w:tcPr>
            <w:tcW w:w="1553" w:type="dxa"/>
          </w:tcPr>
          <w:p w14:paraId="4BAB81C0" w14:textId="77777777" w:rsidR="00C979EB" w:rsidRDefault="00C979EB">
            <w:r w:rsidRPr="001B433C">
              <w:rPr>
                <w:sz w:val="18"/>
                <w:szCs w:val="18"/>
              </w:rPr>
              <w:t>Hög</w:t>
            </w:r>
          </w:p>
        </w:tc>
      </w:tr>
      <w:tr w:rsidR="00C979EB" w14:paraId="5189746A" w14:textId="77777777" w:rsidTr="00B028DB">
        <w:tc>
          <w:tcPr>
            <w:tcW w:w="3007" w:type="dxa"/>
            <w:vAlign w:val="center"/>
          </w:tcPr>
          <w:p w14:paraId="100A058A"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Norra Gotlandshavet</w:t>
            </w:r>
          </w:p>
        </w:tc>
        <w:tc>
          <w:tcPr>
            <w:tcW w:w="1537" w:type="dxa"/>
          </w:tcPr>
          <w:p w14:paraId="6B832B6A" w14:textId="77777777" w:rsidR="00C979EB" w:rsidRDefault="00C979EB">
            <w:r w:rsidRPr="00D606A2">
              <w:rPr>
                <w:rFonts w:asciiTheme="minorHAnsi" w:hAnsiTheme="minorHAnsi"/>
                <w:sz w:val="18"/>
                <w:szCs w:val="18"/>
              </w:rPr>
              <w:t>Utbredning som 1880</w:t>
            </w:r>
          </w:p>
        </w:tc>
        <w:tc>
          <w:tcPr>
            <w:tcW w:w="1496" w:type="dxa"/>
          </w:tcPr>
          <w:p w14:paraId="222568C3" w14:textId="77777777" w:rsidR="00C979EB" w:rsidRDefault="00C979EB">
            <w:r w:rsidRPr="00166925">
              <w:rPr>
                <w:sz w:val="18"/>
                <w:szCs w:val="18"/>
              </w:rPr>
              <w:t>Som 1880</w:t>
            </w:r>
          </w:p>
        </w:tc>
        <w:tc>
          <w:tcPr>
            <w:tcW w:w="1468" w:type="dxa"/>
            <w:shd w:val="clear" w:color="auto" w:fill="5AB789" w:themeFill="accent4" w:themeFillShade="BF"/>
          </w:tcPr>
          <w:p w14:paraId="1030C002" w14:textId="77777777" w:rsidR="00C979EB" w:rsidRDefault="00C979EB" w:rsidP="00B028DB">
            <w:r w:rsidRPr="00D94652">
              <w:rPr>
                <w:sz w:val="18"/>
                <w:szCs w:val="18"/>
              </w:rPr>
              <w:t>God status</w:t>
            </w:r>
          </w:p>
        </w:tc>
        <w:tc>
          <w:tcPr>
            <w:tcW w:w="1553" w:type="dxa"/>
          </w:tcPr>
          <w:p w14:paraId="3942C4EC" w14:textId="77777777" w:rsidR="00C979EB" w:rsidRDefault="00C979EB">
            <w:r w:rsidRPr="001B433C">
              <w:rPr>
                <w:sz w:val="18"/>
                <w:szCs w:val="18"/>
              </w:rPr>
              <w:t>Hög</w:t>
            </w:r>
          </w:p>
        </w:tc>
      </w:tr>
      <w:tr w:rsidR="00C979EB" w14:paraId="60221264" w14:textId="77777777" w:rsidTr="00B028DB">
        <w:tc>
          <w:tcPr>
            <w:tcW w:w="3007" w:type="dxa"/>
            <w:vAlign w:val="center"/>
          </w:tcPr>
          <w:p w14:paraId="45475964"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Ålands hav</w:t>
            </w:r>
          </w:p>
        </w:tc>
        <w:tc>
          <w:tcPr>
            <w:tcW w:w="1537" w:type="dxa"/>
          </w:tcPr>
          <w:p w14:paraId="5D3D2565" w14:textId="77777777" w:rsidR="00C979EB" w:rsidRDefault="00C979EB">
            <w:r w:rsidRPr="00D606A2">
              <w:rPr>
                <w:rFonts w:asciiTheme="minorHAnsi" w:hAnsiTheme="minorHAnsi"/>
                <w:sz w:val="18"/>
                <w:szCs w:val="18"/>
              </w:rPr>
              <w:t>Utbredning som 1880</w:t>
            </w:r>
          </w:p>
        </w:tc>
        <w:tc>
          <w:tcPr>
            <w:tcW w:w="1496" w:type="dxa"/>
          </w:tcPr>
          <w:p w14:paraId="0DD08C41" w14:textId="77777777" w:rsidR="00C979EB" w:rsidRDefault="00C979EB">
            <w:r w:rsidRPr="00166925">
              <w:rPr>
                <w:sz w:val="18"/>
                <w:szCs w:val="18"/>
              </w:rPr>
              <w:t>Som 1880</w:t>
            </w:r>
          </w:p>
        </w:tc>
        <w:tc>
          <w:tcPr>
            <w:tcW w:w="1468" w:type="dxa"/>
            <w:shd w:val="clear" w:color="auto" w:fill="5AB789" w:themeFill="accent4" w:themeFillShade="BF"/>
          </w:tcPr>
          <w:p w14:paraId="14A1570F" w14:textId="77777777" w:rsidR="00C979EB" w:rsidRDefault="00C979EB" w:rsidP="00B028DB">
            <w:r w:rsidRPr="00D94652">
              <w:rPr>
                <w:sz w:val="18"/>
                <w:szCs w:val="18"/>
              </w:rPr>
              <w:t>God status</w:t>
            </w:r>
          </w:p>
        </w:tc>
        <w:tc>
          <w:tcPr>
            <w:tcW w:w="1553" w:type="dxa"/>
          </w:tcPr>
          <w:p w14:paraId="0C958BD5" w14:textId="77777777" w:rsidR="00C979EB" w:rsidRDefault="00C979EB">
            <w:r w:rsidRPr="001B433C">
              <w:rPr>
                <w:sz w:val="18"/>
                <w:szCs w:val="18"/>
              </w:rPr>
              <w:t>Hög</w:t>
            </w:r>
          </w:p>
        </w:tc>
      </w:tr>
      <w:tr w:rsidR="00C979EB" w14:paraId="6814DC22" w14:textId="77777777" w:rsidTr="00B028DB">
        <w:tc>
          <w:tcPr>
            <w:tcW w:w="3007" w:type="dxa"/>
            <w:vAlign w:val="center"/>
          </w:tcPr>
          <w:p w14:paraId="25F8638E"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Bottenhavet</w:t>
            </w:r>
          </w:p>
        </w:tc>
        <w:tc>
          <w:tcPr>
            <w:tcW w:w="1537" w:type="dxa"/>
          </w:tcPr>
          <w:p w14:paraId="450FF9DB" w14:textId="77777777" w:rsidR="00C979EB" w:rsidRDefault="00C979EB">
            <w:r w:rsidRPr="00D606A2">
              <w:rPr>
                <w:rFonts w:asciiTheme="minorHAnsi" w:hAnsiTheme="minorHAnsi"/>
                <w:sz w:val="18"/>
                <w:szCs w:val="18"/>
              </w:rPr>
              <w:t>Utbredning som 1880</w:t>
            </w:r>
          </w:p>
        </w:tc>
        <w:tc>
          <w:tcPr>
            <w:tcW w:w="1496" w:type="dxa"/>
          </w:tcPr>
          <w:p w14:paraId="10F1140A" w14:textId="77777777" w:rsidR="00C979EB" w:rsidRDefault="00C979EB">
            <w:r w:rsidRPr="00166925">
              <w:rPr>
                <w:sz w:val="18"/>
                <w:szCs w:val="18"/>
              </w:rPr>
              <w:t>Som 1880</w:t>
            </w:r>
          </w:p>
        </w:tc>
        <w:tc>
          <w:tcPr>
            <w:tcW w:w="1468" w:type="dxa"/>
            <w:shd w:val="clear" w:color="auto" w:fill="5AB789" w:themeFill="accent4" w:themeFillShade="BF"/>
          </w:tcPr>
          <w:p w14:paraId="0B9A7012" w14:textId="77777777" w:rsidR="00C979EB" w:rsidRDefault="00C979EB" w:rsidP="00B028DB">
            <w:r w:rsidRPr="00D94652">
              <w:rPr>
                <w:sz w:val="18"/>
                <w:szCs w:val="18"/>
              </w:rPr>
              <w:t>God status</w:t>
            </w:r>
          </w:p>
        </w:tc>
        <w:tc>
          <w:tcPr>
            <w:tcW w:w="1553" w:type="dxa"/>
          </w:tcPr>
          <w:p w14:paraId="3ECA0B00" w14:textId="77777777" w:rsidR="00C979EB" w:rsidRDefault="00C979EB">
            <w:r w:rsidRPr="001B433C">
              <w:rPr>
                <w:sz w:val="18"/>
                <w:szCs w:val="18"/>
              </w:rPr>
              <w:t>Hög</w:t>
            </w:r>
          </w:p>
        </w:tc>
      </w:tr>
      <w:tr w:rsidR="00C979EB" w14:paraId="084636EA" w14:textId="77777777" w:rsidTr="00B028DB">
        <w:tc>
          <w:tcPr>
            <w:tcW w:w="3007" w:type="dxa"/>
            <w:vAlign w:val="center"/>
          </w:tcPr>
          <w:p w14:paraId="61CCBBDF"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Norra Kvarken</w:t>
            </w:r>
          </w:p>
        </w:tc>
        <w:tc>
          <w:tcPr>
            <w:tcW w:w="1537" w:type="dxa"/>
          </w:tcPr>
          <w:p w14:paraId="065038BA" w14:textId="77777777" w:rsidR="00C979EB" w:rsidRDefault="00C979EB">
            <w:r w:rsidRPr="00D606A2">
              <w:rPr>
                <w:rFonts w:asciiTheme="minorHAnsi" w:hAnsiTheme="minorHAnsi"/>
                <w:sz w:val="18"/>
                <w:szCs w:val="18"/>
              </w:rPr>
              <w:t>Utbredning som 1880</w:t>
            </w:r>
          </w:p>
        </w:tc>
        <w:tc>
          <w:tcPr>
            <w:tcW w:w="1496" w:type="dxa"/>
          </w:tcPr>
          <w:p w14:paraId="4E9CF277" w14:textId="77777777" w:rsidR="00C979EB" w:rsidRDefault="00C979EB">
            <w:r w:rsidRPr="00166925">
              <w:rPr>
                <w:sz w:val="18"/>
                <w:szCs w:val="18"/>
              </w:rPr>
              <w:t>Som 1880</w:t>
            </w:r>
          </w:p>
        </w:tc>
        <w:tc>
          <w:tcPr>
            <w:tcW w:w="1468" w:type="dxa"/>
            <w:shd w:val="clear" w:color="auto" w:fill="5AB789" w:themeFill="accent4" w:themeFillShade="BF"/>
          </w:tcPr>
          <w:p w14:paraId="760E903A" w14:textId="77777777" w:rsidR="00C979EB" w:rsidRDefault="00C979EB" w:rsidP="00B028DB">
            <w:r w:rsidRPr="00D94652">
              <w:rPr>
                <w:sz w:val="18"/>
                <w:szCs w:val="18"/>
              </w:rPr>
              <w:t>God status</w:t>
            </w:r>
          </w:p>
        </w:tc>
        <w:tc>
          <w:tcPr>
            <w:tcW w:w="1553" w:type="dxa"/>
          </w:tcPr>
          <w:p w14:paraId="27BFE879" w14:textId="77777777" w:rsidR="00C979EB" w:rsidRDefault="00C979EB">
            <w:r w:rsidRPr="001B433C">
              <w:rPr>
                <w:sz w:val="18"/>
                <w:szCs w:val="18"/>
              </w:rPr>
              <w:t>Hög</w:t>
            </w:r>
          </w:p>
        </w:tc>
      </w:tr>
      <w:tr w:rsidR="00C979EB" w14:paraId="5A17825D" w14:textId="77777777" w:rsidTr="00B028DB">
        <w:trPr>
          <w:trHeight w:val="268"/>
        </w:trPr>
        <w:tc>
          <w:tcPr>
            <w:tcW w:w="3007" w:type="dxa"/>
            <w:vAlign w:val="center"/>
          </w:tcPr>
          <w:p w14:paraId="2EF23EDA" w14:textId="77777777" w:rsidR="00C979EB" w:rsidRPr="00CE6559" w:rsidRDefault="00C979EB" w:rsidP="00D05BBE">
            <w:pPr>
              <w:tabs>
                <w:tab w:val="clear" w:pos="5041"/>
              </w:tabs>
              <w:spacing w:after="0"/>
              <w:rPr>
                <w:rFonts w:asciiTheme="minorHAnsi" w:hAnsiTheme="minorHAnsi"/>
                <w:sz w:val="18"/>
                <w:szCs w:val="18"/>
              </w:rPr>
            </w:pPr>
            <w:r w:rsidRPr="00CE6559">
              <w:rPr>
                <w:rFonts w:asciiTheme="minorHAnsi" w:hAnsiTheme="minorHAnsi"/>
                <w:sz w:val="18"/>
                <w:szCs w:val="18"/>
              </w:rPr>
              <w:t>Bottenviken</w:t>
            </w:r>
          </w:p>
        </w:tc>
        <w:tc>
          <w:tcPr>
            <w:tcW w:w="1537" w:type="dxa"/>
          </w:tcPr>
          <w:p w14:paraId="1E620BB6" w14:textId="77777777" w:rsidR="00C979EB" w:rsidRDefault="00C979EB">
            <w:r w:rsidRPr="00D606A2">
              <w:rPr>
                <w:rFonts w:asciiTheme="minorHAnsi" w:hAnsiTheme="minorHAnsi"/>
                <w:sz w:val="18"/>
                <w:szCs w:val="18"/>
              </w:rPr>
              <w:t>Utbredning som 1880</w:t>
            </w:r>
          </w:p>
        </w:tc>
        <w:tc>
          <w:tcPr>
            <w:tcW w:w="1496" w:type="dxa"/>
          </w:tcPr>
          <w:p w14:paraId="326808C7" w14:textId="77777777" w:rsidR="00C979EB" w:rsidRDefault="00C979EB">
            <w:r w:rsidRPr="00166925">
              <w:rPr>
                <w:sz w:val="18"/>
                <w:szCs w:val="18"/>
              </w:rPr>
              <w:t>Som 1880</w:t>
            </w:r>
          </w:p>
        </w:tc>
        <w:tc>
          <w:tcPr>
            <w:tcW w:w="1468" w:type="dxa"/>
            <w:shd w:val="clear" w:color="auto" w:fill="5AB789" w:themeFill="accent4" w:themeFillShade="BF"/>
          </w:tcPr>
          <w:p w14:paraId="5C2594F4" w14:textId="77777777" w:rsidR="00C979EB" w:rsidRDefault="00C979EB" w:rsidP="00B028DB">
            <w:r w:rsidRPr="00D94652">
              <w:rPr>
                <w:sz w:val="18"/>
                <w:szCs w:val="18"/>
              </w:rPr>
              <w:t>God status</w:t>
            </w:r>
          </w:p>
        </w:tc>
        <w:tc>
          <w:tcPr>
            <w:tcW w:w="1553" w:type="dxa"/>
          </w:tcPr>
          <w:p w14:paraId="28D04C9A" w14:textId="77777777" w:rsidR="00C979EB" w:rsidRDefault="00C979EB">
            <w:r w:rsidRPr="001B433C">
              <w:rPr>
                <w:sz w:val="18"/>
                <w:szCs w:val="18"/>
              </w:rPr>
              <w:t>Hög</w:t>
            </w:r>
          </w:p>
        </w:tc>
      </w:tr>
    </w:tbl>
    <w:p w14:paraId="45B9C433" w14:textId="77777777" w:rsidR="00B13809" w:rsidRDefault="00B13809">
      <w:pPr>
        <w:tabs>
          <w:tab w:val="clear" w:pos="5041"/>
        </w:tabs>
        <w:spacing w:after="0"/>
      </w:pPr>
    </w:p>
    <w:p w14:paraId="02A8BD16" w14:textId="77777777" w:rsidR="00475B09" w:rsidRPr="00475B09" w:rsidRDefault="00475B09" w:rsidP="00475B09">
      <w:pPr>
        <w:tabs>
          <w:tab w:val="clear" w:pos="5041"/>
        </w:tabs>
        <w:spacing w:after="0"/>
        <w:jc w:val="both"/>
        <w:rPr>
          <w:i/>
        </w:rPr>
      </w:pPr>
      <w:r w:rsidRPr="00475B09">
        <w:rPr>
          <w:i/>
        </w:rPr>
        <w:t xml:space="preserve">Ev. </w:t>
      </w:r>
      <w:r>
        <w:rPr>
          <w:i/>
        </w:rPr>
        <w:t>grafisk sammanfattning</w:t>
      </w:r>
      <w:r w:rsidRPr="00475B09">
        <w:rPr>
          <w:i/>
        </w:rPr>
        <w:t xml:space="preserve"> </w:t>
      </w:r>
      <w:r>
        <w:rPr>
          <w:i/>
        </w:rPr>
        <w:t>av tabeller</w:t>
      </w:r>
    </w:p>
    <w:p w14:paraId="1E6A9F54" w14:textId="77777777" w:rsidR="00475B09" w:rsidRDefault="00475B09">
      <w:pPr>
        <w:tabs>
          <w:tab w:val="clear" w:pos="5041"/>
        </w:tabs>
        <w:spacing w:after="0"/>
        <w:rPr>
          <w:rFonts w:ascii="Arial" w:eastAsiaTheme="majorEastAsia" w:hAnsi="Arial" w:cstheme="majorBidi"/>
          <w:b/>
          <w:bCs/>
          <w:sz w:val="22"/>
          <w:szCs w:val="22"/>
          <w:lang w:eastAsia="en-US"/>
        </w:rPr>
      </w:pPr>
      <w:r>
        <w:br w:type="page"/>
      </w:r>
    </w:p>
    <w:p w14:paraId="7B6F250B" w14:textId="77777777" w:rsidR="0070387B" w:rsidRDefault="0070387B" w:rsidP="0070387B">
      <w:pPr>
        <w:pStyle w:val="Rubrik3"/>
      </w:pPr>
      <w:r>
        <w:lastRenderedPageBreak/>
        <w:t>Sektion 2. Detaljerad information.</w:t>
      </w:r>
    </w:p>
    <w:p w14:paraId="2DDC85A8" w14:textId="0C4E10B8" w:rsidR="0070387B" w:rsidRPr="004E6697" w:rsidRDefault="0070387B" w:rsidP="0009349B">
      <w:pPr>
        <w:pStyle w:val="Brdtext"/>
        <w:rPr>
          <w:u w:val="single"/>
        </w:rPr>
      </w:pPr>
      <w:r w:rsidRPr="004E6697">
        <w:rPr>
          <w:u w:val="single"/>
        </w:rPr>
        <w:t xml:space="preserve">2.1. </w:t>
      </w:r>
      <w:r w:rsidR="00F0386D" w:rsidRPr="004E6697">
        <w:rPr>
          <w:u w:val="single"/>
        </w:rPr>
        <w:t>I</w:t>
      </w:r>
      <w:r w:rsidR="00F87DD4" w:rsidRPr="004E6697">
        <w:rPr>
          <w:u w:val="single"/>
        </w:rPr>
        <w:t>ntrodu</w:t>
      </w:r>
      <w:r w:rsidR="004E6697" w:rsidRPr="004E6697">
        <w:rPr>
          <w:u w:val="single"/>
        </w:rPr>
        <w:t>k</w:t>
      </w:r>
      <w:r w:rsidR="00F87DD4" w:rsidRPr="004E6697">
        <w:rPr>
          <w:u w:val="single"/>
        </w:rPr>
        <w:t>tion</w:t>
      </w:r>
    </w:p>
    <w:p w14:paraId="000039E7" w14:textId="77777777" w:rsidR="0016771B" w:rsidRDefault="0016771B" w:rsidP="004E6697">
      <w:pPr>
        <w:pStyle w:val="Brdtext"/>
        <w:spacing w:line="276" w:lineRule="auto"/>
      </w:pPr>
      <w:r>
        <w:t>Gråsälen har historisk</w:t>
      </w:r>
      <w:r w:rsidR="004A6E88">
        <w:t>t sett funnits i hela Östersjön</w:t>
      </w:r>
      <w:r>
        <w:t xml:space="preserve"> och Kattegatt och i början av 1900-talet fanns över 8</w:t>
      </w:r>
      <w:r w:rsidR="008D2961">
        <w:t xml:space="preserve">0 </w:t>
      </w:r>
      <w:r>
        <w:t>000 gråsälar i Östersjön (Hårding och Härkönen 1999) och reproducerande bestånd på de danska öarna i Kattegatt. Gråsälarna var viktiga toppredatorer , främst i egentliga Östersjön och de utgjorde historiskt en viktig resurs för människan. Framför allt var sältranet en viktig inkomstkälla som beskattades redan under Gustav Vasas tid. Tranet förlorade dock i värde när billig norsk valolja blev tillgänglig i slutet av 1800-talet, varför man nu såg sälen som en konkurrent till människan. En internationellt samordnad kampanj med syfte att utrota sälarna inleddes  i slutet av 1800-talet och början av 1900-talet varvid gråsälarna i Ka</w:t>
      </w:r>
      <w:r w:rsidR="00BC2E21">
        <w:t>ttegatt, och efter de Polska samt</w:t>
      </w:r>
      <w:r>
        <w:t xml:space="preserve"> tyska kusterna försvann (Hårding och Härkönen 1999). Antale</w:t>
      </w:r>
      <w:r w:rsidR="004A6E88">
        <w:t>t gråsälar i Östersjön minskade</w:t>
      </w:r>
      <w:r>
        <w:t xml:space="preserve"> drastiskt under 1930-talet och vid 1940 fanns endast 20 000 kvar. </w:t>
      </w:r>
    </w:p>
    <w:p w14:paraId="23BA0B6A" w14:textId="77777777" w:rsidR="003B55CE" w:rsidRDefault="003B55CE" w:rsidP="004E6697">
      <w:pPr>
        <w:pStyle w:val="Brdtext"/>
        <w:spacing w:line="276" w:lineRule="auto"/>
      </w:pPr>
      <w:r>
        <w:t>Orsaken till att jakten var så effektiv</w:t>
      </w:r>
      <w:r w:rsidR="00BC2E21">
        <w:t xml:space="preserve"> i södra Östersjön</w:t>
      </w:r>
      <w:r>
        <w:t xml:space="preserve"> var att gråsälen födde sin kut på land där den stannade i c:a 20 dagar.</w:t>
      </w:r>
      <w:r w:rsidR="00BC2E21">
        <w:t xml:space="preserve"> De blev därför lätta byten.</w:t>
      </w:r>
    </w:p>
    <w:p w14:paraId="3354B9B3" w14:textId="77777777" w:rsidR="0016771B" w:rsidRDefault="0016771B" w:rsidP="004E6697">
      <w:pPr>
        <w:pStyle w:val="Brdtext"/>
        <w:spacing w:line="276" w:lineRule="auto"/>
      </w:pPr>
      <w:r>
        <w:t xml:space="preserve">Men det visade sig vara svårt att utrota gråsälarna </w:t>
      </w:r>
      <w:r w:rsidR="003B55CE">
        <w:t>i övriga delar av Östersjön</w:t>
      </w:r>
      <w:r w:rsidR="0086188F">
        <w:t xml:space="preserve"> </w:t>
      </w:r>
      <w:r>
        <w:t xml:space="preserve">då de i stor utsträckning reproducerade sig i drivisen. Jakttrycket lyckades inte minska gråsälarna och i mitten av 1960- talet fanns fortfarande 20 000 kvar. Men under 1970-talet minskade de hastigt till kanske 3 000 djur eftersom de drabbats av sterilitet på grund av miljögifter, främst PCB. En mycket stor andel visade sig vara sterila, men de uppvisade även sjukliga förändringar i skelett och andra inre organ (Bergman m. fl. 1986). </w:t>
      </w:r>
    </w:p>
    <w:p w14:paraId="5464E7A3" w14:textId="77777777" w:rsidR="006E66C8" w:rsidRDefault="006E66C8" w:rsidP="004E6697">
      <w:pPr>
        <w:pStyle w:val="Brdtext"/>
        <w:spacing w:line="276" w:lineRule="auto"/>
      </w:pPr>
      <w:r>
        <w:t>Efter gråsälen skyddades från jakt och miljögifterna minskade började gråsälstammen att hämta sig antalsmässigt i mitten på 1980-talet (Hårding och Härkönen 1999). Antalet räknade gråsälar upp gick till c:a 32 000 år 2016 (</w:t>
      </w:r>
      <w:r w:rsidR="004A6E88">
        <w:t xml:space="preserve">Karlsson m. fl 2008, </w:t>
      </w:r>
      <w:r>
        <w:t>Ref.)</w:t>
      </w:r>
    </w:p>
    <w:p w14:paraId="3E17295D" w14:textId="3F1F49A4" w:rsidR="006E66C8" w:rsidRDefault="006E66C8" w:rsidP="004E6697">
      <w:pPr>
        <w:spacing w:line="276" w:lineRule="auto"/>
        <w:rPr>
          <w:rFonts w:ascii="Georgia" w:eastAsiaTheme="minorHAnsi" w:hAnsi="Georgia" w:cstheme="minorBidi"/>
          <w:sz w:val="22"/>
          <w:szCs w:val="22"/>
          <w:lang w:eastAsia="en-US"/>
        </w:rPr>
      </w:pPr>
      <w:r w:rsidRPr="006E66C8">
        <w:rPr>
          <w:rFonts w:ascii="Georgia" w:eastAsiaTheme="minorHAnsi" w:hAnsi="Georgia" w:cstheme="minorBidi"/>
          <w:sz w:val="22"/>
          <w:szCs w:val="22"/>
          <w:lang w:eastAsia="en-US"/>
        </w:rPr>
        <w:t xml:space="preserve">Gråsälar försedda med satellit- eller GSM-sändare visar att gråsälarna </w:t>
      </w:r>
      <w:r w:rsidR="004E6697">
        <w:rPr>
          <w:rFonts w:ascii="Georgia" w:eastAsiaTheme="minorHAnsi" w:hAnsi="Georgia" w:cstheme="minorBidi"/>
          <w:sz w:val="22"/>
          <w:szCs w:val="22"/>
          <w:lang w:eastAsia="en-US"/>
        </w:rPr>
        <w:t xml:space="preserve">är mycket rörliga och </w:t>
      </w:r>
      <w:r w:rsidRPr="006E66C8">
        <w:rPr>
          <w:rFonts w:ascii="Georgia" w:eastAsiaTheme="minorHAnsi" w:hAnsi="Georgia" w:cstheme="minorBidi"/>
          <w:sz w:val="22"/>
          <w:szCs w:val="22"/>
          <w:lang w:eastAsia="en-US"/>
        </w:rPr>
        <w:t>kan röra sig i hela Östersjön även inom begränsade tidsperioder, även</w:t>
      </w:r>
      <w:r w:rsidR="0086188F">
        <w:rPr>
          <w:rFonts w:ascii="Georgia" w:eastAsiaTheme="minorHAnsi" w:hAnsi="Georgia" w:cstheme="minorBidi"/>
          <w:sz w:val="22"/>
          <w:szCs w:val="22"/>
          <w:lang w:eastAsia="en-US"/>
        </w:rPr>
        <w:t xml:space="preserve"> under</w:t>
      </w:r>
      <w:r w:rsidRPr="006E66C8">
        <w:rPr>
          <w:rFonts w:ascii="Georgia" w:eastAsiaTheme="minorHAnsi" w:hAnsi="Georgia" w:cstheme="minorBidi"/>
          <w:sz w:val="22"/>
          <w:szCs w:val="22"/>
          <w:lang w:eastAsia="en-US"/>
        </w:rPr>
        <w:t xml:space="preserve"> reproduktionstid</w:t>
      </w:r>
      <w:r w:rsidR="003B55CE">
        <w:rPr>
          <w:rFonts w:ascii="Georgia" w:eastAsiaTheme="minorHAnsi" w:hAnsi="Georgia" w:cstheme="minorBidi"/>
          <w:sz w:val="22"/>
          <w:szCs w:val="22"/>
          <w:lang w:eastAsia="en-US"/>
        </w:rPr>
        <w:t>.</w:t>
      </w:r>
    </w:p>
    <w:p w14:paraId="5C89348C" w14:textId="77777777" w:rsidR="00AD5809" w:rsidRPr="006E66C8" w:rsidRDefault="00AD5809" w:rsidP="00AD5809">
      <w:pPr>
        <w:pStyle w:val="Brdtext"/>
      </w:pPr>
      <w:r>
        <w:t>HELCOMs CORESET program har till syfte att framarbeta system för att mäta miljöstatus,  varvid indikatorer utvecklats för sälar.</w:t>
      </w:r>
    </w:p>
    <w:p w14:paraId="26C542D2" w14:textId="22AF366E" w:rsidR="00AD5809" w:rsidRPr="004E6697" w:rsidRDefault="0070387B" w:rsidP="0009349B">
      <w:pPr>
        <w:pStyle w:val="Brdtext"/>
        <w:rPr>
          <w:u w:val="single"/>
        </w:rPr>
      </w:pPr>
      <w:r w:rsidRPr="004E6697">
        <w:rPr>
          <w:u w:val="single"/>
        </w:rPr>
        <w:t xml:space="preserve">2.2. </w:t>
      </w:r>
      <w:r w:rsidR="00EA283A" w:rsidRPr="004E6697">
        <w:rPr>
          <w:u w:val="single"/>
        </w:rPr>
        <w:t>Material och metoder</w:t>
      </w:r>
      <w:r w:rsidR="00F87DD4" w:rsidRPr="004E6697">
        <w:rPr>
          <w:u w:val="single"/>
        </w:rPr>
        <w:t xml:space="preserve"> </w:t>
      </w:r>
    </w:p>
    <w:p w14:paraId="78A139B1" w14:textId="77777777" w:rsidR="00D36E51" w:rsidRDefault="00D36E51" w:rsidP="004E6697">
      <w:pPr>
        <w:spacing w:line="276"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t xml:space="preserve">Analysen av gråsälens </w:t>
      </w:r>
      <w:r w:rsidR="0086188F">
        <w:rPr>
          <w:rFonts w:ascii="Georgia" w:eastAsiaTheme="minorHAnsi" w:hAnsi="Georgia" w:cstheme="minorBidi"/>
          <w:sz w:val="22"/>
          <w:szCs w:val="22"/>
          <w:lang w:eastAsia="en-US"/>
        </w:rPr>
        <w:t xml:space="preserve">utbredningsmässiga </w:t>
      </w:r>
      <w:r>
        <w:rPr>
          <w:rFonts w:ascii="Georgia" w:eastAsiaTheme="minorHAnsi" w:hAnsi="Georgia" w:cstheme="minorBidi"/>
          <w:sz w:val="22"/>
          <w:szCs w:val="22"/>
          <w:lang w:eastAsia="en-US"/>
        </w:rPr>
        <w:t xml:space="preserve">status baseras på </w:t>
      </w:r>
      <w:r w:rsidR="00C939BE">
        <w:rPr>
          <w:rFonts w:ascii="Georgia" w:eastAsiaTheme="minorHAnsi" w:hAnsi="Georgia" w:cstheme="minorBidi"/>
          <w:sz w:val="22"/>
          <w:szCs w:val="22"/>
          <w:lang w:eastAsia="en-US"/>
        </w:rPr>
        <w:t>följande gränsvärden</w:t>
      </w:r>
      <w:r>
        <w:rPr>
          <w:rFonts w:ascii="Georgia" w:eastAsiaTheme="minorHAnsi" w:hAnsi="Georgia" w:cstheme="minorBidi"/>
          <w:sz w:val="22"/>
          <w:szCs w:val="22"/>
          <w:lang w:eastAsia="en-US"/>
        </w:rPr>
        <w:t>:</w:t>
      </w:r>
    </w:p>
    <w:p w14:paraId="5C2F3F79" w14:textId="77777777" w:rsidR="00D36E51" w:rsidRDefault="0086188F" w:rsidP="004E6697">
      <w:pPr>
        <w:pStyle w:val="Liststycke"/>
        <w:numPr>
          <w:ilvl w:val="0"/>
          <w:numId w:val="28"/>
        </w:numPr>
        <w:rPr>
          <w:rFonts w:ascii="Georgia" w:eastAsiaTheme="minorHAnsi" w:hAnsi="Georgia" w:cstheme="minorBidi"/>
        </w:rPr>
      </w:pPr>
      <w:r>
        <w:rPr>
          <w:rFonts w:ascii="Georgia" w:eastAsiaTheme="minorHAnsi" w:hAnsi="Georgia" w:cstheme="minorBidi"/>
        </w:rPr>
        <w:t>God miljöstatus innebär att utbredningen är lika stor som var fallet 1880 när det gäller viloplatser och reproduktionsplatser. För gråsälens vidkommande sammanfaller dessa</w:t>
      </w:r>
      <w:r w:rsidR="00BC2E21">
        <w:rPr>
          <w:rFonts w:ascii="Georgia" w:eastAsiaTheme="minorHAnsi" w:hAnsi="Georgia" w:cstheme="minorBidi"/>
        </w:rPr>
        <w:t xml:space="preserve"> i huvudsak</w:t>
      </w:r>
    </w:p>
    <w:p w14:paraId="1BA2EEAF" w14:textId="77777777" w:rsidR="0086188F" w:rsidRDefault="0086188F" w:rsidP="004E6697">
      <w:pPr>
        <w:pStyle w:val="Liststycke"/>
        <w:numPr>
          <w:ilvl w:val="0"/>
          <w:numId w:val="28"/>
        </w:numPr>
        <w:rPr>
          <w:rFonts w:ascii="Georgia" w:eastAsiaTheme="minorHAnsi" w:hAnsi="Georgia" w:cstheme="minorBidi"/>
        </w:rPr>
      </w:pPr>
      <w:r>
        <w:rPr>
          <w:rFonts w:ascii="Georgia" w:eastAsiaTheme="minorHAnsi" w:hAnsi="Georgia" w:cstheme="minorBidi"/>
        </w:rPr>
        <w:t>Inga barriärer finns för deras förflyttningar och födosök</w:t>
      </w:r>
      <w:r w:rsidRPr="0086188F">
        <w:rPr>
          <w:rFonts w:ascii="Georgia" w:eastAsiaTheme="minorHAnsi" w:hAnsi="Georgia" w:cstheme="minorBidi"/>
        </w:rPr>
        <w:t xml:space="preserve"> till havs.</w:t>
      </w:r>
    </w:p>
    <w:p w14:paraId="54AB6E5D" w14:textId="77777777" w:rsidR="0086188F" w:rsidRDefault="0086188F" w:rsidP="004E6697">
      <w:pPr>
        <w:pStyle w:val="Liststycke"/>
        <w:numPr>
          <w:ilvl w:val="0"/>
          <w:numId w:val="28"/>
        </w:numPr>
        <w:rPr>
          <w:rFonts w:ascii="Georgia" w:eastAsiaTheme="minorHAnsi" w:hAnsi="Georgia" w:cstheme="minorBidi"/>
        </w:rPr>
      </w:pPr>
      <w:r>
        <w:rPr>
          <w:rFonts w:ascii="Georgia" w:eastAsiaTheme="minorHAnsi" w:hAnsi="Georgia" w:cstheme="minorBidi"/>
        </w:rPr>
        <w:t>Utbredningen får inte minska</w:t>
      </w:r>
    </w:p>
    <w:p w14:paraId="4FB5C7DE" w14:textId="77777777" w:rsidR="0086188F" w:rsidRPr="0086188F" w:rsidRDefault="0086188F" w:rsidP="004E6697">
      <w:pPr>
        <w:spacing w:line="276" w:lineRule="auto"/>
        <w:rPr>
          <w:rFonts w:ascii="Georgia" w:eastAsiaTheme="minorHAnsi" w:hAnsi="Georgia" w:cstheme="minorBidi"/>
          <w:sz w:val="22"/>
          <w:szCs w:val="22"/>
          <w:lang w:eastAsia="en-US"/>
        </w:rPr>
      </w:pPr>
      <w:r w:rsidRPr="0086188F">
        <w:rPr>
          <w:rFonts w:ascii="Georgia" w:eastAsiaTheme="minorHAnsi" w:hAnsi="Georgia" w:cstheme="minorBidi"/>
          <w:sz w:val="22"/>
          <w:szCs w:val="22"/>
          <w:lang w:eastAsia="en-US"/>
        </w:rPr>
        <w:t>Under år med isläggning föredrar gråsälen att föda sin kut i drivisen, där kutdödligheten är betydligt lägre än på land.</w:t>
      </w:r>
    </w:p>
    <w:p w14:paraId="0BC16093" w14:textId="6BA52FA1" w:rsidR="00C939BE" w:rsidRDefault="00AD5809" w:rsidP="004E6697">
      <w:pPr>
        <w:spacing w:line="276" w:lineRule="auto"/>
        <w:rPr>
          <w:rFonts w:ascii="Georgia" w:eastAsiaTheme="minorHAnsi" w:hAnsi="Georgia" w:cstheme="minorBidi"/>
          <w:sz w:val="22"/>
          <w:szCs w:val="22"/>
          <w:lang w:eastAsia="en-US"/>
        </w:rPr>
      </w:pPr>
      <w:r w:rsidRPr="00AD5809">
        <w:rPr>
          <w:rFonts w:ascii="Georgia" w:eastAsiaTheme="minorHAnsi" w:hAnsi="Georgia" w:cstheme="minorBidi"/>
          <w:sz w:val="22"/>
          <w:szCs w:val="22"/>
          <w:lang w:eastAsia="en-US"/>
        </w:rPr>
        <w:t>Gråsälen inventeras genom flygfoto under den sista veckan i maj samt den första veckan i juni då flest antal djur ligger uppe för att byta päls. Samtliga lokaler inventeras minst två gånger under denna period.</w:t>
      </w:r>
      <w:r w:rsidR="00EA283A">
        <w:rPr>
          <w:rFonts w:ascii="Georgia" w:eastAsiaTheme="minorHAnsi" w:hAnsi="Georgia" w:cstheme="minorBidi"/>
          <w:sz w:val="22"/>
          <w:szCs w:val="22"/>
          <w:lang w:eastAsia="en-US"/>
        </w:rPr>
        <w:t xml:space="preserve"> Inventeringarna är internationellt koordinerade sedan 2005, varför vi analyserar data från denna tidpunkt</w:t>
      </w:r>
      <w:r w:rsidR="0063192F">
        <w:rPr>
          <w:rFonts w:ascii="Georgia" w:eastAsiaTheme="minorHAnsi" w:hAnsi="Georgia" w:cstheme="minorBidi"/>
          <w:sz w:val="22"/>
          <w:szCs w:val="22"/>
          <w:lang w:eastAsia="en-US"/>
        </w:rPr>
        <w:t xml:space="preserve"> (Galatius m. fl. 2014)</w:t>
      </w:r>
      <w:r w:rsidR="00EA283A">
        <w:rPr>
          <w:rFonts w:ascii="Georgia" w:eastAsiaTheme="minorHAnsi" w:hAnsi="Georgia" w:cstheme="minorBidi"/>
          <w:sz w:val="22"/>
          <w:szCs w:val="22"/>
          <w:lang w:eastAsia="en-US"/>
        </w:rPr>
        <w:t xml:space="preserve">. </w:t>
      </w:r>
    </w:p>
    <w:p w14:paraId="3E197008" w14:textId="75C49170" w:rsidR="00BC2E21" w:rsidRDefault="006F2C73" w:rsidP="004E6697">
      <w:pPr>
        <w:spacing w:line="276" w:lineRule="auto"/>
        <w:rPr>
          <w:rFonts w:ascii="Georgia" w:eastAsiaTheme="minorHAnsi" w:hAnsi="Georgia" w:cstheme="minorBidi"/>
          <w:sz w:val="22"/>
          <w:szCs w:val="22"/>
          <w:lang w:eastAsia="en-US"/>
        </w:rPr>
      </w:pPr>
      <w:r>
        <w:rPr>
          <w:rFonts w:ascii="Georgia" w:eastAsiaTheme="minorHAnsi" w:hAnsi="Georgia" w:cstheme="minorBidi"/>
          <w:sz w:val="22"/>
          <w:szCs w:val="22"/>
          <w:lang w:eastAsia="en-US"/>
        </w:rPr>
        <w:lastRenderedPageBreak/>
        <w:t>Under vissa år har gråsälen inventerats under reproduktionen i mars, varvid data erhållits på denna parameter (Jussi m.fl.2008).</w:t>
      </w:r>
      <w:r w:rsidR="004E6697">
        <w:rPr>
          <w:rFonts w:ascii="Georgia" w:eastAsiaTheme="minorHAnsi" w:hAnsi="Georgia" w:cstheme="minorBidi"/>
          <w:sz w:val="22"/>
          <w:szCs w:val="22"/>
          <w:lang w:eastAsia="en-US"/>
        </w:rPr>
        <w:t xml:space="preserve"> </w:t>
      </w:r>
      <w:r>
        <w:rPr>
          <w:rFonts w:ascii="Georgia" w:eastAsiaTheme="minorHAnsi" w:hAnsi="Georgia" w:cstheme="minorBidi"/>
          <w:sz w:val="22"/>
          <w:szCs w:val="22"/>
          <w:lang w:eastAsia="en-US"/>
        </w:rPr>
        <w:t>Ett stort antal gråsälar har utrustats med satellit och GSM-sändare varvid gråsälens rörelsemö</w:t>
      </w:r>
      <w:r w:rsidR="00BC2E21">
        <w:rPr>
          <w:rFonts w:ascii="Georgia" w:eastAsiaTheme="minorHAnsi" w:hAnsi="Georgia" w:cstheme="minorBidi"/>
          <w:sz w:val="22"/>
          <w:szCs w:val="22"/>
          <w:lang w:eastAsia="en-US"/>
        </w:rPr>
        <w:t>nster till havs kunnat studeras</w:t>
      </w:r>
      <w:r w:rsidR="004E6697">
        <w:rPr>
          <w:rFonts w:ascii="Georgia" w:eastAsiaTheme="minorHAnsi" w:hAnsi="Georgia" w:cstheme="minorBidi"/>
          <w:sz w:val="22"/>
          <w:szCs w:val="22"/>
          <w:lang w:eastAsia="en-US"/>
        </w:rPr>
        <w:t xml:space="preserve">. </w:t>
      </w:r>
      <w:r w:rsidR="004E6697" w:rsidRPr="004E6697">
        <w:rPr>
          <w:rFonts w:ascii="Georgia" w:eastAsiaTheme="minorHAnsi" w:hAnsi="Georgia" w:cstheme="minorBidi"/>
          <w:sz w:val="22"/>
          <w:szCs w:val="22"/>
          <w:lang w:eastAsia="en-US"/>
        </w:rPr>
        <w:t>Bedömningsmetoden är regional förankrad och en detaljerad beskrivning finns i Helcom faktbladen ”</w:t>
      </w:r>
      <w:r w:rsidR="004E6697" w:rsidRPr="004E6697">
        <w:t xml:space="preserve"> </w:t>
      </w:r>
      <w:r w:rsidR="004E6697" w:rsidRPr="004E6697">
        <w:rPr>
          <w:rFonts w:ascii="Georgia" w:eastAsiaTheme="minorHAnsi" w:hAnsi="Georgia" w:cstheme="minorBidi"/>
          <w:sz w:val="22"/>
          <w:szCs w:val="22"/>
          <w:lang w:eastAsia="en-US"/>
        </w:rPr>
        <w:t>http://helcom.fi/baltic-sea-trends/indicators/distribution-of-baltic-seals/</w:t>
      </w:r>
      <w:r w:rsidR="004E6697" w:rsidRPr="004E6697">
        <w:rPr>
          <w:rFonts w:ascii="Georgia" w:eastAsiaTheme="minorHAnsi" w:hAnsi="Georgia" w:cstheme="minorBidi"/>
          <w:sz w:val="22"/>
          <w:szCs w:val="22"/>
          <w:lang w:eastAsia="en-US"/>
        </w:rPr>
        <w:t>”  (Helcom 2017).</w:t>
      </w:r>
    </w:p>
    <w:p w14:paraId="1C089BD7" w14:textId="77777777" w:rsidR="000735F3" w:rsidRPr="002444BD" w:rsidRDefault="0070387B" w:rsidP="00FD2531">
      <w:pPr>
        <w:pStyle w:val="Brdtext"/>
        <w:rPr>
          <w:u w:val="single"/>
        </w:rPr>
      </w:pPr>
      <w:r w:rsidRPr="002444BD">
        <w:rPr>
          <w:u w:val="single"/>
        </w:rPr>
        <w:t xml:space="preserve">2.3. </w:t>
      </w:r>
      <w:r w:rsidR="00E1212C" w:rsidRPr="002444BD">
        <w:rPr>
          <w:u w:val="single"/>
        </w:rPr>
        <w:t>Resultat</w:t>
      </w:r>
    </w:p>
    <w:p w14:paraId="2AB79313" w14:textId="2C609870" w:rsidR="000735F3" w:rsidRPr="000735F3" w:rsidRDefault="00FD2531" w:rsidP="002444BD">
      <w:pPr>
        <w:pStyle w:val="Brdtext"/>
      </w:pPr>
      <w:r w:rsidRPr="002444BD">
        <w:rPr>
          <w:i/>
        </w:rPr>
        <w:t>Utbredning på land</w:t>
      </w:r>
      <w:r w:rsidR="002444BD">
        <w:t xml:space="preserve">: </w:t>
      </w:r>
      <w:r w:rsidR="00D1169C">
        <w:t>Gråsälens utbredning har ex</w:t>
      </w:r>
      <w:r w:rsidR="000735F3" w:rsidRPr="000735F3">
        <w:t xml:space="preserve">panderat under de senaste decennierna </w:t>
      </w:r>
      <w:r w:rsidR="000735F3">
        <w:t xml:space="preserve">och förekommer numera Christiansö och Rödsana i Danmark samt den polska kusten (Figur </w:t>
      </w:r>
      <w:r w:rsidR="00CC7FE7">
        <w:t xml:space="preserve">2). Koloniseringen följer ett </w:t>
      </w:r>
      <w:r w:rsidR="002444BD">
        <w:t>repetitivt</w:t>
      </w:r>
      <w:r w:rsidR="00CC7FE7">
        <w:t xml:space="preserve"> mönster där nya platser under lång tid besöks av enstaka individer under en tidsperiod av upp till 10 år. Därefter kommer ett större antal sälar av olika ålder till platsen. Efter ytterligare 5-10 år börjar antalet kutar som föds öka mycket hastigt, Olika faser av denna process har besr</w:t>
      </w:r>
      <w:r w:rsidR="00D1169C">
        <w:t>i</w:t>
      </w:r>
      <w:r w:rsidR="00CC7FE7">
        <w:t>kivits från Nordsjökusten Måkläppen i Sverige och Rödsand i Danmark (Härkönen m.fl. 2007)</w:t>
      </w:r>
    </w:p>
    <w:p w14:paraId="5F9205CF" w14:textId="6F4371E5" w:rsidR="000735F3" w:rsidRPr="00D1169C" w:rsidRDefault="00CC7FE7" w:rsidP="000735F3">
      <w:r w:rsidRPr="00CC7FE7">
        <w:t xml:space="preserve">Populationen når god miljöstatus med avseende på utbredning på reproduktionsplatser förutom sydvästra Östersjön. </w:t>
      </w:r>
      <w:r w:rsidR="00D1169C">
        <w:t>En ”modern baslinje” används här</w:t>
      </w:r>
      <w:r>
        <w:t xml:space="preserve"> då en del tidigare platser ej finns kvar på grund av sandexploatering. Det går inte att fastställa någon s</w:t>
      </w:r>
      <w:r w:rsidR="002444BD">
        <w:t>å</w:t>
      </w:r>
      <w:r>
        <w:t xml:space="preserve">dan baslinje för Kattegatt och Skagerrak då de </w:t>
      </w:r>
      <w:r w:rsidR="00FD2531">
        <w:t>få gråsälarna här kommer f</w:t>
      </w:r>
      <w:r w:rsidR="00D1169C">
        <w:t>rån både Östersjön och Atlanten</w:t>
      </w:r>
      <w:r w:rsidR="000735F3" w:rsidRPr="00D1169C">
        <w:t xml:space="preserve"> (Fietz et al 2016).​</w:t>
      </w:r>
      <w:r w:rsidR="00D1169C" w:rsidRPr="00D1169C">
        <w:t xml:space="preserve"> </w:t>
      </w:r>
    </w:p>
    <w:p w14:paraId="7FF5C218" w14:textId="77777777" w:rsidR="000735F3" w:rsidRPr="00D1169C" w:rsidRDefault="000735F3" w:rsidP="00F87DD4">
      <w:pPr>
        <w:pStyle w:val="Brdtext"/>
      </w:pPr>
    </w:p>
    <w:p w14:paraId="3F9D1C61" w14:textId="77777777" w:rsidR="002444BD" w:rsidRDefault="00BC2E21" w:rsidP="002444BD">
      <w:pPr>
        <w:pStyle w:val="Brdtext"/>
        <w:keepNext/>
      </w:pPr>
      <w:r w:rsidRPr="00BA6B12">
        <w:rPr>
          <w:noProof/>
          <w:lang w:eastAsia="sv-SE"/>
        </w:rPr>
        <w:lastRenderedPageBreak/>
        <w:drawing>
          <wp:inline distT="0" distB="0" distL="0" distR="0" wp14:anchorId="7E093258" wp14:editId="41DD4B1C">
            <wp:extent cx="3553317" cy="4619625"/>
            <wp:effectExtent l="0" t="0" r="9525" b="0"/>
            <wp:docPr id="4" name="Picture 4" descr="W:\Petra\seals\Greyseal_haulouts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tra\seals\Greyseal_haulouts_201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0077" cy="4628414"/>
                    </a:xfrm>
                    <a:prstGeom prst="rect">
                      <a:avLst/>
                    </a:prstGeom>
                    <a:noFill/>
                    <a:ln>
                      <a:noFill/>
                    </a:ln>
                  </pic:spPr>
                </pic:pic>
              </a:graphicData>
            </a:graphic>
          </wp:inline>
        </w:drawing>
      </w:r>
    </w:p>
    <w:p w14:paraId="12240224" w14:textId="4B7411DB" w:rsidR="00BC2E21" w:rsidRPr="002444BD" w:rsidRDefault="002444BD" w:rsidP="002444BD">
      <w:pPr>
        <w:pStyle w:val="Beskrivning"/>
      </w:pPr>
      <w:r>
        <w:t xml:space="preserve">Figur </w:t>
      </w:r>
      <w:fldSimple w:instr=" SEQ Figur \* ARABIC ">
        <w:r w:rsidR="008D4843">
          <w:rPr>
            <w:noProof/>
          </w:rPr>
          <w:t>2</w:t>
        </w:r>
      </w:fldSimple>
      <w:r>
        <w:t xml:space="preserve"> </w:t>
      </w:r>
      <w:r w:rsidRPr="002444BD">
        <w:t>Platser som utnyttjas av gråsälen för vila och reproduktion</w:t>
      </w:r>
    </w:p>
    <w:p w14:paraId="1D7492FF" w14:textId="00328DB4" w:rsidR="00FD2531" w:rsidRDefault="00FD2531" w:rsidP="00F87DD4">
      <w:pPr>
        <w:pStyle w:val="Brdtext"/>
        <w:rPr>
          <w:rFonts w:ascii="Times New Roman" w:eastAsia="Times New Roman" w:hAnsi="Times New Roman" w:cs="Times New Roman"/>
          <w:sz w:val="24"/>
          <w:szCs w:val="24"/>
          <w:lang w:eastAsia="sv-SE"/>
        </w:rPr>
      </w:pPr>
      <w:r w:rsidRPr="006519D3">
        <w:rPr>
          <w:rFonts w:ascii="Times New Roman" w:eastAsia="Times New Roman" w:hAnsi="Times New Roman" w:cs="Times New Roman"/>
          <w:i/>
          <w:sz w:val="24"/>
          <w:szCs w:val="24"/>
          <w:lang w:eastAsia="sv-SE"/>
        </w:rPr>
        <w:t>Utbredning till havs</w:t>
      </w:r>
      <w:r w:rsidR="002444BD">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Gråsälen rör sig i hela Östersjön och har tillträde till födosöksplatser, varför de når god miljöstatus enligt denna parameter. Ett stort antal gråsälar har utrustats med satellit och GSM-sändare och det är uppenbart att de kan röra sig i hela Östersjön även om det inte finns några lämpliga viloplatser efter Lettlands och Litauens kuster. (Figur 3)</w:t>
      </w:r>
    </w:p>
    <w:p w14:paraId="0379BAA7" w14:textId="77777777" w:rsidR="008D4843" w:rsidRDefault="00FD2531" w:rsidP="008D4843">
      <w:pPr>
        <w:pStyle w:val="Brdtext"/>
        <w:keepNext/>
      </w:pPr>
      <w:r>
        <w:rPr>
          <w:noProof/>
          <w:lang w:eastAsia="sv-SE"/>
        </w:rPr>
        <w:lastRenderedPageBreak/>
        <w:drawing>
          <wp:inline distT="0" distB="0" distL="0" distR="0" wp14:anchorId="619755CD" wp14:editId="05C37125">
            <wp:extent cx="4127230" cy="3057525"/>
            <wp:effectExtent l="0" t="0" r="6985"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and GS.jpg"/>
                    <pic:cNvPicPr/>
                  </pic:nvPicPr>
                  <pic:blipFill rotWithShape="1">
                    <a:blip r:embed="rId10" cstate="print">
                      <a:extLst>
                        <a:ext uri="{28A0092B-C50C-407E-A947-70E740481C1C}">
                          <a14:useLocalDpi xmlns:a14="http://schemas.microsoft.com/office/drawing/2010/main" val="0"/>
                        </a:ext>
                      </a:extLst>
                    </a:blip>
                    <a:srcRect b="3305"/>
                    <a:stretch/>
                  </pic:blipFill>
                  <pic:spPr bwMode="auto">
                    <a:xfrm>
                      <a:off x="0" y="0"/>
                      <a:ext cx="4127658" cy="3057842"/>
                    </a:xfrm>
                    <a:prstGeom prst="rect">
                      <a:avLst/>
                    </a:prstGeom>
                    <a:ln>
                      <a:noFill/>
                    </a:ln>
                    <a:extLst>
                      <a:ext uri="{53640926-AAD7-44D8-BBD7-CCE9431645EC}">
                        <a14:shadowObscured xmlns:a14="http://schemas.microsoft.com/office/drawing/2010/main"/>
                      </a:ext>
                    </a:extLst>
                  </pic:spPr>
                </pic:pic>
              </a:graphicData>
            </a:graphic>
          </wp:inline>
        </w:drawing>
      </w:r>
    </w:p>
    <w:p w14:paraId="1C37F5B0" w14:textId="58AF8B22" w:rsidR="000735F3" w:rsidRPr="008D4843" w:rsidRDefault="008D4843" w:rsidP="008D4843">
      <w:pPr>
        <w:pStyle w:val="Beskrivning"/>
        <w:rPr>
          <w:sz w:val="24"/>
          <w:szCs w:val="24"/>
        </w:rPr>
      </w:pPr>
      <w:r>
        <w:t xml:space="preserve">Figur </w:t>
      </w:r>
      <w:fldSimple w:instr=" SEQ Figur \* ARABIC ">
        <w:r>
          <w:rPr>
            <w:noProof/>
          </w:rPr>
          <w:t>3</w:t>
        </w:r>
      </w:fldSimple>
      <w:r>
        <w:t xml:space="preserve"> </w:t>
      </w:r>
      <w:r w:rsidRPr="008D4843">
        <w:t>Gråsälen (vitt) rör sig fritt mellan födosöksplatser I Östersjön. I detta exempel kommer data från gråsälarfångade på Måkläppen utanför Falsterbo</w:t>
      </w:r>
    </w:p>
    <w:p w14:paraId="028BF020" w14:textId="296FA22A" w:rsidR="00F87DD4" w:rsidRDefault="00A34FB5" w:rsidP="008D4843">
      <w:pPr>
        <w:pStyle w:val="Brdtext"/>
        <w:spacing w:line="276" w:lineRule="auto"/>
      </w:pPr>
      <w:r>
        <w:t>Skattningarna av miljöstatus är baserade på mycket goda data, och ses som höga.</w:t>
      </w:r>
      <w:r w:rsidR="008D4843">
        <w:t xml:space="preserve"> </w:t>
      </w:r>
      <w:r w:rsidR="0070387B">
        <w:t>Värde(n) för god miljöstatus</w:t>
      </w:r>
      <w:r w:rsidR="008D1CB2">
        <w:t xml:space="preserve"> samt bedömning</w:t>
      </w:r>
      <w:r w:rsidR="00F0386D">
        <w:t xml:space="preserve"> (</w:t>
      </w:r>
      <w:r w:rsidR="00D403D0">
        <w:t>Detaljer l</w:t>
      </w:r>
      <w:r w:rsidR="00F0386D">
        <w:t>istas i tabell 1 och/eller 2 i sektion 1, del 2D)</w:t>
      </w:r>
      <w:r w:rsidR="00F87DD4">
        <w:t xml:space="preserve">. </w:t>
      </w:r>
    </w:p>
    <w:p w14:paraId="4D87BCE3" w14:textId="77777777" w:rsidR="00DC0E15" w:rsidRDefault="00A34FB5" w:rsidP="007C6A94">
      <w:pPr>
        <w:pStyle w:val="Brdtext"/>
      </w:pPr>
      <w:r>
        <w:t>2.4. Diskussion</w:t>
      </w:r>
      <w:r w:rsidR="00F87DD4">
        <w:t>.</w:t>
      </w:r>
    </w:p>
    <w:p w14:paraId="6B663252" w14:textId="77777777" w:rsidR="00060587" w:rsidRDefault="00A34FB5"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Gråsälen når god miljöstatus i huvuddelen av Östersjön och expanderar antalsmässigt i södra Östersjön. Ny-gamla lokaler har återkoloniserats under de senaste decennierna även i sydvästra Östersjön</w:t>
      </w:r>
      <w:r w:rsidR="00060587">
        <w:rPr>
          <w:rFonts w:ascii="Times New Roman" w:eastAsia="Times New Roman" w:hAnsi="Times New Roman" w:cs="Times New Roman"/>
          <w:sz w:val="24"/>
          <w:szCs w:val="24"/>
          <w:lang w:eastAsia="sv-SE"/>
        </w:rPr>
        <w:t>. Denna process kommer troligen att fortsätta i framtiden. Utvärderingen baseras på mycket goda data insamlade under flera decennier där förändringar i gråsälens utbredning kunnat följas</w:t>
      </w:r>
    </w:p>
    <w:p w14:paraId="475A14B7" w14:textId="77777777" w:rsidR="00060587" w:rsidRDefault="00060587" w:rsidP="007C6A94">
      <w:pPr>
        <w:pStyle w:val="Brdtex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Varmare klimat kommer dock att påverka denna process då expansionstakten sannolikt påverkas av tillväxthastigheten i populationen. Gråsälen föder sin kut  i drivis om sådan finns tillgänglig, men på land då is saknas. Dödligheten under första månaden är 30% på land och endast några få procent när kuten föds på is (Jussi m.fl.), Detta leder till lägre tillväxthastigheti populationen</w:t>
      </w:r>
    </w:p>
    <w:p w14:paraId="65D98140" w14:textId="77777777" w:rsidR="00060587" w:rsidRPr="002C0814" w:rsidRDefault="00060587" w:rsidP="007C6A94">
      <w:pPr>
        <w:pStyle w:val="Brdtext"/>
      </w:pPr>
    </w:p>
    <w:p w14:paraId="64406D1C" w14:textId="77777777" w:rsidR="00744D37" w:rsidRPr="008D4843" w:rsidRDefault="00744D37" w:rsidP="007C6A94">
      <w:pPr>
        <w:pStyle w:val="Brdtext"/>
        <w:rPr>
          <w:u w:val="single"/>
          <w:lang w:val="en-US"/>
        </w:rPr>
      </w:pPr>
      <w:r w:rsidRPr="008D4843">
        <w:rPr>
          <w:u w:val="single"/>
          <w:lang w:val="en-US"/>
        </w:rPr>
        <w:t>2.5. Referenser</w:t>
      </w:r>
    </w:p>
    <w:p w14:paraId="16A6A47D" w14:textId="77777777" w:rsidR="00C646EB" w:rsidRPr="00C646EB" w:rsidRDefault="00C646EB" w:rsidP="00C646EB">
      <w:pPr>
        <w:rPr>
          <w:lang w:val="en-US"/>
        </w:rPr>
      </w:pPr>
      <w:r w:rsidRPr="00C646EB">
        <w:rPr>
          <w:lang w:val="en-US"/>
        </w:rPr>
        <w:t>Bäcklin, B.-M., Moraeus, C., Roos, A., Eklöf, E., Lind, Y. (2011) Health and age and sex distributions of Baltic grey seals (</w:t>
      </w:r>
      <w:r w:rsidRPr="00C646EB">
        <w:rPr>
          <w:i/>
          <w:iCs/>
          <w:lang w:val="en-US"/>
        </w:rPr>
        <w:t>Halichoerus grypus</w:t>
      </w:r>
      <w:r w:rsidRPr="00C646EB">
        <w:rPr>
          <w:lang w:val="en-US"/>
        </w:rPr>
        <w:t>) collected from bycatch and hunt in the Gulf of Bothnia. ICES Journal of Marine Science 68: 183-188.</w:t>
      </w:r>
    </w:p>
    <w:p w14:paraId="120116AC" w14:textId="77777777" w:rsidR="00C646EB" w:rsidRPr="00C646EB" w:rsidRDefault="00C646EB" w:rsidP="00C646EB">
      <w:pPr>
        <w:rPr>
          <w:lang w:val="en-US"/>
        </w:rPr>
      </w:pPr>
      <w:r w:rsidRPr="00C646EB">
        <w:rPr>
          <w:lang w:val="en-US"/>
        </w:rPr>
        <w:t>Bäcklin, B.-M., Moraeus, C., Kauhala, K., Isomursu, M. (2013) Pregnancy rates of the marine mammals - Particular emphasis on Baltic grey and ringed seals. HELCOM web portal.</w:t>
      </w:r>
    </w:p>
    <w:p w14:paraId="4ECF6DFE" w14:textId="77777777" w:rsidR="00C646EB" w:rsidRPr="00C979EB" w:rsidRDefault="00C646EB" w:rsidP="00C646EB">
      <w:pPr>
        <w:rPr>
          <w:lang w:val="en-GB"/>
        </w:rPr>
      </w:pPr>
      <w:r w:rsidRPr="00C646EB">
        <w:rPr>
          <w:lang w:val="en-US"/>
        </w:rPr>
        <w:t xml:space="preserve">Bergman, A., Olsson, M. (1985) Pathology of Baltic grey seal and ringed seal females with special reference to adrenocortical hyperplasia: Is environmental pollution the cause of a widely distributed disease syndrome. </w:t>
      </w:r>
      <w:r w:rsidRPr="00C979EB">
        <w:rPr>
          <w:lang w:val="en-GB"/>
        </w:rPr>
        <w:t>Finnish Game Res. 44: 47-62.</w:t>
      </w:r>
    </w:p>
    <w:p w14:paraId="06BB9B3E" w14:textId="77777777" w:rsidR="00DC0E15" w:rsidRDefault="00C646EB" w:rsidP="00C646EB">
      <w:pPr>
        <w:pStyle w:val="Brdtext"/>
      </w:pPr>
      <w:r w:rsidRPr="00C646EB">
        <w:rPr>
          <w:lang w:val="en-US"/>
        </w:rPr>
        <w:t>Bergman, A. (1999) Health condition of the Baltic grey seal (</w:t>
      </w:r>
      <w:r w:rsidRPr="00C646EB">
        <w:rPr>
          <w:i/>
          <w:iCs/>
          <w:lang w:val="en-US"/>
        </w:rPr>
        <w:t>Halichoerus grypus</w:t>
      </w:r>
      <w:r w:rsidRPr="00C646EB">
        <w:rPr>
          <w:lang w:val="en-US"/>
        </w:rPr>
        <w:t xml:space="preserve">) during two decades. </w:t>
      </w:r>
      <w:r w:rsidRPr="009003C3">
        <w:t>Apmis 107(1‐6): 270-282</w:t>
      </w:r>
    </w:p>
    <w:p w14:paraId="663F5790" w14:textId="77777777" w:rsidR="00A34FB5" w:rsidRPr="00A34FB5" w:rsidRDefault="00A34FB5" w:rsidP="00A34FB5">
      <w:pPr>
        <w:pStyle w:val="Brdtext"/>
        <w:rPr>
          <w:lang w:val="en-US"/>
        </w:rPr>
      </w:pPr>
      <w:r w:rsidRPr="00E30B60">
        <w:lastRenderedPageBreak/>
        <w:t xml:space="preserve">Fietz, K., A. Galatius, J. Teilmann, R. Dietz, A. K. Frie, A. Klimova, P. Palsbøll, L. Jensen, J. A. Graves, J. I. Hoffman and M. T. Olsen (2016). </w:t>
      </w:r>
      <w:r w:rsidRPr="00A34FB5">
        <w:rPr>
          <w:lang w:val="en-US"/>
        </w:rPr>
        <w:t>"Shift of grey seal subspecies boundaries in response to climate, culling and conservation." Molecular Ecology 25(17): 4097-4112.</w:t>
      </w:r>
    </w:p>
    <w:p w14:paraId="09295476" w14:textId="77777777" w:rsidR="00DC0E15" w:rsidRPr="004A6E88" w:rsidRDefault="00DC0E15" w:rsidP="00DC0E15">
      <w:pPr>
        <w:rPr>
          <w:lang w:val="en-US"/>
        </w:rPr>
      </w:pPr>
      <w:r w:rsidRPr="00DC0E15">
        <w:rPr>
          <w:lang w:val="en-US"/>
        </w:rPr>
        <w:t xml:space="preserve">Galatius, A., Ahola, M., Härkönen, T., Jüssi, I., Jüssi, M., Karlsson, O., Verevkin, M. (2014) Guidelines for seal abundance monitoring in the HELCOM area 2014. Available at: </w:t>
      </w:r>
      <w:hyperlink r:id="rId11" w:history="1">
        <w:r w:rsidRPr="00DC0E15">
          <w:rPr>
            <w:rStyle w:val="Hyperlnk"/>
            <w:rFonts w:eastAsiaTheme="majorEastAsia"/>
            <w:lang w:val="en-US"/>
          </w:rPr>
          <w:t>http://helcom.fi/Documents/Action%20areas/Monitoring%20and%20assessment/Manuals%20and%20Guidelines/Guidelines%20for%20Seal%20Abundance%20Monitoring%20HELCOM%202014.pdf</w:t>
        </w:r>
      </w:hyperlink>
    </w:p>
    <w:p w14:paraId="1199E932" w14:textId="77777777" w:rsidR="00DC0E15" w:rsidRDefault="00DC0E15" w:rsidP="00DC0E15">
      <w:pPr>
        <w:rPr>
          <w:lang w:val="en-US"/>
        </w:rPr>
      </w:pPr>
      <w:r w:rsidRPr="00DC0E15">
        <w:rPr>
          <w:lang w:val="en-US"/>
        </w:rPr>
        <w:t xml:space="preserve">Harding, K.C., Härkönen, T.J. (1999) Development in the Baltic grey seal </w:t>
      </w:r>
      <w:r w:rsidRPr="00DC0E15">
        <w:rPr>
          <w:i/>
          <w:iCs/>
          <w:lang w:val="en-US"/>
        </w:rPr>
        <w:t>(Halichoerus grypus)</w:t>
      </w:r>
      <w:r w:rsidRPr="00DC0E15">
        <w:rPr>
          <w:lang w:val="en-US"/>
        </w:rPr>
        <w:t xml:space="preserve"> and ringed seal </w:t>
      </w:r>
      <w:r w:rsidRPr="00DC0E15">
        <w:rPr>
          <w:i/>
          <w:iCs/>
          <w:lang w:val="en-US"/>
        </w:rPr>
        <w:t>(Phoca hispida)</w:t>
      </w:r>
      <w:r w:rsidRPr="00DC0E15">
        <w:rPr>
          <w:lang w:val="en-US"/>
        </w:rPr>
        <w:t xml:space="preserve"> populations during the 20th century. Ambio 28: 619-627.</w:t>
      </w:r>
    </w:p>
    <w:p w14:paraId="5893CABA" w14:textId="77777777" w:rsidR="00024709" w:rsidRPr="00DC0E15" w:rsidRDefault="00024709" w:rsidP="00DC0E15">
      <w:pPr>
        <w:rPr>
          <w:lang w:val="en-US"/>
        </w:rPr>
      </w:pPr>
      <w:r w:rsidRPr="00024709">
        <w:rPr>
          <w:lang w:val="en-US"/>
        </w:rPr>
        <w:t>Harding, K., M. Fujiwara, Y. Axberg and T. Härkönen (2005). Mass dependent energetics and survival in harbour seal pups. Functional Ecology, 19: 129-135.</w:t>
      </w:r>
    </w:p>
    <w:p w14:paraId="38D517D0" w14:textId="77777777" w:rsidR="00DC0E15" w:rsidRPr="00C979EB" w:rsidRDefault="00DC0E15" w:rsidP="00DC0E15">
      <w:pPr>
        <w:pStyle w:val="Brdtext"/>
        <w:rPr>
          <w:lang w:val="en-GB"/>
        </w:rPr>
      </w:pPr>
      <w:r w:rsidRPr="00DC0E15">
        <w:rPr>
          <w:lang w:val="en-US"/>
        </w:rPr>
        <w:t xml:space="preserve">Harding, K.C., Härkönen, T., Helander, B., Karlsson, O. (2007) Status of Baltic grey seals: Population assessment and risk analysis. </w:t>
      </w:r>
      <w:r w:rsidRPr="00C979EB">
        <w:rPr>
          <w:lang w:val="en-GB"/>
        </w:rPr>
        <w:t>NAMMCO Scientific Publications 6: 33-56.</w:t>
      </w:r>
    </w:p>
    <w:p w14:paraId="2F7C979E" w14:textId="7E8E2DDB" w:rsidR="004E6697" w:rsidRDefault="004E6697" w:rsidP="00DC0E15">
      <w:pPr>
        <w:rPr>
          <w:lang w:val="en-US"/>
        </w:rPr>
      </w:pPr>
      <w:r>
        <w:rPr>
          <w:lang w:val="en-US"/>
        </w:rPr>
        <w:t xml:space="preserve">Helcom (2017) Distribution of Baltic seals. </w:t>
      </w:r>
      <w:hyperlink r:id="rId12" w:history="1">
        <w:r w:rsidRPr="001A08E0">
          <w:rPr>
            <w:rStyle w:val="Hyperlnk"/>
            <w:lang w:val="en-US"/>
          </w:rPr>
          <w:t>http://helcom.fi/baltic-sea-trends/indicators/distribution-of-baltic-seals/</w:t>
        </w:r>
      </w:hyperlink>
    </w:p>
    <w:p w14:paraId="61FF6306" w14:textId="66B7AD34" w:rsidR="00DC0E15" w:rsidRPr="004A6E88" w:rsidRDefault="00DC0E15" w:rsidP="00DC0E15">
      <w:pPr>
        <w:rPr>
          <w:lang w:val="en-US"/>
        </w:rPr>
      </w:pPr>
      <w:r w:rsidRPr="00DC0E15">
        <w:rPr>
          <w:lang w:val="en-US"/>
        </w:rPr>
        <w:t xml:space="preserve">Härkönen, T., Brasseur, S., Teilmann, J., Vincent, C., Dietz, R., Reijnders, P., Abt, K. (2007) Status of grey seals along mainland Europe, from the Baltic to France. </w:t>
      </w:r>
      <w:r w:rsidRPr="004A6E88">
        <w:rPr>
          <w:lang w:val="en-US"/>
        </w:rPr>
        <w:t>NAMMCO Scientific Publications 6: 57-68.</w:t>
      </w:r>
    </w:p>
    <w:p w14:paraId="1D86BC91" w14:textId="77777777" w:rsidR="00C646EB" w:rsidRPr="009003C3" w:rsidRDefault="00C646EB" w:rsidP="00C646EB">
      <w:pPr>
        <w:rPr>
          <w:lang w:val="sv-FI"/>
        </w:rPr>
      </w:pPr>
      <w:r w:rsidRPr="00C646EB">
        <w:rPr>
          <w:lang w:val="en-US"/>
        </w:rPr>
        <w:t>Jüssi, M., Härkönen, T., Jüssi, I., Helle, E. (2008) Decreasing ice coverage will reduce the reproductive success of Baltic grey seal (</w:t>
      </w:r>
      <w:r w:rsidRPr="00C646EB">
        <w:rPr>
          <w:i/>
          <w:iCs/>
          <w:lang w:val="en-US"/>
        </w:rPr>
        <w:t>Halichoerus grypus)</w:t>
      </w:r>
      <w:r w:rsidRPr="00C646EB">
        <w:rPr>
          <w:lang w:val="en-US"/>
        </w:rPr>
        <w:t xml:space="preserve"> females. </w:t>
      </w:r>
      <w:r w:rsidRPr="009003C3">
        <w:rPr>
          <w:lang w:val="sv-FI"/>
        </w:rPr>
        <w:t>Ambio 37: 80–85.</w:t>
      </w:r>
    </w:p>
    <w:p w14:paraId="54FCC2EB" w14:textId="77777777" w:rsidR="00C646EB" w:rsidRPr="009003C3" w:rsidRDefault="00C646EB" w:rsidP="00C646EB">
      <w:r w:rsidRPr="009003C3">
        <w:rPr>
          <w:lang w:val="sv-FI"/>
        </w:rPr>
        <w:t xml:space="preserve">Karlsson, O., Härkönen, T., Bäcklin, B.-M. (2008) Populationer på tillväxt. </w:t>
      </w:r>
      <w:r w:rsidRPr="009003C3">
        <w:t>Havet 2008: 91-92.</w:t>
      </w:r>
    </w:p>
    <w:p w14:paraId="7FCE8CB5" w14:textId="77777777" w:rsidR="00C646EB" w:rsidRPr="009003C3" w:rsidRDefault="00C646EB" w:rsidP="00DC0E15"/>
    <w:p w14:paraId="31F8E5B4" w14:textId="77777777" w:rsidR="00DC0E15" w:rsidRPr="000373D5" w:rsidRDefault="00DC0E15" w:rsidP="00DC0E15">
      <w:pPr>
        <w:pStyle w:val="Brdtext"/>
      </w:pPr>
      <w:bookmarkStart w:id="0" w:name="_GoBack"/>
      <w:bookmarkEnd w:id="0"/>
    </w:p>
    <w:sectPr w:rsidR="00DC0E15" w:rsidRPr="000373D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77D30" w14:textId="77777777" w:rsidR="00501ADA" w:rsidRDefault="00501ADA" w:rsidP="00D846CA">
      <w:r>
        <w:separator/>
      </w:r>
    </w:p>
  </w:endnote>
  <w:endnote w:type="continuationSeparator" w:id="0">
    <w:p w14:paraId="0E0F6DD8" w14:textId="77777777" w:rsidR="00501ADA" w:rsidRDefault="00501ADA"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569BC0B5" w14:textId="74029AD2" w:rsidR="00CC7FE7" w:rsidRDefault="00CC7FE7">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9F5640">
          <w:rPr>
            <w:sz w:val="18"/>
            <w:szCs w:val="18"/>
          </w:rPr>
          <w:t>11</w:t>
        </w:r>
        <w:r w:rsidRPr="00D403D0">
          <w:rPr>
            <w:sz w:val="18"/>
            <w:szCs w:val="18"/>
          </w:rPr>
          <w:fldChar w:fldCharType="end"/>
        </w:r>
      </w:p>
    </w:sdtContent>
  </w:sdt>
  <w:p w14:paraId="303CC189" w14:textId="77777777" w:rsidR="00CC7FE7" w:rsidRPr="00356C54" w:rsidRDefault="00CC7FE7"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F151A" w14:textId="77777777" w:rsidR="00501ADA" w:rsidRDefault="00501ADA" w:rsidP="00D846CA">
      <w:r>
        <w:separator/>
      </w:r>
    </w:p>
  </w:footnote>
  <w:footnote w:type="continuationSeparator" w:id="0">
    <w:p w14:paraId="5AF53058" w14:textId="77777777" w:rsidR="00501ADA" w:rsidRDefault="00501ADA"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16DD" w14:textId="77777777" w:rsidR="00CC7FE7" w:rsidRDefault="00CC7FE7">
    <w:pPr>
      <w:pStyle w:val="Sidhuvud"/>
    </w:pPr>
    <w:bookmarkStart w:id="1" w:name="bmLogga"/>
    <w:r>
      <w:rPr>
        <w:lang w:eastAsia="sv-SE"/>
      </w:rPr>
      <w:drawing>
        <wp:inline distT="0" distB="0" distL="0" distR="0" wp14:anchorId="2E3CD110" wp14:editId="6E2D28E7">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36111539" w14:textId="77777777" w:rsidR="00CC7FE7" w:rsidRPr="005A4563" w:rsidRDefault="00CC7FE7"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20006"/>
    <w:multiLevelType w:val="hybridMultilevel"/>
    <w:tmpl w:val="38D48F44"/>
    <w:lvl w:ilvl="0" w:tplc="F96EB1F2">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5"/>
  </w:num>
  <w:num w:numId="14">
    <w:abstractNumId w:val="2"/>
  </w:num>
  <w:num w:numId="15">
    <w:abstractNumId w:val="16"/>
  </w:num>
  <w:num w:numId="16">
    <w:abstractNumId w:val="4"/>
  </w:num>
  <w:num w:numId="17">
    <w:abstractNumId w:val="3"/>
  </w:num>
  <w:num w:numId="18">
    <w:abstractNumId w:val="18"/>
  </w:num>
  <w:num w:numId="19">
    <w:abstractNumId w:val="17"/>
  </w:num>
  <w:num w:numId="20">
    <w:abstractNumId w:val="11"/>
  </w:num>
  <w:num w:numId="21">
    <w:abstractNumId w:val="6"/>
  </w:num>
  <w:num w:numId="22">
    <w:abstractNumId w:val="9"/>
  </w:num>
  <w:num w:numId="23">
    <w:abstractNumId w:val="10"/>
  </w:num>
  <w:num w:numId="24">
    <w:abstractNumId w:val="5"/>
  </w:num>
  <w:num w:numId="25">
    <w:abstractNumId w:val="12"/>
  </w:num>
  <w:num w:numId="26">
    <w:abstractNumId w:val="7"/>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13EF4"/>
    <w:rsid w:val="00017F8E"/>
    <w:rsid w:val="00024709"/>
    <w:rsid w:val="000373D5"/>
    <w:rsid w:val="000537AF"/>
    <w:rsid w:val="00060587"/>
    <w:rsid w:val="000735F3"/>
    <w:rsid w:val="0008257F"/>
    <w:rsid w:val="0008484B"/>
    <w:rsid w:val="0009349B"/>
    <w:rsid w:val="00096600"/>
    <w:rsid w:val="00096F5B"/>
    <w:rsid w:val="000A5011"/>
    <w:rsid w:val="000B2C75"/>
    <w:rsid w:val="0011411D"/>
    <w:rsid w:val="001319EF"/>
    <w:rsid w:val="00134617"/>
    <w:rsid w:val="00151EF7"/>
    <w:rsid w:val="00164849"/>
    <w:rsid w:val="0016771B"/>
    <w:rsid w:val="00170F06"/>
    <w:rsid w:val="00192AF0"/>
    <w:rsid w:val="001A460F"/>
    <w:rsid w:val="001B300A"/>
    <w:rsid w:val="001B602A"/>
    <w:rsid w:val="001B6F45"/>
    <w:rsid w:val="001C2CEC"/>
    <w:rsid w:val="001C677F"/>
    <w:rsid w:val="001E6610"/>
    <w:rsid w:val="002047A7"/>
    <w:rsid w:val="002110E2"/>
    <w:rsid w:val="00214ADB"/>
    <w:rsid w:val="00215646"/>
    <w:rsid w:val="00223AE4"/>
    <w:rsid w:val="002444BD"/>
    <w:rsid w:val="00261373"/>
    <w:rsid w:val="00266B3C"/>
    <w:rsid w:val="0028242D"/>
    <w:rsid w:val="002A1460"/>
    <w:rsid w:val="002A1915"/>
    <w:rsid w:val="002A24A2"/>
    <w:rsid w:val="002A75E8"/>
    <w:rsid w:val="002C0814"/>
    <w:rsid w:val="002C6246"/>
    <w:rsid w:val="002D1D2E"/>
    <w:rsid w:val="002E7F02"/>
    <w:rsid w:val="002F35E1"/>
    <w:rsid w:val="0034175C"/>
    <w:rsid w:val="003523FF"/>
    <w:rsid w:val="00353866"/>
    <w:rsid w:val="00354126"/>
    <w:rsid w:val="00356C54"/>
    <w:rsid w:val="00373939"/>
    <w:rsid w:val="00397D26"/>
    <w:rsid w:val="003A3307"/>
    <w:rsid w:val="003B4CD1"/>
    <w:rsid w:val="003B55CE"/>
    <w:rsid w:val="003B718B"/>
    <w:rsid w:val="003C1776"/>
    <w:rsid w:val="003C4075"/>
    <w:rsid w:val="003D70BF"/>
    <w:rsid w:val="00405935"/>
    <w:rsid w:val="00414CE6"/>
    <w:rsid w:val="00427C7F"/>
    <w:rsid w:val="0045136E"/>
    <w:rsid w:val="004705C4"/>
    <w:rsid w:val="00472353"/>
    <w:rsid w:val="00473D1A"/>
    <w:rsid w:val="00475B09"/>
    <w:rsid w:val="00477D2E"/>
    <w:rsid w:val="004823C7"/>
    <w:rsid w:val="00494C42"/>
    <w:rsid w:val="004A6E88"/>
    <w:rsid w:val="004A79FE"/>
    <w:rsid w:val="004B7657"/>
    <w:rsid w:val="004E35C5"/>
    <w:rsid w:val="004E6697"/>
    <w:rsid w:val="00501ADA"/>
    <w:rsid w:val="00504259"/>
    <w:rsid w:val="00507177"/>
    <w:rsid w:val="005201F8"/>
    <w:rsid w:val="005215C9"/>
    <w:rsid w:val="00533574"/>
    <w:rsid w:val="00544886"/>
    <w:rsid w:val="00546A93"/>
    <w:rsid w:val="00565E25"/>
    <w:rsid w:val="0057175A"/>
    <w:rsid w:val="005A4400"/>
    <w:rsid w:val="005A4563"/>
    <w:rsid w:val="005B126E"/>
    <w:rsid w:val="005B76FC"/>
    <w:rsid w:val="005B7929"/>
    <w:rsid w:val="005C417C"/>
    <w:rsid w:val="005C5024"/>
    <w:rsid w:val="005D132C"/>
    <w:rsid w:val="005D439F"/>
    <w:rsid w:val="005F1472"/>
    <w:rsid w:val="006024F8"/>
    <w:rsid w:val="00610375"/>
    <w:rsid w:val="006122F7"/>
    <w:rsid w:val="00616EF0"/>
    <w:rsid w:val="0062144B"/>
    <w:rsid w:val="0063192F"/>
    <w:rsid w:val="006519D3"/>
    <w:rsid w:val="00665204"/>
    <w:rsid w:val="00680367"/>
    <w:rsid w:val="006944D5"/>
    <w:rsid w:val="006A1C72"/>
    <w:rsid w:val="006B793D"/>
    <w:rsid w:val="006E3BFE"/>
    <w:rsid w:val="006E53FF"/>
    <w:rsid w:val="006E66C8"/>
    <w:rsid w:val="006F2354"/>
    <w:rsid w:val="006F2C73"/>
    <w:rsid w:val="006F648D"/>
    <w:rsid w:val="006F7BEC"/>
    <w:rsid w:val="0070387B"/>
    <w:rsid w:val="007403BE"/>
    <w:rsid w:val="00744D37"/>
    <w:rsid w:val="0074512A"/>
    <w:rsid w:val="0074555C"/>
    <w:rsid w:val="00754000"/>
    <w:rsid w:val="007605D9"/>
    <w:rsid w:val="007620E9"/>
    <w:rsid w:val="0076326F"/>
    <w:rsid w:val="00764336"/>
    <w:rsid w:val="007647D8"/>
    <w:rsid w:val="00773B4E"/>
    <w:rsid w:val="00783466"/>
    <w:rsid w:val="00785BB5"/>
    <w:rsid w:val="00796C21"/>
    <w:rsid w:val="007A0C77"/>
    <w:rsid w:val="007A1EFA"/>
    <w:rsid w:val="007A39EC"/>
    <w:rsid w:val="007A4DC2"/>
    <w:rsid w:val="007C0D98"/>
    <w:rsid w:val="007C6A94"/>
    <w:rsid w:val="007C7C4A"/>
    <w:rsid w:val="007D0B24"/>
    <w:rsid w:val="007E2CB3"/>
    <w:rsid w:val="00804043"/>
    <w:rsid w:val="00804DBE"/>
    <w:rsid w:val="00831FA3"/>
    <w:rsid w:val="0083775B"/>
    <w:rsid w:val="0086188F"/>
    <w:rsid w:val="00871A86"/>
    <w:rsid w:val="00871A93"/>
    <w:rsid w:val="00871B13"/>
    <w:rsid w:val="00884E7A"/>
    <w:rsid w:val="00884FCF"/>
    <w:rsid w:val="008879D8"/>
    <w:rsid w:val="008A483A"/>
    <w:rsid w:val="008B1796"/>
    <w:rsid w:val="008B3851"/>
    <w:rsid w:val="008B5020"/>
    <w:rsid w:val="008C3A39"/>
    <w:rsid w:val="008C4950"/>
    <w:rsid w:val="008D1CB2"/>
    <w:rsid w:val="008D2961"/>
    <w:rsid w:val="008D4006"/>
    <w:rsid w:val="008D4843"/>
    <w:rsid w:val="008E759E"/>
    <w:rsid w:val="009030C6"/>
    <w:rsid w:val="00931192"/>
    <w:rsid w:val="009344CC"/>
    <w:rsid w:val="00936E12"/>
    <w:rsid w:val="0094035B"/>
    <w:rsid w:val="009510BE"/>
    <w:rsid w:val="00957EE3"/>
    <w:rsid w:val="00963995"/>
    <w:rsid w:val="009737DB"/>
    <w:rsid w:val="00976CD1"/>
    <w:rsid w:val="00983754"/>
    <w:rsid w:val="0099593C"/>
    <w:rsid w:val="009A768D"/>
    <w:rsid w:val="009B4BAE"/>
    <w:rsid w:val="009C255F"/>
    <w:rsid w:val="009D5271"/>
    <w:rsid w:val="009E1C01"/>
    <w:rsid w:val="009E23BB"/>
    <w:rsid w:val="009F5640"/>
    <w:rsid w:val="009F7A72"/>
    <w:rsid w:val="00A03643"/>
    <w:rsid w:val="00A126B2"/>
    <w:rsid w:val="00A1284B"/>
    <w:rsid w:val="00A14805"/>
    <w:rsid w:val="00A34FB5"/>
    <w:rsid w:val="00A410B2"/>
    <w:rsid w:val="00A74D17"/>
    <w:rsid w:val="00A82AAC"/>
    <w:rsid w:val="00A84F48"/>
    <w:rsid w:val="00AA0079"/>
    <w:rsid w:val="00AA30A2"/>
    <w:rsid w:val="00AC2496"/>
    <w:rsid w:val="00AC2815"/>
    <w:rsid w:val="00AC3B7F"/>
    <w:rsid w:val="00AD5809"/>
    <w:rsid w:val="00B028DB"/>
    <w:rsid w:val="00B0348F"/>
    <w:rsid w:val="00B13809"/>
    <w:rsid w:val="00B22B22"/>
    <w:rsid w:val="00B41CBA"/>
    <w:rsid w:val="00B45879"/>
    <w:rsid w:val="00B54F8E"/>
    <w:rsid w:val="00B63A59"/>
    <w:rsid w:val="00B7632E"/>
    <w:rsid w:val="00B83C7B"/>
    <w:rsid w:val="00B94615"/>
    <w:rsid w:val="00B94E43"/>
    <w:rsid w:val="00B966B8"/>
    <w:rsid w:val="00BC1B8A"/>
    <w:rsid w:val="00BC2E21"/>
    <w:rsid w:val="00BC4AC5"/>
    <w:rsid w:val="00BC5D3C"/>
    <w:rsid w:val="00BC6F9E"/>
    <w:rsid w:val="00BE3240"/>
    <w:rsid w:val="00BF2AF9"/>
    <w:rsid w:val="00C00D60"/>
    <w:rsid w:val="00C075F4"/>
    <w:rsid w:val="00C07E1B"/>
    <w:rsid w:val="00C336D1"/>
    <w:rsid w:val="00C35FDA"/>
    <w:rsid w:val="00C368A7"/>
    <w:rsid w:val="00C412F0"/>
    <w:rsid w:val="00C4515A"/>
    <w:rsid w:val="00C5124C"/>
    <w:rsid w:val="00C53C5D"/>
    <w:rsid w:val="00C646EB"/>
    <w:rsid w:val="00C65497"/>
    <w:rsid w:val="00C76A0C"/>
    <w:rsid w:val="00C76BC1"/>
    <w:rsid w:val="00C8208C"/>
    <w:rsid w:val="00C92DEA"/>
    <w:rsid w:val="00C939BE"/>
    <w:rsid w:val="00C979EB"/>
    <w:rsid w:val="00CA526E"/>
    <w:rsid w:val="00CA7B54"/>
    <w:rsid w:val="00CB57D2"/>
    <w:rsid w:val="00CB6DA4"/>
    <w:rsid w:val="00CC7FE7"/>
    <w:rsid w:val="00CD0774"/>
    <w:rsid w:val="00CE44D5"/>
    <w:rsid w:val="00CE6559"/>
    <w:rsid w:val="00CE71D2"/>
    <w:rsid w:val="00CF2AEF"/>
    <w:rsid w:val="00CF363B"/>
    <w:rsid w:val="00CF517E"/>
    <w:rsid w:val="00CF63E2"/>
    <w:rsid w:val="00CF6520"/>
    <w:rsid w:val="00CF6615"/>
    <w:rsid w:val="00D00924"/>
    <w:rsid w:val="00D0220B"/>
    <w:rsid w:val="00D05BBE"/>
    <w:rsid w:val="00D07703"/>
    <w:rsid w:val="00D110E3"/>
    <w:rsid w:val="00D1169C"/>
    <w:rsid w:val="00D36E51"/>
    <w:rsid w:val="00D403D0"/>
    <w:rsid w:val="00D44830"/>
    <w:rsid w:val="00D607A5"/>
    <w:rsid w:val="00D60C47"/>
    <w:rsid w:val="00D740A0"/>
    <w:rsid w:val="00D80C15"/>
    <w:rsid w:val="00D846CA"/>
    <w:rsid w:val="00DA66D1"/>
    <w:rsid w:val="00DB34D6"/>
    <w:rsid w:val="00DB5432"/>
    <w:rsid w:val="00DC0E15"/>
    <w:rsid w:val="00DD2099"/>
    <w:rsid w:val="00DD2762"/>
    <w:rsid w:val="00DD2930"/>
    <w:rsid w:val="00DD75F9"/>
    <w:rsid w:val="00DE67DC"/>
    <w:rsid w:val="00DF56BE"/>
    <w:rsid w:val="00E05C07"/>
    <w:rsid w:val="00E1212C"/>
    <w:rsid w:val="00E13817"/>
    <w:rsid w:val="00E15230"/>
    <w:rsid w:val="00E233A0"/>
    <w:rsid w:val="00E2662C"/>
    <w:rsid w:val="00E30B60"/>
    <w:rsid w:val="00E34D20"/>
    <w:rsid w:val="00E369ED"/>
    <w:rsid w:val="00E373B3"/>
    <w:rsid w:val="00E5047D"/>
    <w:rsid w:val="00EA283A"/>
    <w:rsid w:val="00EA4CE3"/>
    <w:rsid w:val="00EC352B"/>
    <w:rsid w:val="00EF0761"/>
    <w:rsid w:val="00EF2BC0"/>
    <w:rsid w:val="00F0270F"/>
    <w:rsid w:val="00F0386D"/>
    <w:rsid w:val="00F10452"/>
    <w:rsid w:val="00F159CF"/>
    <w:rsid w:val="00F161CF"/>
    <w:rsid w:val="00F21AC7"/>
    <w:rsid w:val="00F23544"/>
    <w:rsid w:val="00F265B9"/>
    <w:rsid w:val="00F33717"/>
    <w:rsid w:val="00F45946"/>
    <w:rsid w:val="00F45A1B"/>
    <w:rsid w:val="00F525BE"/>
    <w:rsid w:val="00F562F7"/>
    <w:rsid w:val="00F61D18"/>
    <w:rsid w:val="00F87720"/>
    <w:rsid w:val="00F87DD4"/>
    <w:rsid w:val="00F93C0F"/>
    <w:rsid w:val="00FA6F3B"/>
    <w:rsid w:val="00FC5460"/>
    <w:rsid w:val="00FD2531"/>
    <w:rsid w:val="00FD53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1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rPr>
      <w:sz w:val="20"/>
      <w:szCs w:val="20"/>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customStyle="1" w:styleId="ms-rtefontface-12">
    <w:name w:val="ms-rtefontface-12"/>
    <w:basedOn w:val="Standardstycketeckensnitt"/>
    <w:rsid w:val="000735F3"/>
  </w:style>
  <w:style w:type="character" w:customStyle="1" w:styleId="ms-rtefontsize-1">
    <w:name w:val="ms-rtefontsize-1"/>
    <w:basedOn w:val="Standardstycketeckensnitt"/>
    <w:rsid w:val="000735F3"/>
  </w:style>
  <w:style w:type="paragraph" w:styleId="Beskrivning">
    <w:name w:val="caption"/>
    <w:basedOn w:val="Normal"/>
    <w:next w:val="Normal"/>
    <w:uiPriority w:val="35"/>
    <w:unhideWhenUsed/>
    <w:qFormat/>
    <w:rsid w:val="002444BD"/>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lcom.fi/baltic-sea-trends/indicators/distribution-of-baltic-se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com.fi/Documents/Action%20areas/Monitoring%20and%20assessment/Manuals%20and%20Guidelines/Guidelines%20for%20Seal%20Abundance%20Monitoring%20HELCOM%20201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36016-EF99-4AE3-820C-F5641FE9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2296</Words>
  <Characters>12174</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Normal - HaV</cp:keywords>
  <cp:lastModifiedBy/>
  <cp:revision>1</cp:revision>
  <dcterms:created xsi:type="dcterms:W3CDTF">2017-11-19T17:33:00Z</dcterms:created>
  <dcterms:modified xsi:type="dcterms:W3CDTF">2017-11-19T17:33:00Z</dcterms:modified>
</cp:coreProperties>
</file>