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D202" w14:textId="2475283D" w:rsidR="00C412F0" w:rsidRDefault="00D16777" w:rsidP="00C412F0">
      <w:pPr>
        <w:pStyle w:val="Rubrik1"/>
      </w:pPr>
      <w:r>
        <w:t xml:space="preserve"> </w:t>
      </w:r>
      <w:r w:rsidR="00C412F0">
        <w:t>Havsmiljödirektivets inledande bedömning</w:t>
      </w:r>
    </w:p>
    <w:p w14:paraId="7C167EF3" w14:textId="77777777" w:rsidR="00354126" w:rsidRPr="00C53C5D" w:rsidRDefault="00C53C5D" w:rsidP="00354126">
      <w:pPr>
        <w:pStyle w:val="Rubrik2"/>
        <w:rPr>
          <w:sz w:val="24"/>
          <w:szCs w:val="24"/>
        </w:rPr>
      </w:pPr>
      <w:r w:rsidRPr="00C53C5D">
        <w:rPr>
          <w:sz w:val="24"/>
          <w:szCs w:val="24"/>
        </w:rPr>
        <w:t>Nationellt artfaktablad för g</w:t>
      </w:r>
      <w:r w:rsidR="00405935" w:rsidRPr="00C53C5D">
        <w:rPr>
          <w:sz w:val="24"/>
          <w:szCs w:val="24"/>
        </w:rPr>
        <w:t xml:space="preserve">råsäl </w:t>
      </w:r>
      <w:r w:rsidR="00405935" w:rsidRPr="00C53C5D">
        <w:rPr>
          <w:i/>
          <w:sz w:val="24"/>
          <w:szCs w:val="24"/>
        </w:rPr>
        <w:t>(Halichoerus grypus)</w:t>
      </w:r>
      <w:r>
        <w:rPr>
          <w:sz w:val="24"/>
          <w:szCs w:val="24"/>
        </w:rPr>
        <w:t>: Trend och abundans</w:t>
      </w:r>
    </w:p>
    <w:p w14:paraId="06112399" w14:textId="77777777" w:rsidR="00C412F0" w:rsidRDefault="00C412F0" w:rsidP="00C412F0">
      <w:pPr>
        <w:pStyle w:val="Brdtext"/>
      </w:pPr>
      <w:r>
        <w:rPr>
          <w:noProof/>
          <w:lang w:eastAsia="sv-SE"/>
        </w:rPr>
        <mc:AlternateContent>
          <mc:Choice Requires="wps">
            <w:drawing>
              <wp:anchor distT="0" distB="0" distL="114300" distR="114300" simplePos="0" relativeHeight="251659264" behindDoc="0" locked="0" layoutInCell="1" allowOverlap="1" wp14:anchorId="5138909B" wp14:editId="02107B88">
                <wp:simplePos x="0" y="0"/>
                <wp:positionH relativeFrom="column">
                  <wp:posOffset>-81915</wp:posOffset>
                </wp:positionH>
                <wp:positionV relativeFrom="paragraph">
                  <wp:posOffset>69850</wp:posOffset>
                </wp:positionV>
                <wp:extent cx="5718810" cy="3602990"/>
                <wp:effectExtent l="0" t="0" r="15240" b="1651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602990"/>
                        </a:xfrm>
                        <a:prstGeom prst="rect">
                          <a:avLst/>
                        </a:prstGeom>
                        <a:solidFill>
                          <a:srgbClr val="FFFFFF"/>
                        </a:solidFill>
                        <a:ln w="9525">
                          <a:solidFill>
                            <a:srgbClr val="000000"/>
                          </a:solidFill>
                          <a:miter lim="800000"/>
                          <a:headEnd/>
                          <a:tailEnd/>
                        </a:ln>
                      </wps:spPr>
                      <wps:txbx>
                        <w:txbxContent>
                          <w:p w14:paraId="40E7B4D2" w14:textId="77777777" w:rsidR="0062144B" w:rsidRDefault="0062144B">
                            <w:r>
                              <w:t>Illustrerande bild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8909B" id="_x0000_t202" coordsize="21600,21600" o:spt="202" path="m,l,21600r21600,l21600,xe">
                <v:stroke joinstyle="miter"/>
                <v:path gradientshapeok="t" o:connecttype="rect"/>
              </v:shapetype>
              <v:shape id="Textruta 2" o:spid="_x0000_s1026" type="#_x0000_t202" style="position:absolute;margin-left:-6.45pt;margin-top:5.5pt;width:450.3pt;height:2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XF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">
                <v:textbox>
                  <w:txbxContent>
                    <w:p w14:paraId="40E7B4D2" w14:textId="77777777" w:rsidR="0062144B" w:rsidRDefault="0062144B">
                      <w:r>
                        <w:t>Illustrerande bild</w:t>
                      </w:r>
                    </w:p>
                  </w:txbxContent>
                </v:textbox>
              </v:shape>
            </w:pict>
          </mc:Fallback>
        </mc:AlternateContent>
      </w:r>
    </w:p>
    <w:p w14:paraId="5A8F46AC" w14:textId="77777777" w:rsidR="00C412F0" w:rsidRPr="00C412F0" w:rsidRDefault="00C412F0" w:rsidP="00C412F0">
      <w:pPr>
        <w:pStyle w:val="Brdtext"/>
      </w:pPr>
    </w:p>
    <w:p w14:paraId="45972720" w14:textId="77777777" w:rsidR="00354126" w:rsidRDefault="00354126" w:rsidP="0062144B"/>
    <w:p w14:paraId="52C4CD04" w14:textId="77777777" w:rsidR="0062144B" w:rsidRDefault="0062144B" w:rsidP="0062144B"/>
    <w:p w14:paraId="62F9FCD9" w14:textId="77777777" w:rsidR="0062144B" w:rsidRDefault="0062144B" w:rsidP="0062144B"/>
    <w:p w14:paraId="2B660E57" w14:textId="77777777" w:rsidR="0062144B" w:rsidRDefault="0062144B" w:rsidP="0062144B"/>
    <w:p w14:paraId="0540DC9A" w14:textId="77777777" w:rsidR="0062144B" w:rsidRDefault="0062144B" w:rsidP="0062144B"/>
    <w:p w14:paraId="245BADE1" w14:textId="77777777" w:rsidR="0062144B" w:rsidRDefault="0062144B" w:rsidP="0062144B"/>
    <w:p w14:paraId="6C2A5179" w14:textId="77777777" w:rsidR="0062144B" w:rsidRDefault="0062144B" w:rsidP="0062144B"/>
    <w:p w14:paraId="2E848CC3" w14:textId="77777777" w:rsidR="0062144B" w:rsidRDefault="0062144B" w:rsidP="0062144B"/>
    <w:p w14:paraId="2E18EDC8" w14:textId="77777777" w:rsidR="0062144B" w:rsidRDefault="0062144B" w:rsidP="0062144B"/>
    <w:p w14:paraId="0D66DC70" w14:textId="77777777" w:rsidR="0062144B" w:rsidRDefault="0062144B" w:rsidP="0062144B"/>
    <w:p w14:paraId="3E2372CE" w14:textId="77777777" w:rsidR="0062144B" w:rsidRDefault="0062144B" w:rsidP="0062144B"/>
    <w:p w14:paraId="70F81290" w14:textId="77777777" w:rsidR="0062144B" w:rsidRDefault="0062144B" w:rsidP="0062144B"/>
    <w:p w14:paraId="77ED1452" w14:textId="77777777" w:rsidR="0062144B" w:rsidRDefault="0062144B" w:rsidP="0062144B"/>
    <w:p w14:paraId="5D319149" w14:textId="77777777" w:rsidR="00B63A59" w:rsidRPr="0062144B" w:rsidRDefault="0062144B" w:rsidP="0062144B">
      <w:pPr>
        <w:rPr>
          <w:i/>
        </w:rPr>
      </w:pPr>
      <w:r>
        <w:rPr>
          <w:i/>
        </w:rPr>
        <w:t>bildtext</w:t>
      </w:r>
    </w:p>
    <w:p w14:paraId="519F9554" w14:textId="77777777" w:rsidR="0062144B" w:rsidRDefault="0062144B" w:rsidP="00D05BBE">
      <w:pPr>
        <w:pStyle w:val="Brdtext"/>
      </w:pPr>
    </w:p>
    <w:p w14:paraId="7230A25C" w14:textId="77777777" w:rsidR="0062144B" w:rsidRDefault="0062144B" w:rsidP="00D05BBE">
      <w:pPr>
        <w:pStyle w:val="Brdtext"/>
      </w:pPr>
    </w:p>
    <w:p w14:paraId="5B9BC194" w14:textId="5E810A26" w:rsidR="00D0220B" w:rsidRDefault="00764336" w:rsidP="00D05BBE">
      <w:pPr>
        <w:pStyle w:val="Brdtext"/>
      </w:pPr>
      <w:r>
        <w:t xml:space="preserve">Havsmiljödirektivet syftar till </w:t>
      </w:r>
      <w:r w:rsidR="002138B2">
        <w:t>att uppnå</w:t>
      </w:r>
      <w:r w:rsidR="00F10452">
        <w:t xml:space="preserve">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Den samlade bedömningen som görs på en mer sammanfattande nivå finns publicerad i Havs- och vattenmyndighetens rapport xxxx-xx.</w:t>
      </w:r>
      <w:r w:rsidR="00CF517E">
        <w:t xml:space="preserve"> Vad som kännetecknar en god miljöstatus, samt </w:t>
      </w:r>
      <w:r w:rsidR="00CF517E" w:rsidRPr="00CF517E">
        <w:t>miljökvalitetsnormer med indikatorer för Nordsjön och Östersjön</w:t>
      </w:r>
      <w:r w:rsidR="00CF517E">
        <w:t>, fastställs i Havs- och vattenmyndighetens föreskrifter 2012:18.</w:t>
      </w:r>
      <w:r w:rsidR="00D44830">
        <w:t xml:space="preserve">Version Nr., </w:t>
      </w:r>
      <w:r w:rsidR="001319EF">
        <w:t>Publiceringsdatum.</w:t>
      </w:r>
    </w:p>
    <w:p w14:paraId="015E2848" w14:textId="77777777" w:rsidR="00B63A59" w:rsidRPr="0062144B" w:rsidRDefault="00D0220B" w:rsidP="00D05BBE">
      <w:pPr>
        <w:pStyle w:val="Brdtext"/>
      </w:pPr>
      <w:r>
        <w:t>Citeras som</w:t>
      </w:r>
      <w:r w:rsidR="0062144B">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143BF9A5" w14:textId="77777777" w:rsidR="0016771B" w:rsidRDefault="0016771B" w:rsidP="0009349B">
      <w:pPr>
        <w:pStyle w:val="Brdtext"/>
      </w:pPr>
      <w:r>
        <w:t>Det fanns över 80 000 gråsälar i Östersjön i början av 1900-talet, men de minskade till 20 000 på grund av jakt och vidare till 3 000 som en följd av sterilitet och sjukdomar förorsakade av miljögifter på 1970-talet.</w:t>
      </w:r>
      <w:r w:rsidRPr="0016771B">
        <w:t xml:space="preserve"> </w:t>
      </w:r>
      <w:r>
        <w:t>Gråsälarna visade sig vara känsliga för att något allvarligt händer i miljön. Därför har ett flertal indikatorer utvecklats för att kunna få mått på gråsälens miljöstatus.</w:t>
      </w:r>
    </w:p>
    <w:p w14:paraId="5BE4FE37" w14:textId="018256E7" w:rsidR="008B3851" w:rsidRDefault="008B3851" w:rsidP="0009349B">
      <w:pPr>
        <w:pStyle w:val="Brdtext"/>
      </w:pPr>
      <w:r>
        <w:t>Om det är för få individer i en population, kommer den förr eller senare utsättas för utrotningsrisker. Slumpmässiga faktorer som väderförhållanden, t.ex</w:t>
      </w:r>
      <w:r w:rsidR="00AE20C0">
        <w:t>.</w:t>
      </w:r>
      <w:r>
        <w:t xml:space="preserve"> brist på is för reproduktion eller  epidemiska sjukdomar kan slå hårt mot små populationer. Små populationer riskerar också inavel, som sätter ned deras förmåga att anpassa sig till nya förhållanden. För genetiskt isolerade populationer har man satt 10 000 som gränsvärde för god miljömässig status.</w:t>
      </w:r>
    </w:p>
    <w:p w14:paraId="7AF97010" w14:textId="77777777" w:rsidR="008B3851" w:rsidRDefault="00E15230" w:rsidP="0009349B">
      <w:pPr>
        <w:pStyle w:val="Brdtext"/>
      </w:pPr>
      <w:r>
        <w:t xml:space="preserve"> I stammens tillväxthastiget summeras underliggande faktorer såsom fertilitet och dödlighet, varför tillväxthastigheten  är en mycket viktig indikator, där den årliga tillväxten ska vara över 7% </w:t>
      </w:r>
      <w:r w:rsidR="00957EE3">
        <w:t xml:space="preserve">per </w:t>
      </w:r>
      <w:r>
        <w:t xml:space="preserve">för att uppnå god miljöstatus. Den maximala realiserade tillväxthastigeten </w:t>
      </w:r>
      <w:r w:rsidR="00957EE3">
        <w:t xml:space="preserve">hos gråsäl är 10%. </w:t>
      </w:r>
      <w:r>
        <w:t xml:space="preserve"> </w:t>
      </w:r>
      <w:r w:rsidR="00D740A0">
        <w:t xml:space="preserve"> Men när populationen sin maximala storlek  kommer tillväxthastigheten variera kring noll, och i denna situation har populationen god miljöstatus om den inte minskar med mer än 10% per år över en tioårsperiod.</w:t>
      </w:r>
    </w:p>
    <w:p w14:paraId="54A79F05" w14:textId="44329311" w:rsidR="00FA6F3B" w:rsidRDefault="008B3851" w:rsidP="0009349B">
      <w:pPr>
        <w:pStyle w:val="Brdtext"/>
      </w:pPr>
      <w:r>
        <w:t>U</w:t>
      </w:r>
      <w:r w:rsidR="00E15230">
        <w:t>tbredning</w:t>
      </w:r>
      <w:r>
        <w:t xml:space="preserve"> är en tredje  indikator varvid</w:t>
      </w:r>
      <w:r w:rsidR="00957EE3">
        <w:t xml:space="preserve"> gränsvärdet är a</w:t>
      </w:r>
      <w:r>
        <w:t>tt utbredningsområdet</w:t>
      </w:r>
      <w:r w:rsidR="00957EE3">
        <w:t xml:space="preserve"> inte får minska.</w:t>
      </w:r>
      <w:r w:rsidR="00AE20C0">
        <w:t xml:space="preserve"> </w:t>
      </w:r>
      <w:r>
        <w:t xml:space="preserve">En fjärde </w:t>
      </w:r>
      <w:r w:rsidR="00957EE3">
        <w:t xml:space="preserve"> indikator är dräktighetsfrekvens där gränsvärdet satts till att  80% eller fler honor ska vara dräktiga för att uppnå god miljömässig status.</w:t>
      </w:r>
      <w:r w:rsidR="00AE20C0">
        <w:t xml:space="preserve"> </w:t>
      </w:r>
      <w:r w:rsidR="00957EE3">
        <w:t xml:space="preserve">Den sista indikatorn är näringsmässig status, där späcktjocklek mäts på 1-3 år gamla gråsälar som insamlats under hösten. Gränsvärdet för god miljömässig status är 40mm på jagade sälar. Mer </w:t>
      </w:r>
      <w:r w:rsidR="004A6E88">
        <w:t>detaljerade beskrivningar finns</w:t>
      </w:r>
      <w:r w:rsidR="00957EE3">
        <w:t xml:space="preserve"> angivna i referenslistan (Anon. 2017)</w:t>
      </w:r>
      <w:r w:rsidR="00D740A0">
        <w:t>.</w:t>
      </w:r>
    </w:p>
    <w:p w14:paraId="3D8C67BF" w14:textId="77777777" w:rsidR="00D740A0" w:rsidRDefault="00D740A0" w:rsidP="0009349B">
      <w:pPr>
        <w:pStyle w:val="Brdtext"/>
      </w:pPr>
      <w:r>
        <w:t>Gråsälen rör sig i hela Östersjön, varför dess status utvärderas för hela systemet, med undantag av utbredning, som sker basängsvis. Antalet räknade gråsälar i Östersjön har varierat kring 32 000 under perioden 2014-2016, vilket överstiger gränsvärdet för abundans (10 000), varför denna indikator uppvisar god miljömässig status.</w:t>
      </w:r>
    </w:p>
    <w:p w14:paraId="4E74D790" w14:textId="77777777" w:rsidR="0074512A" w:rsidRDefault="0074512A" w:rsidP="0009349B">
      <w:pPr>
        <w:pStyle w:val="Brdtext"/>
      </w:pPr>
      <w:r>
        <w:t>När det gäller tillväxthastighet är situationen mer komplicer</w:t>
      </w:r>
      <w:r w:rsidR="004A6E88">
        <w:t>ad. Populationen har vuxit med 7,9</w:t>
      </w:r>
      <w:r>
        <w:t>%</w:t>
      </w:r>
      <w:r w:rsidR="004A6E88">
        <w:t xml:space="preserve"> per år under perioden 2005-2014</w:t>
      </w:r>
      <w:r>
        <w:t>, vilket är över gränsvärdet, men ingen ökning har skett under de fyra senaste åren vilket skulle kunna tyda på att tillväxthastigheten avtar. Men det krävs en längre tidserie för att kunna fastställa detta.</w:t>
      </w:r>
    </w:p>
    <w:p w14:paraId="6517AB82" w14:textId="77777777" w:rsidR="00957EE3" w:rsidRDefault="00957EE3" w:rsidP="0009349B">
      <w:pPr>
        <w:pStyle w:val="Brdtext"/>
        <w:rPr>
          <w:i/>
        </w:rPr>
      </w:pPr>
    </w:p>
    <w:p w14:paraId="581B97CE" w14:textId="77777777" w:rsidR="003B4CD1" w:rsidRPr="00E5047D" w:rsidRDefault="003B4CD1" w:rsidP="0009349B">
      <w:pPr>
        <w:pStyle w:val="Brdtext"/>
        <w:rPr>
          <w:i/>
        </w:rPr>
      </w:pPr>
    </w:p>
    <w:p w14:paraId="770467E2" w14:textId="77777777" w:rsidR="002138B2" w:rsidRDefault="002138B2" w:rsidP="002138B2">
      <w:pPr>
        <w:pStyle w:val="Brdtext"/>
        <w:keepNext/>
      </w:pPr>
      <w:r>
        <w:rPr>
          <w:noProof/>
          <w:lang w:eastAsia="sv-SE"/>
        </w:rPr>
        <w:lastRenderedPageBreak/>
        <w:drawing>
          <wp:inline distT="0" distB="0" distL="0" distR="0" wp14:anchorId="59FFD55B" wp14:editId="7F46E26D">
            <wp:extent cx="5760720" cy="814641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sal_abundans_17102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14:paraId="2EF58912" w14:textId="40666CAE" w:rsidR="003B4CD1" w:rsidRDefault="002138B2" w:rsidP="002138B2">
      <w:pPr>
        <w:pStyle w:val="Beskrivning"/>
      </w:pPr>
      <w:r>
        <w:t xml:space="preserve">Figur </w:t>
      </w:r>
      <w:fldSimple w:instr=" SEQ Figur \* ARABIC ">
        <w:r w:rsidR="00E820F7">
          <w:rPr>
            <w:noProof/>
          </w:rPr>
          <w:t>1</w:t>
        </w:r>
      </w:fldSimple>
      <w:r>
        <w:t xml:space="preserve"> </w:t>
      </w:r>
      <w:r w:rsidRPr="002138B2">
        <w:t>Bedömning av abundans  för Gråsäl</w:t>
      </w:r>
      <w:r>
        <w:t xml:space="preserve"> i svenska vatten</w:t>
      </w:r>
      <w:r w:rsidRPr="002138B2">
        <w:t xml:space="preserve">. Gröna områden indikerar God miljöstatus, </w:t>
      </w:r>
      <w:r w:rsidR="00556357" w:rsidRPr="002138B2">
        <w:t>medans</w:t>
      </w:r>
      <w:r w:rsidRPr="002138B2">
        <w:t xml:space="preserve"> röda områden återspeglar Ej God miljöstatus.</w:t>
      </w:r>
    </w:p>
    <w:p w14:paraId="16C23297" w14:textId="5A742F0A" w:rsidR="00E13817" w:rsidRPr="004B7657" w:rsidRDefault="00E13817" w:rsidP="00A879B3">
      <w:pPr>
        <w:tabs>
          <w:tab w:val="clear" w:pos="5041"/>
        </w:tabs>
        <w:spacing w:after="0"/>
        <w:rPr>
          <w:rFonts w:asciiTheme="majorHAnsi" w:hAnsiTheme="majorHAnsi" w:cstheme="majorHAnsi"/>
          <w:b/>
        </w:rPr>
      </w:pPr>
      <w:r>
        <w:rPr>
          <w:rFonts w:asciiTheme="majorHAnsi" w:hAnsiTheme="majorHAnsi" w:cstheme="majorHAnsi"/>
          <w:b/>
        </w:rPr>
        <w:br w:type="page"/>
      </w:r>
      <w:r w:rsidR="0070387B" w:rsidRPr="004B7657">
        <w:rPr>
          <w:rFonts w:asciiTheme="majorHAnsi" w:hAnsiTheme="majorHAnsi" w:cstheme="majorHAnsi"/>
          <w:b/>
        </w:rPr>
        <w:lastRenderedPageBreak/>
        <w:t>Sektion 1 Del 2</w:t>
      </w:r>
      <w:r w:rsidR="001A460F" w:rsidRPr="004B7657">
        <w:rPr>
          <w:rFonts w:asciiTheme="majorHAnsi" w:hAnsiTheme="majorHAnsi" w:cstheme="majorHAnsi"/>
          <w:b/>
        </w:rPr>
        <w:t xml:space="preserve">. </w:t>
      </w:r>
      <w:r w:rsidR="00D44830" w:rsidRPr="004B7657">
        <w:rPr>
          <w:rFonts w:asciiTheme="majorHAnsi" w:hAnsiTheme="majorHAnsi" w:cstheme="majorHAnsi"/>
          <w:b/>
        </w:rPr>
        <w:t>D</w:t>
      </w:r>
      <w:r w:rsidR="001A460F" w:rsidRPr="004B7657">
        <w:rPr>
          <w:rFonts w:asciiTheme="majorHAnsi" w:hAnsiTheme="majorHAnsi" w:cstheme="majorHAnsi"/>
          <w:b/>
        </w:rPr>
        <w:t>etaljerad info</w:t>
      </w:r>
      <w:r w:rsidR="00D44830" w:rsidRPr="004B7657">
        <w:rPr>
          <w:rFonts w:asciiTheme="majorHAnsi" w:hAnsiTheme="majorHAnsi" w:cstheme="majorHAnsi"/>
          <w:b/>
        </w:rPr>
        <w:t>rmation</w:t>
      </w:r>
    </w:p>
    <w:p w14:paraId="331B8F1E" w14:textId="77777777"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
        <w:tblW w:w="0" w:type="auto"/>
        <w:tblLook w:val="04A0" w:firstRow="1" w:lastRow="0" w:firstColumn="1" w:lastColumn="0" w:noHBand="0" w:noVBand="1"/>
      </w:tblPr>
      <w:tblGrid>
        <w:gridCol w:w="1820"/>
        <w:gridCol w:w="1829"/>
        <w:gridCol w:w="1814"/>
        <w:gridCol w:w="1802"/>
        <w:gridCol w:w="1797"/>
      </w:tblGrid>
      <w:tr w:rsidR="001A460F" w14:paraId="10789126" w14:textId="77777777" w:rsidTr="00A879B3">
        <w:tc>
          <w:tcPr>
            <w:tcW w:w="1820" w:type="dxa"/>
          </w:tcPr>
          <w:p w14:paraId="434E3795" w14:textId="1F1C0913" w:rsidR="001A460F" w:rsidRDefault="001A460F" w:rsidP="0009349B">
            <w:pPr>
              <w:pStyle w:val="Brdtext"/>
              <w:rPr>
                <w:rFonts w:asciiTheme="minorHAnsi" w:hAnsiTheme="minorHAnsi" w:cstheme="majorHAnsi"/>
              </w:rPr>
            </w:pPr>
            <w:r>
              <w:rPr>
                <w:rFonts w:asciiTheme="minorHAnsi" w:hAnsiTheme="minorHAnsi" w:cstheme="majorHAnsi"/>
              </w:rPr>
              <w:t>MSFD</w:t>
            </w:r>
            <w:r w:rsidR="00A879B3">
              <w:rPr>
                <w:rFonts w:asciiTheme="minorHAnsi" w:hAnsiTheme="minorHAnsi" w:cstheme="majorHAnsi"/>
              </w:rPr>
              <w:t xml:space="preserve"> - kriterium</w:t>
            </w:r>
          </w:p>
        </w:tc>
        <w:tc>
          <w:tcPr>
            <w:tcW w:w="1829" w:type="dxa"/>
          </w:tcPr>
          <w:p w14:paraId="2AB7261F" w14:textId="54153A46" w:rsidR="001A460F" w:rsidRDefault="001A460F" w:rsidP="0009349B">
            <w:pPr>
              <w:pStyle w:val="Brdtext"/>
              <w:rPr>
                <w:rFonts w:asciiTheme="minorHAnsi" w:hAnsiTheme="minorHAnsi" w:cstheme="majorHAnsi"/>
              </w:rPr>
            </w:pPr>
            <w:r>
              <w:rPr>
                <w:rFonts w:asciiTheme="minorHAnsi" w:hAnsiTheme="minorHAnsi" w:cstheme="majorHAnsi"/>
              </w:rPr>
              <w:t>WFD</w:t>
            </w:r>
            <w:r w:rsidR="00A879B3">
              <w:rPr>
                <w:rFonts w:asciiTheme="minorHAnsi" w:hAnsiTheme="minorHAnsi" w:cstheme="majorHAnsi"/>
              </w:rPr>
              <w:t xml:space="preserve"> - kvalitetsnorm</w:t>
            </w:r>
          </w:p>
        </w:tc>
        <w:tc>
          <w:tcPr>
            <w:tcW w:w="1814" w:type="dxa"/>
          </w:tcPr>
          <w:p w14:paraId="4F3E48AE" w14:textId="77777777" w:rsidR="001A460F" w:rsidRDefault="001A460F" w:rsidP="0009349B">
            <w:pPr>
              <w:pStyle w:val="Brdtext"/>
              <w:rPr>
                <w:rFonts w:asciiTheme="minorHAnsi" w:hAnsiTheme="minorHAnsi" w:cstheme="majorHAnsi"/>
              </w:rPr>
            </w:pPr>
            <w:r>
              <w:rPr>
                <w:rFonts w:asciiTheme="minorHAnsi" w:hAnsiTheme="minorHAnsi" w:cstheme="majorHAnsi"/>
              </w:rPr>
              <w:t>Miljömål</w:t>
            </w:r>
          </w:p>
        </w:tc>
        <w:tc>
          <w:tcPr>
            <w:tcW w:w="1802" w:type="dxa"/>
          </w:tcPr>
          <w:p w14:paraId="237717C0" w14:textId="77777777" w:rsidR="001A460F" w:rsidRDefault="001A460F" w:rsidP="0009349B">
            <w:pPr>
              <w:pStyle w:val="Brdtext"/>
              <w:rPr>
                <w:rFonts w:asciiTheme="minorHAnsi" w:hAnsiTheme="minorHAnsi" w:cstheme="majorHAnsi"/>
              </w:rPr>
            </w:pPr>
            <w:r>
              <w:rPr>
                <w:rFonts w:asciiTheme="minorHAnsi" w:hAnsiTheme="minorHAnsi" w:cstheme="majorHAnsi"/>
              </w:rPr>
              <w:t>BSAP</w:t>
            </w:r>
          </w:p>
        </w:tc>
        <w:tc>
          <w:tcPr>
            <w:tcW w:w="1797" w:type="dxa"/>
          </w:tcPr>
          <w:p w14:paraId="2AD6E0BE" w14:textId="3CDC5063" w:rsidR="001A460F" w:rsidRDefault="00A879B3" w:rsidP="0009349B">
            <w:pPr>
              <w:pStyle w:val="Brdtext"/>
              <w:rPr>
                <w:rFonts w:asciiTheme="minorHAnsi" w:hAnsiTheme="minorHAnsi" w:cstheme="majorHAnsi"/>
              </w:rPr>
            </w:pPr>
            <w:r>
              <w:rPr>
                <w:rFonts w:asciiTheme="minorHAnsi" w:hAnsiTheme="minorHAnsi" w:cstheme="majorHAnsi"/>
              </w:rPr>
              <w:t>Mer</w:t>
            </w:r>
          </w:p>
        </w:tc>
      </w:tr>
      <w:tr w:rsidR="00CB57D2" w14:paraId="56134709" w14:textId="77777777" w:rsidTr="00A879B3">
        <w:tc>
          <w:tcPr>
            <w:tcW w:w="1820" w:type="dxa"/>
          </w:tcPr>
          <w:p w14:paraId="382BA029" w14:textId="123F3601" w:rsidR="00CB57D2" w:rsidRDefault="00A879B3" w:rsidP="0009349B">
            <w:pPr>
              <w:pStyle w:val="Brdtext"/>
              <w:rPr>
                <w:rFonts w:asciiTheme="minorHAnsi" w:hAnsiTheme="minorHAnsi" w:cstheme="majorHAnsi"/>
              </w:rPr>
            </w:pPr>
            <w:r>
              <w:rPr>
                <w:rFonts w:asciiTheme="minorHAnsi" w:hAnsiTheme="minorHAnsi" w:cstheme="majorHAnsi"/>
              </w:rPr>
              <w:t>D1C2</w:t>
            </w:r>
          </w:p>
        </w:tc>
        <w:tc>
          <w:tcPr>
            <w:tcW w:w="1829" w:type="dxa"/>
          </w:tcPr>
          <w:p w14:paraId="7CAC1597" w14:textId="7E0AE8C0" w:rsidR="00CB57D2" w:rsidRDefault="00A879B3" w:rsidP="0009349B">
            <w:pPr>
              <w:pStyle w:val="Brdtext"/>
              <w:rPr>
                <w:rFonts w:asciiTheme="minorHAnsi" w:hAnsiTheme="minorHAnsi" w:cstheme="majorHAnsi"/>
              </w:rPr>
            </w:pPr>
            <w:r>
              <w:rPr>
                <w:rFonts w:asciiTheme="minorHAnsi" w:hAnsiTheme="minorHAnsi" w:cstheme="majorHAnsi"/>
              </w:rPr>
              <w:t>saknas</w:t>
            </w:r>
          </w:p>
        </w:tc>
        <w:tc>
          <w:tcPr>
            <w:tcW w:w="1814" w:type="dxa"/>
          </w:tcPr>
          <w:p w14:paraId="70C533BE" w14:textId="604BCC86" w:rsidR="00CB57D2" w:rsidRDefault="00A879B3" w:rsidP="0009349B">
            <w:pPr>
              <w:pStyle w:val="Brdtext"/>
              <w:rPr>
                <w:rFonts w:asciiTheme="minorHAnsi" w:hAnsiTheme="minorHAnsi" w:cstheme="majorHAnsi"/>
              </w:rPr>
            </w:pPr>
            <w:r>
              <w:rPr>
                <w:rFonts w:asciiTheme="minorHAnsi" w:hAnsiTheme="minorHAnsi" w:cstheme="majorHAnsi"/>
              </w:rPr>
              <w:t>Hav i balans och levande kust och skärgård; Ett rikt växt- och djurliv</w:t>
            </w:r>
          </w:p>
        </w:tc>
        <w:tc>
          <w:tcPr>
            <w:tcW w:w="1802" w:type="dxa"/>
          </w:tcPr>
          <w:p w14:paraId="585F03D2" w14:textId="02F9D3FA" w:rsidR="00CB57D2" w:rsidRDefault="00CB57D2" w:rsidP="0009349B">
            <w:pPr>
              <w:pStyle w:val="Brdtext"/>
              <w:rPr>
                <w:rFonts w:asciiTheme="minorHAnsi" w:hAnsiTheme="minorHAnsi" w:cstheme="majorHAnsi"/>
              </w:rPr>
            </w:pPr>
          </w:p>
        </w:tc>
        <w:tc>
          <w:tcPr>
            <w:tcW w:w="1797" w:type="dxa"/>
          </w:tcPr>
          <w:p w14:paraId="50227C9C" w14:textId="44B9D992" w:rsidR="00CB57D2" w:rsidRDefault="00CB57D2" w:rsidP="0009349B">
            <w:pPr>
              <w:pStyle w:val="Brdtext"/>
              <w:rPr>
                <w:rFonts w:asciiTheme="minorHAnsi" w:hAnsiTheme="minorHAnsi" w:cstheme="majorHAnsi"/>
              </w:rPr>
            </w:pPr>
          </w:p>
        </w:tc>
      </w:tr>
    </w:tbl>
    <w:p w14:paraId="3C99005B" w14:textId="77777777" w:rsidR="001A460F" w:rsidRPr="00E13817" w:rsidRDefault="001A460F" w:rsidP="0009349B">
      <w:pPr>
        <w:pStyle w:val="Brdtext"/>
        <w:rPr>
          <w:rFonts w:asciiTheme="minorHAnsi" w:hAnsiTheme="minorHAnsi" w:cstheme="majorHAnsi"/>
        </w:rPr>
      </w:pPr>
    </w:p>
    <w:p w14:paraId="54AF85F7" w14:textId="77777777"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
        <w:tblW w:w="0" w:type="auto"/>
        <w:tblLook w:val="04A0" w:firstRow="1" w:lastRow="0" w:firstColumn="1" w:lastColumn="0" w:noHBand="0" w:noVBand="1"/>
      </w:tblPr>
      <w:tblGrid>
        <w:gridCol w:w="4521"/>
        <w:gridCol w:w="4541"/>
      </w:tblGrid>
      <w:tr w:rsidR="00773B4E" w14:paraId="2FB5783B" w14:textId="77777777" w:rsidTr="00375BFB">
        <w:tc>
          <w:tcPr>
            <w:tcW w:w="9212" w:type="dxa"/>
            <w:gridSpan w:val="2"/>
          </w:tcPr>
          <w:p w14:paraId="6CB32593" w14:textId="77777777" w:rsidR="00773B4E" w:rsidRDefault="00773B4E">
            <w:pPr>
              <w:tabs>
                <w:tab w:val="clear" w:pos="5041"/>
              </w:tabs>
              <w:spacing w:after="0"/>
            </w:pPr>
            <w:r>
              <w:t>Grundläggande förhållanden</w:t>
            </w:r>
            <w:r w:rsidR="00CB57D2">
              <w:t xml:space="preserve"> (Bilaga III, Tabell 1)</w:t>
            </w:r>
          </w:p>
        </w:tc>
      </w:tr>
      <w:tr w:rsidR="00773B4E" w14:paraId="65568DCD" w14:textId="77777777" w:rsidTr="00773B4E">
        <w:tc>
          <w:tcPr>
            <w:tcW w:w="4606" w:type="dxa"/>
          </w:tcPr>
          <w:p w14:paraId="5FD244C6" w14:textId="40B669C4" w:rsidR="00773B4E" w:rsidRDefault="00072A56" w:rsidP="00072A56">
            <w:pPr>
              <w:tabs>
                <w:tab w:val="clear" w:pos="5041"/>
              </w:tabs>
              <w:spacing w:after="0"/>
            </w:pPr>
            <w:r w:rsidRPr="00072A56">
              <w:t>Grupper av arter av marina fåglar, däggdjur, reptiler, fiskar och bläckfiskar i den marina regionen eller delregionen</w:t>
            </w:r>
          </w:p>
        </w:tc>
        <w:tc>
          <w:tcPr>
            <w:tcW w:w="4606" w:type="dxa"/>
          </w:tcPr>
          <w:p w14:paraId="02C1F166" w14:textId="296C9F38" w:rsidR="00773B4E" w:rsidRDefault="00072A56" w:rsidP="00072A56">
            <w:pPr>
              <w:tabs>
                <w:tab w:val="clear" w:pos="5041"/>
              </w:tabs>
              <w:spacing w:after="0"/>
            </w:pPr>
            <w:r w:rsidRPr="00072A56">
              <w:t>Geografisk och tidsmässig variation per art eller population:</w:t>
            </w:r>
            <w:r>
              <w:t xml:space="preserve"> </w:t>
            </w:r>
            <w:r w:rsidRPr="00072A56">
              <w:t>utbredning, abundans och/eller biomassa</w:t>
            </w:r>
            <w:r>
              <w:t xml:space="preserve"> </w:t>
            </w:r>
          </w:p>
        </w:tc>
      </w:tr>
      <w:tr w:rsidR="00773B4E" w14:paraId="1C759B6E" w14:textId="77777777" w:rsidTr="0015017A">
        <w:tc>
          <w:tcPr>
            <w:tcW w:w="9212" w:type="dxa"/>
            <w:gridSpan w:val="2"/>
          </w:tcPr>
          <w:p w14:paraId="448AD0B5" w14:textId="77777777" w:rsidR="00773B4E" w:rsidRDefault="00773B4E">
            <w:pPr>
              <w:tabs>
                <w:tab w:val="clear" w:pos="5041"/>
              </w:tabs>
              <w:spacing w:after="0"/>
            </w:pPr>
            <w:r>
              <w:t>Belastning och påverkan</w:t>
            </w:r>
            <w:r w:rsidR="00CB57D2">
              <w:t xml:space="preserve"> (Bilaga III, Tabell 2)</w:t>
            </w:r>
          </w:p>
        </w:tc>
      </w:tr>
      <w:tr w:rsidR="00773B4E" w14:paraId="0F2E059E" w14:textId="77777777" w:rsidTr="00773B4E">
        <w:tc>
          <w:tcPr>
            <w:tcW w:w="4606" w:type="dxa"/>
          </w:tcPr>
          <w:p w14:paraId="1A913F33" w14:textId="56E344AB" w:rsidR="00773B4E" w:rsidRDefault="00072A56" w:rsidP="00A84F48">
            <w:pPr>
              <w:tabs>
                <w:tab w:val="clear" w:pos="5041"/>
              </w:tabs>
              <w:spacing w:after="0"/>
            </w:pPr>
            <w:r w:rsidRPr="00072A56">
              <w:t xml:space="preserve">Biologiskt </w:t>
            </w:r>
          </w:p>
        </w:tc>
        <w:tc>
          <w:tcPr>
            <w:tcW w:w="4606" w:type="dxa"/>
          </w:tcPr>
          <w:p w14:paraId="7B854BA9" w14:textId="77777777" w:rsidR="00773B4E" w:rsidRDefault="00072A56">
            <w:pPr>
              <w:tabs>
                <w:tab w:val="clear" w:pos="5041"/>
              </w:tabs>
              <w:spacing w:after="0"/>
            </w:pPr>
            <w:r w:rsidRPr="00072A56">
              <w:t>Tillförsel av patogena mikroorganismer</w:t>
            </w:r>
          </w:p>
          <w:p w14:paraId="6DD135B7" w14:textId="0C5C1430" w:rsidR="00072A56" w:rsidRDefault="00072A56">
            <w:pPr>
              <w:tabs>
                <w:tab w:val="clear" w:pos="5041"/>
              </w:tabs>
              <w:spacing w:after="0"/>
            </w:pPr>
          </w:p>
          <w:p w14:paraId="437F3B92" w14:textId="01D83515" w:rsidR="00072A56" w:rsidRDefault="00072A56">
            <w:pPr>
              <w:tabs>
                <w:tab w:val="clear" w:pos="5041"/>
              </w:tabs>
              <w:spacing w:after="0"/>
            </w:pPr>
            <w:r w:rsidRPr="00072A56">
              <w:t>Uttag av, eller dödlighet/skada hos, vilda arter, däribland mål- och icke-målarter (genom yrkes- och fritidsfiske och annan verksamhet)</w:t>
            </w:r>
          </w:p>
          <w:p w14:paraId="2CF5A258" w14:textId="77777777" w:rsidR="00072A56" w:rsidRDefault="00072A56">
            <w:pPr>
              <w:tabs>
                <w:tab w:val="clear" w:pos="5041"/>
              </w:tabs>
              <w:spacing w:after="0"/>
            </w:pPr>
          </w:p>
          <w:p w14:paraId="51323BD4" w14:textId="21C19FA7" w:rsidR="00072A56" w:rsidRDefault="00072A56">
            <w:pPr>
              <w:tabs>
                <w:tab w:val="clear" w:pos="5041"/>
              </w:tabs>
              <w:spacing w:after="0"/>
            </w:pPr>
            <w:r w:rsidRPr="00072A56">
              <w:t>Störning av arter (t.ex. i lek- rast- och födosöksområden) på grund av mänsklig närvaro</w:t>
            </w:r>
          </w:p>
        </w:tc>
      </w:tr>
      <w:tr w:rsidR="00072A56" w14:paraId="73CACCD9" w14:textId="77777777" w:rsidTr="00773B4E">
        <w:tc>
          <w:tcPr>
            <w:tcW w:w="4606" w:type="dxa"/>
          </w:tcPr>
          <w:p w14:paraId="0C35238F" w14:textId="40622580" w:rsidR="00072A56" w:rsidRPr="00072A56" w:rsidRDefault="00072A56" w:rsidP="00A84F48">
            <w:pPr>
              <w:tabs>
                <w:tab w:val="clear" w:pos="5041"/>
              </w:tabs>
              <w:spacing w:after="0"/>
            </w:pPr>
            <w:r>
              <w:t>Fysiskt</w:t>
            </w:r>
          </w:p>
        </w:tc>
        <w:tc>
          <w:tcPr>
            <w:tcW w:w="4606" w:type="dxa"/>
          </w:tcPr>
          <w:p w14:paraId="6DA1D08E" w14:textId="572ADF71" w:rsidR="00072A56" w:rsidRPr="00072A56" w:rsidRDefault="00072A56">
            <w:pPr>
              <w:tabs>
                <w:tab w:val="clear" w:pos="5041"/>
              </w:tabs>
              <w:spacing w:after="0"/>
            </w:pPr>
            <w:r w:rsidRPr="00072A56">
              <w:t>Fysisk förlust (på grund av varaktig förändring av havsbottensubstrat eller havsbottnens morfologi och på grund av utvinning av havsbottensubstrat)</w:t>
            </w:r>
          </w:p>
        </w:tc>
      </w:tr>
      <w:tr w:rsidR="00072A56" w14:paraId="4B7235DD" w14:textId="77777777" w:rsidTr="00773B4E">
        <w:tc>
          <w:tcPr>
            <w:tcW w:w="4606" w:type="dxa"/>
          </w:tcPr>
          <w:p w14:paraId="5F0D543A" w14:textId="79F8BBD8" w:rsidR="00072A56" w:rsidRDefault="00072A56" w:rsidP="00A84F48">
            <w:pPr>
              <w:tabs>
                <w:tab w:val="clear" w:pos="5041"/>
              </w:tabs>
              <w:spacing w:after="0"/>
            </w:pPr>
            <w:r w:rsidRPr="00072A56">
              <w:t>Ämnen, skräp och energi</w:t>
            </w:r>
          </w:p>
        </w:tc>
        <w:tc>
          <w:tcPr>
            <w:tcW w:w="4606" w:type="dxa"/>
          </w:tcPr>
          <w:p w14:paraId="19F13A0D" w14:textId="74755266" w:rsidR="00072A56" w:rsidRDefault="00072A56">
            <w:pPr>
              <w:tabs>
                <w:tab w:val="clear" w:pos="5041"/>
              </w:tabs>
              <w:spacing w:after="0"/>
            </w:pPr>
            <w:r w:rsidRPr="00072A56">
              <w:t>Tillförsel av farliga ämnen (syntetiska ämnen, icke syntetiska ämnen, radionuklider) – diffusa källor, punktkällor, atmosfärisk deposition, akuta händelser</w:t>
            </w:r>
          </w:p>
          <w:p w14:paraId="1C5C83CF" w14:textId="77777777" w:rsidR="00072A56" w:rsidRDefault="00072A56">
            <w:pPr>
              <w:tabs>
                <w:tab w:val="clear" w:pos="5041"/>
              </w:tabs>
              <w:spacing w:after="0"/>
            </w:pPr>
          </w:p>
          <w:p w14:paraId="1D651F65" w14:textId="7109B473" w:rsidR="00072A56" w:rsidRPr="00072A56" w:rsidRDefault="00072A56">
            <w:pPr>
              <w:tabs>
                <w:tab w:val="clear" w:pos="5041"/>
              </w:tabs>
              <w:spacing w:after="0"/>
            </w:pPr>
            <w:r w:rsidRPr="00072A56">
              <w:t>Påverkan av antropogent ljud (impulsljud, kontinuerligt ljud)</w:t>
            </w:r>
          </w:p>
        </w:tc>
      </w:tr>
    </w:tbl>
    <w:p w14:paraId="739A2A74" w14:textId="77777777" w:rsidR="00A84F48" w:rsidRDefault="00A84F48">
      <w:pPr>
        <w:tabs>
          <w:tab w:val="clear" w:pos="5041"/>
        </w:tabs>
        <w:spacing w:after="0"/>
      </w:pPr>
    </w:p>
    <w:p w14:paraId="7C5B9CD9" w14:textId="77777777" w:rsidR="00A84F48" w:rsidRDefault="00A84F48">
      <w:pPr>
        <w:tabs>
          <w:tab w:val="clear" w:pos="5041"/>
        </w:tabs>
        <w:spacing w:after="0"/>
      </w:pPr>
    </w:p>
    <w:p w14:paraId="619D22A5" w14:textId="77777777" w:rsidR="005D132C" w:rsidRDefault="005D132C">
      <w:pPr>
        <w:tabs>
          <w:tab w:val="clear" w:pos="5041"/>
        </w:tabs>
        <w:spacing w:after="0"/>
      </w:pPr>
      <w:r>
        <w:t>C. Ingående parametrar, övervakning och dataägare</w:t>
      </w:r>
    </w:p>
    <w:tbl>
      <w:tblPr>
        <w:tblStyle w:val="Tabellrutnt"/>
        <w:tblW w:w="0" w:type="auto"/>
        <w:tblLayout w:type="fixed"/>
        <w:tblLook w:val="04A0" w:firstRow="1" w:lastRow="0" w:firstColumn="1" w:lastColumn="0" w:noHBand="0" w:noVBand="1"/>
      </w:tblPr>
      <w:tblGrid>
        <w:gridCol w:w="2376"/>
        <w:gridCol w:w="2114"/>
        <w:gridCol w:w="2293"/>
        <w:gridCol w:w="2293"/>
      </w:tblGrid>
      <w:tr w:rsidR="00544886" w14:paraId="02F19FAC" w14:textId="77777777" w:rsidTr="00E26DA1">
        <w:trPr>
          <w:trHeight w:val="1694"/>
        </w:trPr>
        <w:tc>
          <w:tcPr>
            <w:tcW w:w="2376" w:type="dxa"/>
          </w:tcPr>
          <w:p w14:paraId="644710D8" w14:textId="77777777" w:rsidR="00544886" w:rsidRDefault="00544886">
            <w:pPr>
              <w:tabs>
                <w:tab w:val="clear" w:pos="5041"/>
              </w:tabs>
              <w:spacing w:after="0"/>
            </w:pPr>
            <w:r>
              <w:t>Parameter</w:t>
            </w:r>
          </w:p>
        </w:tc>
        <w:tc>
          <w:tcPr>
            <w:tcW w:w="2114" w:type="dxa"/>
          </w:tcPr>
          <w:p w14:paraId="155E26CE" w14:textId="77777777" w:rsidR="00544886" w:rsidRDefault="00544886">
            <w:pPr>
              <w:tabs>
                <w:tab w:val="clear" w:pos="5041"/>
              </w:tabs>
              <w:spacing w:after="0"/>
            </w:pPr>
            <w:r>
              <w:t>Program resp. underprogram i HaVs övervakningsprogram</w:t>
            </w:r>
          </w:p>
        </w:tc>
        <w:tc>
          <w:tcPr>
            <w:tcW w:w="2293" w:type="dxa"/>
          </w:tcPr>
          <w:p w14:paraId="58037BBC" w14:textId="77777777" w:rsidR="00544886" w:rsidRDefault="00544886" w:rsidP="00544886">
            <w:pPr>
              <w:tabs>
                <w:tab w:val="clear" w:pos="5041"/>
              </w:tabs>
              <w:spacing w:after="0"/>
            </w:pPr>
            <w:r>
              <w:t>Dataägare samt databas med hyperlänk</w:t>
            </w:r>
          </w:p>
        </w:tc>
        <w:tc>
          <w:tcPr>
            <w:tcW w:w="2293" w:type="dxa"/>
          </w:tcPr>
          <w:p w14:paraId="18AEBF67" w14:textId="77777777" w:rsidR="00544886" w:rsidRDefault="00544886" w:rsidP="00544886">
            <w:pPr>
              <w:tabs>
                <w:tab w:val="clear" w:pos="5041"/>
              </w:tabs>
              <w:spacing w:after="0"/>
            </w:pPr>
            <w:r>
              <w:t>Hyperlänk till rådata-snapshot</w:t>
            </w:r>
          </w:p>
        </w:tc>
      </w:tr>
      <w:tr w:rsidR="00544886" w14:paraId="16014409" w14:textId="77777777" w:rsidTr="00E26DA1">
        <w:trPr>
          <w:trHeight w:val="277"/>
        </w:trPr>
        <w:tc>
          <w:tcPr>
            <w:tcW w:w="2376" w:type="dxa"/>
          </w:tcPr>
          <w:p w14:paraId="0A874761" w14:textId="77777777" w:rsidR="00544886" w:rsidRPr="0034175C" w:rsidRDefault="00544886">
            <w:pPr>
              <w:tabs>
                <w:tab w:val="clear" w:pos="5041"/>
              </w:tabs>
              <w:spacing w:after="0"/>
              <w:rPr>
                <w:i/>
              </w:rPr>
            </w:pPr>
            <w:r>
              <w:rPr>
                <w:i/>
              </w:rPr>
              <w:t>i</w:t>
            </w:r>
          </w:p>
        </w:tc>
        <w:tc>
          <w:tcPr>
            <w:tcW w:w="2114" w:type="dxa"/>
          </w:tcPr>
          <w:p w14:paraId="02CA0912" w14:textId="77777777" w:rsidR="00544886" w:rsidRDefault="00544886">
            <w:pPr>
              <w:tabs>
                <w:tab w:val="clear" w:pos="5041"/>
              </w:tabs>
              <w:spacing w:after="0"/>
            </w:pPr>
          </w:p>
        </w:tc>
        <w:tc>
          <w:tcPr>
            <w:tcW w:w="2293" w:type="dxa"/>
          </w:tcPr>
          <w:p w14:paraId="1BCA9DD2" w14:textId="77777777" w:rsidR="00544886" w:rsidRDefault="00544886">
            <w:pPr>
              <w:tabs>
                <w:tab w:val="clear" w:pos="5041"/>
              </w:tabs>
              <w:spacing w:after="0"/>
            </w:pPr>
          </w:p>
        </w:tc>
        <w:tc>
          <w:tcPr>
            <w:tcW w:w="2293" w:type="dxa"/>
          </w:tcPr>
          <w:p w14:paraId="471544E8" w14:textId="77777777" w:rsidR="00544886" w:rsidRDefault="00544886">
            <w:pPr>
              <w:tabs>
                <w:tab w:val="clear" w:pos="5041"/>
              </w:tabs>
              <w:spacing w:after="0"/>
            </w:pPr>
          </w:p>
        </w:tc>
      </w:tr>
      <w:tr w:rsidR="00544886" w14:paraId="39DC9D4B" w14:textId="77777777" w:rsidTr="00E26DA1">
        <w:trPr>
          <w:trHeight w:val="293"/>
        </w:trPr>
        <w:tc>
          <w:tcPr>
            <w:tcW w:w="2376" w:type="dxa"/>
          </w:tcPr>
          <w:p w14:paraId="499BD93F" w14:textId="77777777" w:rsidR="00544886" w:rsidRDefault="00544886">
            <w:pPr>
              <w:tabs>
                <w:tab w:val="clear" w:pos="5041"/>
              </w:tabs>
              <w:spacing w:after="0"/>
            </w:pPr>
            <w:r>
              <w:lastRenderedPageBreak/>
              <w:t>…</w:t>
            </w:r>
          </w:p>
        </w:tc>
        <w:tc>
          <w:tcPr>
            <w:tcW w:w="2114" w:type="dxa"/>
          </w:tcPr>
          <w:p w14:paraId="7AEA26C4" w14:textId="77777777" w:rsidR="00544886" w:rsidRDefault="00544886">
            <w:pPr>
              <w:tabs>
                <w:tab w:val="clear" w:pos="5041"/>
              </w:tabs>
              <w:spacing w:after="0"/>
            </w:pPr>
          </w:p>
        </w:tc>
        <w:tc>
          <w:tcPr>
            <w:tcW w:w="2293" w:type="dxa"/>
          </w:tcPr>
          <w:p w14:paraId="03DE2817" w14:textId="77777777" w:rsidR="00544886" w:rsidRDefault="00544886">
            <w:pPr>
              <w:tabs>
                <w:tab w:val="clear" w:pos="5041"/>
              </w:tabs>
              <w:spacing w:after="0"/>
            </w:pPr>
          </w:p>
        </w:tc>
        <w:tc>
          <w:tcPr>
            <w:tcW w:w="2293" w:type="dxa"/>
          </w:tcPr>
          <w:p w14:paraId="7CB4A9A2" w14:textId="77777777" w:rsidR="00544886" w:rsidRDefault="00544886">
            <w:pPr>
              <w:tabs>
                <w:tab w:val="clear" w:pos="5041"/>
              </w:tabs>
              <w:spacing w:after="0"/>
            </w:pPr>
          </w:p>
        </w:tc>
      </w:tr>
    </w:tbl>
    <w:p w14:paraId="5F8B2062" w14:textId="77777777" w:rsidR="005D132C" w:rsidRDefault="005D132C">
      <w:pPr>
        <w:tabs>
          <w:tab w:val="clear" w:pos="5041"/>
        </w:tabs>
        <w:spacing w:after="0"/>
      </w:pPr>
    </w:p>
    <w:p w14:paraId="77663D25" w14:textId="77777777" w:rsidR="005D132C" w:rsidRDefault="005D132C">
      <w:pPr>
        <w:tabs>
          <w:tab w:val="clear" w:pos="5041"/>
        </w:tabs>
        <w:spacing w:after="0"/>
      </w:pPr>
    </w:p>
    <w:p w14:paraId="2844A3B6" w14:textId="77777777" w:rsidR="005D132C" w:rsidRDefault="005D132C">
      <w:pPr>
        <w:tabs>
          <w:tab w:val="clear" w:pos="5041"/>
        </w:tabs>
        <w:spacing w:after="0"/>
      </w:pPr>
    </w:p>
    <w:p w14:paraId="6C494CEA" w14:textId="77777777" w:rsidR="00804DBE" w:rsidRDefault="00804DBE">
      <w:pPr>
        <w:tabs>
          <w:tab w:val="clear" w:pos="5041"/>
        </w:tabs>
        <w:spacing w:after="0"/>
      </w:pPr>
      <w:r>
        <w:br w:type="page"/>
      </w:r>
    </w:p>
    <w:p w14:paraId="53189801"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p w14:paraId="718C46E3" w14:textId="77777777" w:rsidR="00976CD1" w:rsidRDefault="00976CD1" w:rsidP="004B7657">
      <w:pPr>
        <w:tabs>
          <w:tab w:val="clear" w:pos="5041"/>
        </w:tabs>
      </w:pPr>
      <w:r>
        <w:t>Tabell 1</w:t>
      </w:r>
      <w:r w:rsidR="00B13809">
        <w:t>.</w:t>
      </w:r>
      <w:r>
        <w:t xml:space="preserve"> </w:t>
      </w:r>
      <w:r w:rsidR="00B13809">
        <w:t xml:space="preserve">Förvaltningsområde </w:t>
      </w:r>
      <w:r>
        <w:t>Nordsjön</w:t>
      </w:r>
    </w:p>
    <w:tbl>
      <w:tblPr>
        <w:tblStyle w:val="Tabellrutnt"/>
        <w:tblW w:w="9322" w:type="dxa"/>
        <w:tblCellMar>
          <w:top w:w="28" w:type="dxa"/>
          <w:bottom w:w="28" w:type="dxa"/>
        </w:tblCellMar>
        <w:tblLook w:val="04A0" w:firstRow="1" w:lastRow="0" w:firstColumn="1" w:lastColumn="0" w:noHBand="0" w:noVBand="1"/>
      </w:tblPr>
      <w:tblGrid>
        <w:gridCol w:w="2235"/>
        <w:gridCol w:w="1462"/>
        <w:gridCol w:w="1373"/>
        <w:gridCol w:w="1984"/>
        <w:gridCol w:w="2268"/>
      </w:tblGrid>
      <w:tr w:rsidR="005215C9" w14:paraId="18FAA4D6" w14:textId="77777777" w:rsidTr="005215C9">
        <w:tc>
          <w:tcPr>
            <w:tcW w:w="2235" w:type="dxa"/>
          </w:tcPr>
          <w:p w14:paraId="60E41D2F" w14:textId="77777777" w:rsidR="005215C9" w:rsidRDefault="005215C9" w:rsidP="00D262ED">
            <w:pPr>
              <w:tabs>
                <w:tab w:val="clear" w:pos="5041"/>
              </w:tabs>
              <w:spacing w:after="0"/>
              <w:rPr>
                <w:rFonts w:asciiTheme="majorHAnsi" w:hAnsiTheme="majorHAnsi" w:cstheme="majorHAnsi"/>
                <w:b/>
                <w:sz w:val="20"/>
                <w:szCs w:val="20"/>
              </w:rPr>
            </w:pPr>
            <w:r w:rsidRPr="00D44830">
              <w:rPr>
                <w:rFonts w:asciiTheme="majorHAnsi" w:hAnsiTheme="majorHAnsi" w:cstheme="majorHAnsi"/>
                <w:b/>
                <w:sz w:val="20"/>
                <w:szCs w:val="20"/>
              </w:rPr>
              <w:t>Bedömningsområde</w:t>
            </w:r>
          </w:p>
          <w:p w14:paraId="2A408897" w14:textId="77777777" w:rsidR="005215C9" w:rsidRPr="00D44830" w:rsidRDefault="005215C9" w:rsidP="00D262ED">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Kustvattentyper</w:t>
            </w:r>
          </w:p>
        </w:tc>
        <w:tc>
          <w:tcPr>
            <w:tcW w:w="1462" w:type="dxa"/>
          </w:tcPr>
          <w:p w14:paraId="08C4CDA5" w14:textId="77777777" w:rsidR="005215C9" w:rsidRPr="00D44830" w:rsidRDefault="005215C9" w:rsidP="00D262ED">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373" w:type="dxa"/>
          </w:tcPr>
          <w:p w14:paraId="0111DCAE" w14:textId="77777777" w:rsidR="005215C9" w:rsidRPr="00D44830" w:rsidRDefault="005215C9" w:rsidP="00D262ED">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984" w:type="dxa"/>
          </w:tcPr>
          <w:p w14:paraId="254BB95B" w14:textId="77777777" w:rsidR="005215C9" w:rsidRDefault="005215C9" w:rsidP="00D262ED">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2268" w:type="dxa"/>
          </w:tcPr>
          <w:p w14:paraId="6512B019" w14:textId="77777777" w:rsidR="005215C9" w:rsidRDefault="005215C9" w:rsidP="00D262ED">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5215C9" w14:paraId="51A49F60" w14:textId="77777777" w:rsidTr="005215C9">
        <w:tc>
          <w:tcPr>
            <w:tcW w:w="2235" w:type="dxa"/>
            <w:vAlign w:val="center"/>
          </w:tcPr>
          <w:p w14:paraId="62925731" w14:textId="77777777" w:rsidR="005215C9" w:rsidRPr="00CE6559" w:rsidRDefault="005215C9" w:rsidP="00D262ED">
            <w:pPr>
              <w:tabs>
                <w:tab w:val="clear" w:pos="5041"/>
              </w:tabs>
              <w:spacing w:after="0"/>
              <w:rPr>
                <w:rFonts w:asciiTheme="minorHAnsi" w:hAnsiTheme="minorHAnsi"/>
                <w:sz w:val="18"/>
                <w:szCs w:val="18"/>
              </w:rPr>
            </w:pPr>
            <w:r w:rsidRPr="00CE6559">
              <w:rPr>
                <w:rFonts w:asciiTheme="minorHAnsi" w:hAnsiTheme="minorHAnsi"/>
                <w:sz w:val="18"/>
                <w:szCs w:val="18"/>
              </w:rPr>
              <w:t>Västkustens fjordar</w:t>
            </w:r>
          </w:p>
        </w:tc>
        <w:tc>
          <w:tcPr>
            <w:tcW w:w="1462" w:type="dxa"/>
            <w:vAlign w:val="center"/>
          </w:tcPr>
          <w:p w14:paraId="2327EE82" w14:textId="77777777" w:rsidR="005215C9" w:rsidRPr="00CE6559" w:rsidRDefault="005215C9" w:rsidP="00D262ED">
            <w:pPr>
              <w:tabs>
                <w:tab w:val="clear" w:pos="5041"/>
              </w:tabs>
              <w:spacing w:after="0"/>
              <w:rPr>
                <w:rFonts w:asciiTheme="minorHAnsi" w:hAnsiTheme="minorHAnsi"/>
                <w:sz w:val="18"/>
                <w:szCs w:val="18"/>
              </w:rPr>
            </w:pPr>
          </w:p>
        </w:tc>
        <w:tc>
          <w:tcPr>
            <w:tcW w:w="1373" w:type="dxa"/>
            <w:vAlign w:val="center"/>
          </w:tcPr>
          <w:p w14:paraId="4DF5C6CB" w14:textId="77777777" w:rsidR="005215C9" w:rsidRPr="00CE6559" w:rsidRDefault="005215C9" w:rsidP="00D262ED">
            <w:pPr>
              <w:tabs>
                <w:tab w:val="clear" w:pos="5041"/>
              </w:tabs>
              <w:spacing w:after="0"/>
              <w:rPr>
                <w:rFonts w:asciiTheme="minorHAnsi" w:hAnsiTheme="minorHAnsi"/>
                <w:sz w:val="18"/>
                <w:szCs w:val="18"/>
              </w:rPr>
            </w:pPr>
          </w:p>
        </w:tc>
        <w:tc>
          <w:tcPr>
            <w:tcW w:w="1984" w:type="dxa"/>
          </w:tcPr>
          <w:p w14:paraId="68D84438" w14:textId="77777777" w:rsidR="005215C9" w:rsidRPr="00CE6559" w:rsidRDefault="005215C9" w:rsidP="00D262ED">
            <w:pPr>
              <w:tabs>
                <w:tab w:val="clear" w:pos="5041"/>
              </w:tabs>
              <w:spacing w:after="0"/>
              <w:rPr>
                <w:rFonts w:asciiTheme="minorHAnsi" w:hAnsiTheme="minorHAnsi"/>
                <w:sz w:val="18"/>
                <w:szCs w:val="18"/>
              </w:rPr>
            </w:pPr>
          </w:p>
        </w:tc>
        <w:tc>
          <w:tcPr>
            <w:tcW w:w="2268" w:type="dxa"/>
            <w:vAlign w:val="center"/>
          </w:tcPr>
          <w:p w14:paraId="4BBDF674" w14:textId="77777777" w:rsidR="005215C9" w:rsidRPr="00CE6559" w:rsidRDefault="005215C9" w:rsidP="00D262ED">
            <w:pPr>
              <w:tabs>
                <w:tab w:val="clear" w:pos="5041"/>
              </w:tabs>
              <w:spacing w:after="0"/>
              <w:rPr>
                <w:rFonts w:asciiTheme="minorHAnsi" w:hAnsiTheme="minorHAnsi"/>
                <w:sz w:val="18"/>
                <w:szCs w:val="18"/>
              </w:rPr>
            </w:pPr>
          </w:p>
        </w:tc>
      </w:tr>
      <w:tr w:rsidR="005215C9" w14:paraId="033F0CE2" w14:textId="77777777" w:rsidTr="005215C9">
        <w:tc>
          <w:tcPr>
            <w:tcW w:w="2235" w:type="dxa"/>
            <w:vAlign w:val="center"/>
          </w:tcPr>
          <w:p w14:paraId="3382FA8C" w14:textId="77777777" w:rsidR="005215C9" w:rsidRPr="00CE6559" w:rsidRDefault="005215C9" w:rsidP="00D262ED">
            <w:pPr>
              <w:tabs>
                <w:tab w:val="clear" w:pos="5041"/>
              </w:tabs>
              <w:spacing w:after="0"/>
              <w:rPr>
                <w:rFonts w:asciiTheme="minorHAnsi" w:hAnsiTheme="minorHAnsi"/>
                <w:sz w:val="18"/>
                <w:szCs w:val="18"/>
              </w:rPr>
            </w:pPr>
            <w:r w:rsidRPr="00CE6559">
              <w:rPr>
                <w:rFonts w:asciiTheme="minorHAnsi" w:hAnsiTheme="minorHAnsi"/>
                <w:sz w:val="18"/>
                <w:szCs w:val="18"/>
              </w:rPr>
              <w:t>Västkustens yttre kustvatten, Skagerrack</w:t>
            </w:r>
          </w:p>
        </w:tc>
        <w:tc>
          <w:tcPr>
            <w:tcW w:w="1462" w:type="dxa"/>
            <w:vAlign w:val="center"/>
          </w:tcPr>
          <w:p w14:paraId="42D28A13" w14:textId="77777777" w:rsidR="005215C9" w:rsidRPr="00CE6559" w:rsidRDefault="005215C9" w:rsidP="00D262ED">
            <w:pPr>
              <w:tabs>
                <w:tab w:val="clear" w:pos="5041"/>
              </w:tabs>
              <w:spacing w:after="0"/>
              <w:rPr>
                <w:rFonts w:asciiTheme="minorHAnsi" w:hAnsiTheme="minorHAnsi"/>
                <w:sz w:val="18"/>
                <w:szCs w:val="18"/>
              </w:rPr>
            </w:pPr>
          </w:p>
        </w:tc>
        <w:tc>
          <w:tcPr>
            <w:tcW w:w="1373" w:type="dxa"/>
            <w:vAlign w:val="center"/>
          </w:tcPr>
          <w:p w14:paraId="2207E41B" w14:textId="77777777" w:rsidR="005215C9" w:rsidRPr="00CE6559" w:rsidRDefault="005215C9" w:rsidP="00D262ED">
            <w:pPr>
              <w:tabs>
                <w:tab w:val="clear" w:pos="5041"/>
              </w:tabs>
              <w:spacing w:after="0"/>
              <w:rPr>
                <w:rFonts w:asciiTheme="minorHAnsi" w:hAnsiTheme="minorHAnsi"/>
                <w:sz w:val="18"/>
                <w:szCs w:val="18"/>
              </w:rPr>
            </w:pPr>
          </w:p>
        </w:tc>
        <w:tc>
          <w:tcPr>
            <w:tcW w:w="1984" w:type="dxa"/>
          </w:tcPr>
          <w:p w14:paraId="23C6942F" w14:textId="77777777" w:rsidR="005215C9" w:rsidRPr="00CE6559" w:rsidRDefault="005215C9" w:rsidP="00D262ED">
            <w:pPr>
              <w:tabs>
                <w:tab w:val="clear" w:pos="5041"/>
              </w:tabs>
              <w:spacing w:after="0"/>
              <w:rPr>
                <w:rFonts w:asciiTheme="minorHAnsi" w:hAnsiTheme="minorHAnsi"/>
                <w:sz w:val="18"/>
                <w:szCs w:val="18"/>
              </w:rPr>
            </w:pPr>
          </w:p>
        </w:tc>
        <w:tc>
          <w:tcPr>
            <w:tcW w:w="2268" w:type="dxa"/>
            <w:vAlign w:val="center"/>
          </w:tcPr>
          <w:p w14:paraId="142FA7A4" w14:textId="77777777" w:rsidR="005215C9" w:rsidRPr="00CE6559" w:rsidRDefault="005215C9" w:rsidP="00D262ED">
            <w:pPr>
              <w:tabs>
                <w:tab w:val="clear" w:pos="5041"/>
              </w:tabs>
              <w:spacing w:after="0"/>
              <w:rPr>
                <w:rFonts w:asciiTheme="minorHAnsi" w:hAnsiTheme="minorHAnsi"/>
                <w:sz w:val="18"/>
                <w:szCs w:val="18"/>
              </w:rPr>
            </w:pPr>
          </w:p>
        </w:tc>
      </w:tr>
      <w:tr w:rsidR="005215C9" w14:paraId="0CB95B0D" w14:textId="77777777" w:rsidTr="005215C9">
        <w:tc>
          <w:tcPr>
            <w:tcW w:w="2235" w:type="dxa"/>
            <w:vAlign w:val="center"/>
          </w:tcPr>
          <w:p w14:paraId="24DDE676" w14:textId="77777777" w:rsidR="005215C9" w:rsidRPr="00CE6559" w:rsidRDefault="005215C9" w:rsidP="00D262ED">
            <w:pPr>
              <w:tabs>
                <w:tab w:val="clear" w:pos="5041"/>
              </w:tabs>
              <w:spacing w:after="0"/>
              <w:rPr>
                <w:rFonts w:asciiTheme="minorHAnsi" w:hAnsiTheme="minorHAnsi"/>
                <w:sz w:val="18"/>
                <w:szCs w:val="18"/>
              </w:rPr>
            </w:pPr>
            <w:r w:rsidRPr="00CE6559">
              <w:rPr>
                <w:rFonts w:asciiTheme="minorHAnsi" w:hAnsiTheme="minorHAnsi"/>
                <w:sz w:val="18"/>
                <w:szCs w:val="18"/>
              </w:rPr>
              <w:t>Västkustens inre kustvatten (1s)</w:t>
            </w:r>
          </w:p>
        </w:tc>
        <w:tc>
          <w:tcPr>
            <w:tcW w:w="1462" w:type="dxa"/>
            <w:vAlign w:val="center"/>
          </w:tcPr>
          <w:p w14:paraId="6FDF04B9" w14:textId="77777777" w:rsidR="005215C9" w:rsidRPr="00CE6559" w:rsidRDefault="005215C9" w:rsidP="00D262ED">
            <w:pPr>
              <w:tabs>
                <w:tab w:val="clear" w:pos="5041"/>
              </w:tabs>
              <w:spacing w:after="0"/>
              <w:rPr>
                <w:rFonts w:asciiTheme="minorHAnsi" w:hAnsiTheme="minorHAnsi"/>
                <w:sz w:val="18"/>
                <w:szCs w:val="18"/>
              </w:rPr>
            </w:pPr>
          </w:p>
        </w:tc>
        <w:tc>
          <w:tcPr>
            <w:tcW w:w="1373" w:type="dxa"/>
            <w:vAlign w:val="center"/>
          </w:tcPr>
          <w:p w14:paraId="59C52577" w14:textId="77777777" w:rsidR="005215C9" w:rsidRPr="00CE6559" w:rsidRDefault="005215C9" w:rsidP="00D262ED">
            <w:pPr>
              <w:tabs>
                <w:tab w:val="clear" w:pos="5041"/>
              </w:tabs>
              <w:spacing w:after="0"/>
              <w:rPr>
                <w:rFonts w:asciiTheme="minorHAnsi" w:hAnsiTheme="minorHAnsi"/>
                <w:sz w:val="18"/>
                <w:szCs w:val="18"/>
              </w:rPr>
            </w:pPr>
          </w:p>
        </w:tc>
        <w:tc>
          <w:tcPr>
            <w:tcW w:w="1984" w:type="dxa"/>
          </w:tcPr>
          <w:p w14:paraId="7B3B3499" w14:textId="77777777" w:rsidR="005215C9" w:rsidRPr="00CE6559" w:rsidRDefault="005215C9" w:rsidP="00D262ED">
            <w:pPr>
              <w:tabs>
                <w:tab w:val="clear" w:pos="5041"/>
              </w:tabs>
              <w:spacing w:after="0"/>
              <w:rPr>
                <w:rFonts w:asciiTheme="minorHAnsi" w:hAnsiTheme="minorHAnsi"/>
                <w:sz w:val="18"/>
                <w:szCs w:val="18"/>
              </w:rPr>
            </w:pPr>
          </w:p>
        </w:tc>
        <w:tc>
          <w:tcPr>
            <w:tcW w:w="2268" w:type="dxa"/>
            <w:vAlign w:val="center"/>
          </w:tcPr>
          <w:p w14:paraId="295DC0C7" w14:textId="77777777" w:rsidR="005215C9" w:rsidRPr="00CE6559" w:rsidRDefault="005215C9" w:rsidP="00D262ED">
            <w:pPr>
              <w:tabs>
                <w:tab w:val="clear" w:pos="5041"/>
              </w:tabs>
              <w:spacing w:after="0"/>
              <w:rPr>
                <w:rFonts w:asciiTheme="minorHAnsi" w:hAnsiTheme="minorHAnsi"/>
                <w:sz w:val="18"/>
                <w:szCs w:val="18"/>
              </w:rPr>
            </w:pPr>
          </w:p>
        </w:tc>
      </w:tr>
      <w:tr w:rsidR="005215C9" w14:paraId="38F91480" w14:textId="77777777" w:rsidTr="005215C9">
        <w:tc>
          <w:tcPr>
            <w:tcW w:w="2235" w:type="dxa"/>
            <w:vAlign w:val="center"/>
          </w:tcPr>
          <w:p w14:paraId="3DE6C383" w14:textId="77777777" w:rsidR="005215C9" w:rsidRPr="00CE6559" w:rsidRDefault="005215C9" w:rsidP="00D262ED">
            <w:pPr>
              <w:tabs>
                <w:tab w:val="clear" w:pos="5041"/>
              </w:tabs>
              <w:spacing w:after="0"/>
              <w:rPr>
                <w:rFonts w:asciiTheme="minorHAnsi" w:hAnsiTheme="minorHAnsi"/>
                <w:sz w:val="18"/>
                <w:szCs w:val="18"/>
              </w:rPr>
            </w:pPr>
            <w:r w:rsidRPr="00CE6559">
              <w:rPr>
                <w:rFonts w:asciiTheme="minorHAnsi" w:hAnsiTheme="minorHAnsi"/>
                <w:sz w:val="18"/>
                <w:szCs w:val="18"/>
              </w:rPr>
              <w:t>Västkustens yttre kustvatten, Kattegatt</w:t>
            </w:r>
          </w:p>
        </w:tc>
        <w:tc>
          <w:tcPr>
            <w:tcW w:w="1462" w:type="dxa"/>
            <w:vAlign w:val="center"/>
          </w:tcPr>
          <w:p w14:paraId="58E73E7F" w14:textId="77777777" w:rsidR="005215C9" w:rsidRPr="00CE6559" w:rsidRDefault="005215C9" w:rsidP="00D262ED">
            <w:pPr>
              <w:tabs>
                <w:tab w:val="clear" w:pos="5041"/>
              </w:tabs>
              <w:spacing w:after="0"/>
              <w:rPr>
                <w:rFonts w:asciiTheme="minorHAnsi" w:hAnsiTheme="minorHAnsi"/>
                <w:sz w:val="18"/>
                <w:szCs w:val="18"/>
              </w:rPr>
            </w:pPr>
          </w:p>
        </w:tc>
        <w:tc>
          <w:tcPr>
            <w:tcW w:w="1373" w:type="dxa"/>
            <w:vAlign w:val="center"/>
          </w:tcPr>
          <w:p w14:paraId="3A557A09" w14:textId="77777777" w:rsidR="005215C9" w:rsidRPr="00CE6559" w:rsidRDefault="005215C9" w:rsidP="00D262ED">
            <w:pPr>
              <w:tabs>
                <w:tab w:val="clear" w:pos="5041"/>
              </w:tabs>
              <w:spacing w:after="0"/>
              <w:rPr>
                <w:rFonts w:asciiTheme="minorHAnsi" w:hAnsiTheme="minorHAnsi"/>
                <w:sz w:val="18"/>
                <w:szCs w:val="18"/>
              </w:rPr>
            </w:pPr>
          </w:p>
        </w:tc>
        <w:tc>
          <w:tcPr>
            <w:tcW w:w="1984" w:type="dxa"/>
          </w:tcPr>
          <w:p w14:paraId="7C377452" w14:textId="77777777" w:rsidR="005215C9" w:rsidRPr="00CE6559" w:rsidRDefault="005215C9" w:rsidP="00D262ED">
            <w:pPr>
              <w:tabs>
                <w:tab w:val="clear" w:pos="5041"/>
              </w:tabs>
              <w:spacing w:after="0"/>
              <w:rPr>
                <w:rFonts w:asciiTheme="minorHAnsi" w:hAnsiTheme="minorHAnsi"/>
                <w:sz w:val="18"/>
                <w:szCs w:val="18"/>
              </w:rPr>
            </w:pPr>
          </w:p>
        </w:tc>
        <w:tc>
          <w:tcPr>
            <w:tcW w:w="2268" w:type="dxa"/>
            <w:vAlign w:val="center"/>
          </w:tcPr>
          <w:p w14:paraId="767671CF" w14:textId="77777777" w:rsidR="005215C9" w:rsidRPr="00CE6559" w:rsidRDefault="005215C9" w:rsidP="00D262ED">
            <w:pPr>
              <w:tabs>
                <w:tab w:val="clear" w:pos="5041"/>
              </w:tabs>
              <w:spacing w:after="0"/>
              <w:rPr>
                <w:rFonts w:asciiTheme="minorHAnsi" w:hAnsiTheme="minorHAnsi"/>
                <w:sz w:val="18"/>
                <w:szCs w:val="18"/>
              </w:rPr>
            </w:pPr>
          </w:p>
        </w:tc>
      </w:tr>
      <w:tr w:rsidR="005215C9" w14:paraId="7D47CB88" w14:textId="77777777" w:rsidTr="005215C9">
        <w:tc>
          <w:tcPr>
            <w:tcW w:w="2235" w:type="dxa"/>
            <w:vAlign w:val="center"/>
          </w:tcPr>
          <w:p w14:paraId="4694478B" w14:textId="77777777" w:rsidR="005215C9" w:rsidRPr="00CE6559" w:rsidRDefault="005215C9" w:rsidP="00D262ED">
            <w:pPr>
              <w:tabs>
                <w:tab w:val="clear" w:pos="5041"/>
              </w:tabs>
              <w:spacing w:after="0"/>
              <w:rPr>
                <w:rFonts w:asciiTheme="minorHAnsi" w:hAnsiTheme="minorHAnsi"/>
                <w:sz w:val="18"/>
                <w:szCs w:val="18"/>
              </w:rPr>
            </w:pPr>
            <w:r w:rsidRPr="00CE6559">
              <w:rPr>
                <w:rFonts w:asciiTheme="minorHAnsi" w:hAnsiTheme="minorHAnsi"/>
                <w:sz w:val="18"/>
                <w:szCs w:val="18"/>
              </w:rPr>
              <w:t>S. Hallands och N Öresunds kustvatten</w:t>
            </w:r>
          </w:p>
        </w:tc>
        <w:tc>
          <w:tcPr>
            <w:tcW w:w="1462" w:type="dxa"/>
            <w:vAlign w:val="center"/>
          </w:tcPr>
          <w:p w14:paraId="41897F8E" w14:textId="77777777" w:rsidR="005215C9" w:rsidRPr="00CE6559" w:rsidRDefault="005215C9" w:rsidP="00D262ED">
            <w:pPr>
              <w:tabs>
                <w:tab w:val="clear" w:pos="5041"/>
              </w:tabs>
              <w:spacing w:after="0"/>
              <w:rPr>
                <w:rFonts w:asciiTheme="minorHAnsi" w:hAnsiTheme="minorHAnsi"/>
                <w:sz w:val="18"/>
                <w:szCs w:val="18"/>
              </w:rPr>
            </w:pPr>
          </w:p>
        </w:tc>
        <w:tc>
          <w:tcPr>
            <w:tcW w:w="1373" w:type="dxa"/>
            <w:vAlign w:val="center"/>
          </w:tcPr>
          <w:p w14:paraId="52EF3F2E" w14:textId="77777777" w:rsidR="005215C9" w:rsidRPr="00CE6559" w:rsidRDefault="005215C9" w:rsidP="00D262ED">
            <w:pPr>
              <w:tabs>
                <w:tab w:val="clear" w:pos="5041"/>
              </w:tabs>
              <w:spacing w:after="0"/>
              <w:rPr>
                <w:rFonts w:asciiTheme="minorHAnsi" w:hAnsiTheme="minorHAnsi"/>
                <w:sz w:val="18"/>
                <w:szCs w:val="18"/>
              </w:rPr>
            </w:pPr>
          </w:p>
        </w:tc>
        <w:tc>
          <w:tcPr>
            <w:tcW w:w="1984" w:type="dxa"/>
          </w:tcPr>
          <w:p w14:paraId="3F57A453" w14:textId="77777777" w:rsidR="005215C9" w:rsidRPr="00CE6559" w:rsidRDefault="005215C9" w:rsidP="00D262ED">
            <w:pPr>
              <w:tabs>
                <w:tab w:val="clear" w:pos="5041"/>
              </w:tabs>
              <w:spacing w:after="0"/>
              <w:rPr>
                <w:rFonts w:asciiTheme="minorHAnsi" w:hAnsiTheme="minorHAnsi"/>
                <w:sz w:val="18"/>
                <w:szCs w:val="18"/>
              </w:rPr>
            </w:pPr>
          </w:p>
        </w:tc>
        <w:tc>
          <w:tcPr>
            <w:tcW w:w="2268" w:type="dxa"/>
            <w:vAlign w:val="center"/>
          </w:tcPr>
          <w:p w14:paraId="2047CB1D" w14:textId="77777777" w:rsidR="005215C9" w:rsidRPr="00CE6559" w:rsidRDefault="005215C9" w:rsidP="00D262ED">
            <w:pPr>
              <w:tabs>
                <w:tab w:val="clear" w:pos="5041"/>
              </w:tabs>
              <w:spacing w:after="0"/>
              <w:rPr>
                <w:rFonts w:asciiTheme="minorHAnsi" w:hAnsiTheme="minorHAnsi"/>
                <w:sz w:val="18"/>
                <w:szCs w:val="18"/>
              </w:rPr>
            </w:pPr>
          </w:p>
        </w:tc>
      </w:tr>
      <w:tr w:rsidR="005215C9" w14:paraId="7D8C43DB" w14:textId="77777777" w:rsidTr="005215C9">
        <w:tc>
          <w:tcPr>
            <w:tcW w:w="2235" w:type="dxa"/>
            <w:vAlign w:val="center"/>
          </w:tcPr>
          <w:p w14:paraId="465822DB" w14:textId="77777777" w:rsidR="005215C9" w:rsidRPr="00CE6559" w:rsidRDefault="005215C9" w:rsidP="00D262ED">
            <w:pPr>
              <w:tabs>
                <w:tab w:val="clear" w:pos="5041"/>
              </w:tabs>
              <w:spacing w:after="0"/>
              <w:rPr>
                <w:rFonts w:asciiTheme="minorHAnsi" w:hAnsiTheme="minorHAnsi"/>
                <w:sz w:val="18"/>
                <w:szCs w:val="18"/>
              </w:rPr>
            </w:pPr>
            <w:r w:rsidRPr="00CE6559">
              <w:rPr>
                <w:rFonts w:asciiTheme="minorHAnsi" w:hAnsiTheme="minorHAnsi"/>
                <w:sz w:val="18"/>
                <w:szCs w:val="18"/>
              </w:rPr>
              <w:t>Öresunds kustvatten</w:t>
            </w:r>
          </w:p>
        </w:tc>
        <w:tc>
          <w:tcPr>
            <w:tcW w:w="1462" w:type="dxa"/>
            <w:vAlign w:val="center"/>
          </w:tcPr>
          <w:p w14:paraId="3E3E0E8A" w14:textId="77777777" w:rsidR="005215C9" w:rsidRPr="00CE6559" w:rsidRDefault="00C26971" w:rsidP="00D262ED">
            <w:pPr>
              <w:tabs>
                <w:tab w:val="clear" w:pos="5041"/>
              </w:tabs>
              <w:spacing w:after="0"/>
              <w:rPr>
                <w:rFonts w:asciiTheme="minorHAnsi" w:hAnsiTheme="minorHAnsi"/>
                <w:sz w:val="18"/>
                <w:szCs w:val="18"/>
              </w:rPr>
            </w:pPr>
            <w:r>
              <w:rPr>
                <w:rFonts w:asciiTheme="minorHAnsi" w:hAnsiTheme="minorHAnsi"/>
                <w:sz w:val="18"/>
                <w:szCs w:val="18"/>
              </w:rPr>
              <w:t>Minkning &gt; 10%</w:t>
            </w:r>
          </w:p>
        </w:tc>
        <w:tc>
          <w:tcPr>
            <w:tcW w:w="1373" w:type="dxa"/>
            <w:vAlign w:val="center"/>
          </w:tcPr>
          <w:p w14:paraId="6DC09BF2" w14:textId="77777777" w:rsidR="005215C9" w:rsidRPr="00CE6559" w:rsidRDefault="00C26971" w:rsidP="00D262ED">
            <w:pPr>
              <w:tabs>
                <w:tab w:val="clear" w:pos="5041"/>
              </w:tabs>
              <w:spacing w:after="0"/>
              <w:rPr>
                <w:rFonts w:asciiTheme="minorHAnsi" w:hAnsiTheme="minorHAnsi"/>
                <w:sz w:val="18"/>
                <w:szCs w:val="18"/>
              </w:rPr>
            </w:pPr>
            <w:r>
              <w:rPr>
                <w:rFonts w:asciiTheme="minorHAnsi" w:hAnsiTheme="minorHAnsi"/>
                <w:sz w:val="18"/>
                <w:szCs w:val="18"/>
              </w:rPr>
              <w:t>ökning</w:t>
            </w:r>
          </w:p>
        </w:tc>
        <w:tc>
          <w:tcPr>
            <w:tcW w:w="1984" w:type="dxa"/>
          </w:tcPr>
          <w:p w14:paraId="112B8EA0" w14:textId="517ACA4E" w:rsidR="005215C9" w:rsidRPr="00CE6559" w:rsidRDefault="00C26971" w:rsidP="00560190">
            <w:pPr>
              <w:tabs>
                <w:tab w:val="clear" w:pos="5041"/>
              </w:tabs>
              <w:spacing w:after="0"/>
              <w:rPr>
                <w:rFonts w:asciiTheme="minorHAnsi" w:hAnsiTheme="minorHAnsi"/>
                <w:sz w:val="18"/>
                <w:szCs w:val="18"/>
              </w:rPr>
            </w:pPr>
            <w:r>
              <w:rPr>
                <w:rFonts w:asciiTheme="minorHAnsi" w:hAnsiTheme="minorHAnsi"/>
                <w:sz w:val="18"/>
                <w:szCs w:val="18"/>
              </w:rPr>
              <w:t>God st</w:t>
            </w:r>
            <w:r w:rsidR="00560190">
              <w:rPr>
                <w:rFonts w:asciiTheme="minorHAnsi" w:hAnsiTheme="minorHAnsi"/>
                <w:sz w:val="18"/>
                <w:szCs w:val="18"/>
              </w:rPr>
              <w:t>a</w:t>
            </w:r>
            <w:r>
              <w:rPr>
                <w:rFonts w:asciiTheme="minorHAnsi" w:hAnsiTheme="minorHAnsi"/>
                <w:sz w:val="18"/>
                <w:szCs w:val="18"/>
              </w:rPr>
              <w:t>tus</w:t>
            </w:r>
          </w:p>
        </w:tc>
        <w:tc>
          <w:tcPr>
            <w:tcW w:w="2268" w:type="dxa"/>
            <w:vAlign w:val="center"/>
          </w:tcPr>
          <w:p w14:paraId="4F0B3F67" w14:textId="77777777" w:rsidR="005215C9" w:rsidRPr="00CE6559" w:rsidRDefault="00C26971" w:rsidP="00D262ED">
            <w:pPr>
              <w:tabs>
                <w:tab w:val="clear" w:pos="5041"/>
              </w:tabs>
              <w:spacing w:after="0"/>
              <w:rPr>
                <w:rFonts w:asciiTheme="minorHAnsi" w:hAnsiTheme="minorHAnsi"/>
                <w:sz w:val="18"/>
                <w:szCs w:val="18"/>
              </w:rPr>
            </w:pPr>
            <w:r>
              <w:rPr>
                <w:rFonts w:asciiTheme="minorHAnsi" w:hAnsiTheme="minorHAnsi"/>
                <w:sz w:val="18"/>
                <w:szCs w:val="18"/>
              </w:rPr>
              <w:t>Hög om man använder detta kriterium</w:t>
            </w:r>
          </w:p>
        </w:tc>
      </w:tr>
      <w:tr w:rsidR="005215C9" w14:paraId="61EF22A8" w14:textId="77777777" w:rsidTr="005215C9">
        <w:tc>
          <w:tcPr>
            <w:tcW w:w="2235" w:type="dxa"/>
            <w:vAlign w:val="center"/>
          </w:tcPr>
          <w:p w14:paraId="091428EA" w14:textId="77777777" w:rsidR="005215C9" w:rsidRPr="00CE6559" w:rsidRDefault="005215C9" w:rsidP="00D262ED">
            <w:pPr>
              <w:tabs>
                <w:tab w:val="clear" w:pos="5041"/>
              </w:tabs>
              <w:spacing w:after="0"/>
              <w:rPr>
                <w:rFonts w:asciiTheme="minorHAnsi" w:hAnsiTheme="minorHAnsi"/>
                <w:sz w:val="18"/>
                <w:szCs w:val="18"/>
              </w:rPr>
            </w:pPr>
            <w:r w:rsidRPr="00CE6559">
              <w:rPr>
                <w:rFonts w:asciiTheme="minorHAnsi" w:hAnsiTheme="minorHAnsi"/>
                <w:sz w:val="18"/>
                <w:szCs w:val="18"/>
              </w:rPr>
              <w:t>Skånes kustvatten</w:t>
            </w:r>
          </w:p>
        </w:tc>
        <w:tc>
          <w:tcPr>
            <w:tcW w:w="1462" w:type="dxa"/>
            <w:vAlign w:val="center"/>
          </w:tcPr>
          <w:p w14:paraId="65725253" w14:textId="77777777" w:rsidR="005215C9" w:rsidRPr="00CE6559" w:rsidRDefault="005215C9" w:rsidP="00D262ED">
            <w:pPr>
              <w:tabs>
                <w:tab w:val="clear" w:pos="5041"/>
              </w:tabs>
              <w:spacing w:after="0"/>
              <w:rPr>
                <w:rFonts w:asciiTheme="minorHAnsi" w:hAnsiTheme="minorHAnsi"/>
                <w:sz w:val="18"/>
                <w:szCs w:val="18"/>
              </w:rPr>
            </w:pPr>
          </w:p>
        </w:tc>
        <w:tc>
          <w:tcPr>
            <w:tcW w:w="1373" w:type="dxa"/>
            <w:vAlign w:val="center"/>
          </w:tcPr>
          <w:p w14:paraId="6DCD38A1" w14:textId="77777777" w:rsidR="005215C9" w:rsidRPr="00CE6559" w:rsidRDefault="005215C9" w:rsidP="00D262ED">
            <w:pPr>
              <w:tabs>
                <w:tab w:val="clear" w:pos="5041"/>
              </w:tabs>
              <w:spacing w:after="0"/>
              <w:rPr>
                <w:rFonts w:asciiTheme="minorHAnsi" w:hAnsiTheme="minorHAnsi"/>
                <w:sz w:val="18"/>
                <w:szCs w:val="18"/>
              </w:rPr>
            </w:pPr>
          </w:p>
        </w:tc>
        <w:tc>
          <w:tcPr>
            <w:tcW w:w="1984" w:type="dxa"/>
          </w:tcPr>
          <w:p w14:paraId="750269B4" w14:textId="77777777" w:rsidR="005215C9" w:rsidRPr="00CE6559" w:rsidRDefault="005215C9" w:rsidP="00D262ED">
            <w:pPr>
              <w:tabs>
                <w:tab w:val="clear" w:pos="5041"/>
              </w:tabs>
              <w:spacing w:after="0"/>
              <w:rPr>
                <w:rFonts w:asciiTheme="minorHAnsi" w:hAnsiTheme="minorHAnsi"/>
                <w:sz w:val="18"/>
                <w:szCs w:val="18"/>
              </w:rPr>
            </w:pPr>
          </w:p>
        </w:tc>
        <w:tc>
          <w:tcPr>
            <w:tcW w:w="2268" w:type="dxa"/>
            <w:vAlign w:val="center"/>
          </w:tcPr>
          <w:p w14:paraId="789E09E9" w14:textId="77777777" w:rsidR="005215C9" w:rsidRPr="00CE6559" w:rsidRDefault="005215C9" w:rsidP="00D262ED">
            <w:pPr>
              <w:tabs>
                <w:tab w:val="clear" w:pos="5041"/>
              </w:tabs>
              <w:spacing w:after="0"/>
              <w:rPr>
                <w:rFonts w:asciiTheme="minorHAnsi" w:hAnsiTheme="minorHAnsi"/>
                <w:sz w:val="18"/>
                <w:szCs w:val="18"/>
              </w:rPr>
            </w:pPr>
          </w:p>
        </w:tc>
      </w:tr>
      <w:tr w:rsidR="00EF0761" w14:paraId="7075665D" w14:textId="77777777" w:rsidTr="00D102A8">
        <w:tc>
          <w:tcPr>
            <w:tcW w:w="9322" w:type="dxa"/>
            <w:gridSpan w:val="5"/>
            <w:vAlign w:val="center"/>
          </w:tcPr>
          <w:p w14:paraId="2E118057" w14:textId="77777777" w:rsidR="00EF0761" w:rsidRPr="00CE6559" w:rsidRDefault="00C26971" w:rsidP="00D262ED">
            <w:pPr>
              <w:tabs>
                <w:tab w:val="clear" w:pos="5041"/>
              </w:tabs>
              <w:spacing w:after="0"/>
              <w:rPr>
                <w:rFonts w:asciiTheme="minorHAnsi" w:hAnsiTheme="minorHAnsi"/>
                <w:sz w:val="18"/>
                <w:szCs w:val="18"/>
              </w:rPr>
            </w:pPr>
            <w:r>
              <w:rPr>
                <w:sz w:val="18"/>
                <w:szCs w:val="18"/>
              </w:rPr>
              <w:t>Kriterium: Får ej minska med mer än 10% under en 10-årsperiod</w:t>
            </w:r>
          </w:p>
        </w:tc>
      </w:tr>
    </w:tbl>
    <w:p w14:paraId="62E4F90A" w14:textId="77777777" w:rsidR="007E2CB3" w:rsidRDefault="007E2CB3">
      <w:pPr>
        <w:tabs>
          <w:tab w:val="clear" w:pos="5041"/>
        </w:tabs>
        <w:spacing w:after="0"/>
      </w:pPr>
    </w:p>
    <w:p w14:paraId="436D3F19" w14:textId="77777777" w:rsidR="001A460F" w:rsidRDefault="00B13809" w:rsidP="004B7657">
      <w:pPr>
        <w:tabs>
          <w:tab w:val="clear" w:pos="5041"/>
        </w:tabs>
      </w:pPr>
      <w:r>
        <w:t>Tabell 2. Förvaltningsområde Östersjön</w:t>
      </w:r>
    </w:p>
    <w:p w14:paraId="511A7BEC" w14:textId="77777777" w:rsidR="004B7657" w:rsidRPr="004B7657" w:rsidRDefault="004B7657" w:rsidP="004B7657">
      <w:pPr>
        <w:tabs>
          <w:tab w:val="clear" w:pos="5041"/>
        </w:tabs>
        <w:spacing w:after="0"/>
        <w:rPr>
          <w:rFonts w:ascii="Georgia" w:eastAsiaTheme="minorHAnsi" w:hAnsi="Georgia" w:cstheme="minorBidi"/>
          <w:i/>
          <w:sz w:val="22"/>
          <w:szCs w:val="22"/>
          <w:lang w:eastAsia="en-US"/>
        </w:rPr>
      </w:pPr>
      <w:r w:rsidRPr="004B7657">
        <w:rPr>
          <w:i/>
        </w:rPr>
        <w:t>Tabelltext ex. enhet, arter för olika områden, etc.</w:t>
      </w:r>
    </w:p>
    <w:tbl>
      <w:tblPr>
        <w:tblStyle w:val="Tabellrutnt"/>
        <w:tblW w:w="0" w:type="auto"/>
        <w:tblCellMar>
          <w:top w:w="28" w:type="dxa"/>
          <w:bottom w:w="28" w:type="dxa"/>
        </w:tblCellMar>
        <w:tblLook w:val="04A0" w:firstRow="1" w:lastRow="0" w:firstColumn="1" w:lastColumn="0" w:noHBand="0" w:noVBand="1"/>
      </w:tblPr>
      <w:tblGrid>
        <w:gridCol w:w="2731"/>
        <w:gridCol w:w="1462"/>
        <w:gridCol w:w="1786"/>
        <w:gridCol w:w="1600"/>
        <w:gridCol w:w="1483"/>
      </w:tblGrid>
      <w:tr w:rsidR="00AE20C0" w14:paraId="73C42A64" w14:textId="77777777" w:rsidTr="00FB6023">
        <w:tc>
          <w:tcPr>
            <w:tcW w:w="2733" w:type="dxa"/>
          </w:tcPr>
          <w:p w14:paraId="0010DE69" w14:textId="77777777" w:rsidR="00475B09" w:rsidRPr="00D44830" w:rsidRDefault="00475B09" w:rsidP="00D05BBE">
            <w:pPr>
              <w:tabs>
                <w:tab w:val="clear" w:pos="5041"/>
              </w:tabs>
              <w:spacing w:after="0"/>
              <w:rPr>
                <w:rFonts w:asciiTheme="majorHAnsi" w:hAnsiTheme="majorHAnsi" w:cstheme="majorHAnsi"/>
                <w:b/>
                <w:sz w:val="20"/>
                <w:szCs w:val="20"/>
              </w:rPr>
            </w:pPr>
            <w:r>
              <w:br w:type="page"/>
            </w:r>
            <w:r w:rsidRPr="00D44830">
              <w:rPr>
                <w:rFonts w:asciiTheme="majorHAnsi" w:hAnsiTheme="majorHAnsi" w:cstheme="majorHAnsi"/>
                <w:b/>
                <w:sz w:val="20"/>
                <w:szCs w:val="20"/>
              </w:rPr>
              <w:t>Bedömningsområde</w:t>
            </w:r>
          </w:p>
        </w:tc>
        <w:tc>
          <w:tcPr>
            <w:tcW w:w="1460" w:type="dxa"/>
          </w:tcPr>
          <w:p w14:paraId="2231152C"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787" w:type="dxa"/>
          </w:tcPr>
          <w:p w14:paraId="50060736"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601" w:type="dxa"/>
          </w:tcPr>
          <w:p w14:paraId="124F7C02" w14:textId="77777777" w:rsidR="00475B09"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0" w:type="auto"/>
          </w:tcPr>
          <w:p w14:paraId="0E5526F4"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AE20C0" w14:paraId="6DCC0DF4" w14:textId="77777777" w:rsidTr="00FB6023">
        <w:trPr>
          <w:cantSplit/>
          <w:trHeight w:val="294"/>
        </w:trPr>
        <w:tc>
          <w:tcPr>
            <w:tcW w:w="2733" w:type="dxa"/>
            <w:vAlign w:val="center"/>
          </w:tcPr>
          <w:p w14:paraId="479B30AB" w14:textId="3BBDDE3E" w:rsidR="00FB6023" w:rsidRPr="004B7657" w:rsidRDefault="00FB6023" w:rsidP="00FB6023">
            <w:pPr>
              <w:tabs>
                <w:tab w:val="clear" w:pos="5041"/>
              </w:tabs>
              <w:spacing w:after="0"/>
              <w:rPr>
                <w:rFonts w:asciiTheme="minorHAnsi" w:hAnsiTheme="minorHAnsi"/>
                <w:b/>
                <w:sz w:val="20"/>
                <w:szCs w:val="20"/>
              </w:rPr>
            </w:pPr>
            <w:r w:rsidRPr="004B7657">
              <w:rPr>
                <w:rFonts w:asciiTheme="minorHAnsi" w:hAnsiTheme="minorHAnsi"/>
                <w:b/>
                <w:sz w:val="20"/>
                <w:szCs w:val="20"/>
              </w:rPr>
              <w:t>Hela Östersjön</w:t>
            </w:r>
          </w:p>
        </w:tc>
        <w:tc>
          <w:tcPr>
            <w:tcW w:w="1460" w:type="dxa"/>
            <w:vAlign w:val="center"/>
          </w:tcPr>
          <w:p w14:paraId="73153C57" w14:textId="1E99874A" w:rsidR="00FB6023" w:rsidRPr="00FB6023" w:rsidRDefault="00FB6023" w:rsidP="00FB6023">
            <w:pPr>
              <w:tabs>
                <w:tab w:val="clear" w:pos="5041"/>
              </w:tabs>
              <w:spacing w:after="0"/>
              <w:rPr>
                <w:sz w:val="20"/>
                <w:szCs w:val="20"/>
              </w:rPr>
            </w:pPr>
            <w:r w:rsidRPr="00FB6023">
              <w:rPr>
                <w:sz w:val="20"/>
                <w:szCs w:val="20"/>
              </w:rPr>
              <w:t>Abundans</w:t>
            </w:r>
            <w:r>
              <w:rPr>
                <w:sz w:val="20"/>
                <w:szCs w:val="20"/>
              </w:rPr>
              <w:t>:</w:t>
            </w:r>
            <w:r w:rsidRPr="00FB6023">
              <w:rPr>
                <w:sz w:val="20"/>
                <w:szCs w:val="20"/>
              </w:rPr>
              <w:t xml:space="preserve"> </w:t>
            </w:r>
            <w:r>
              <w:rPr>
                <w:sz w:val="20"/>
                <w:szCs w:val="20"/>
              </w:rPr>
              <w:t xml:space="preserve">     </w:t>
            </w:r>
            <w:r w:rsidRPr="00FB6023">
              <w:rPr>
                <w:sz w:val="20"/>
                <w:szCs w:val="20"/>
              </w:rPr>
              <w:t>&gt;</w:t>
            </w:r>
            <w:r>
              <w:rPr>
                <w:sz w:val="20"/>
                <w:szCs w:val="20"/>
              </w:rPr>
              <w:t xml:space="preserve"> </w:t>
            </w:r>
            <w:r w:rsidRPr="00FB6023">
              <w:rPr>
                <w:sz w:val="20"/>
                <w:szCs w:val="20"/>
              </w:rPr>
              <w:t>10000</w:t>
            </w:r>
          </w:p>
          <w:p w14:paraId="27A6F128" w14:textId="1A08E297" w:rsidR="00FB6023" w:rsidRPr="00FB6023" w:rsidRDefault="00FB6023" w:rsidP="00FB6023">
            <w:pPr>
              <w:tabs>
                <w:tab w:val="clear" w:pos="5041"/>
              </w:tabs>
              <w:spacing w:after="0"/>
              <w:rPr>
                <w:sz w:val="20"/>
                <w:szCs w:val="20"/>
              </w:rPr>
            </w:pPr>
            <w:r w:rsidRPr="00FB6023">
              <w:rPr>
                <w:sz w:val="20"/>
                <w:szCs w:val="20"/>
              </w:rPr>
              <w:t>Trend</w:t>
            </w:r>
            <w:r>
              <w:rPr>
                <w:sz w:val="20"/>
                <w:szCs w:val="20"/>
              </w:rPr>
              <w:t xml:space="preserve">: ≥ </w:t>
            </w:r>
            <w:r w:rsidRPr="00FB6023">
              <w:rPr>
                <w:sz w:val="20"/>
                <w:szCs w:val="20"/>
              </w:rPr>
              <w:t>7%</w:t>
            </w:r>
            <w:r>
              <w:rPr>
                <w:sz w:val="20"/>
                <w:szCs w:val="20"/>
              </w:rPr>
              <w:t xml:space="preserve"> tillväxt</w:t>
            </w:r>
            <w:r w:rsidRPr="00FB6023">
              <w:rPr>
                <w:sz w:val="20"/>
                <w:szCs w:val="20"/>
              </w:rPr>
              <w:t xml:space="preserve"> alt. &lt;10% minskning över 10 år</w:t>
            </w:r>
          </w:p>
        </w:tc>
        <w:tc>
          <w:tcPr>
            <w:tcW w:w="1787" w:type="dxa"/>
            <w:vAlign w:val="center"/>
          </w:tcPr>
          <w:p w14:paraId="1E67F284" w14:textId="20988202" w:rsidR="00FB6023" w:rsidRPr="00FB6023" w:rsidRDefault="00FB6023" w:rsidP="00FB6023">
            <w:pPr>
              <w:tabs>
                <w:tab w:val="clear" w:pos="5041"/>
              </w:tabs>
              <w:spacing w:after="0"/>
              <w:rPr>
                <w:sz w:val="20"/>
                <w:szCs w:val="20"/>
              </w:rPr>
            </w:pPr>
            <w:r w:rsidRPr="00FB6023">
              <w:rPr>
                <w:sz w:val="20"/>
                <w:szCs w:val="20"/>
              </w:rPr>
              <w:t>abundans:</w:t>
            </w:r>
            <w:r>
              <w:rPr>
                <w:sz w:val="20"/>
                <w:szCs w:val="20"/>
              </w:rPr>
              <w:t xml:space="preserve"> </w:t>
            </w:r>
            <w:r w:rsidRPr="00FB6023">
              <w:rPr>
                <w:sz w:val="20"/>
                <w:szCs w:val="20"/>
              </w:rPr>
              <w:t>32000</w:t>
            </w:r>
          </w:p>
          <w:p w14:paraId="4A7E47A0" w14:textId="281DE5F9" w:rsidR="00FB6023" w:rsidRPr="00FB6023" w:rsidRDefault="00FB6023" w:rsidP="00FB6023">
            <w:pPr>
              <w:tabs>
                <w:tab w:val="clear" w:pos="5041"/>
              </w:tabs>
              <w:spacing w:after="0"/>
              <w:rPr>
                <w:sz w:val="20"/>
                <w:szCs w:val="20"/>
              </w:rPr>
            </w:pPr>
            <w:r>
              <w:rPr>
                <w:sz w:val="20"/>
                <w:szCs w:val="20"/>
              </w:rPr>
              <w:t>t</w:t>
            </w:r>
            <w:r w:rsidRPr="00FB6023">
              <w:rPr>
                <w:sz w:val="20"/>
                <w:szCs w:val="20"/>
              </w:rPr>
              <w:t>rend: +5,1%</w:t>
            </w:r>
          </w:p>
        </w:tc>
        <w:tc>
          <w:tcPr>
            <w:tcW w:w="1601" w:type="dxa"/>
          </w:tcPr>
          <w:p w14:paraId="4850CB65" w14:textId="77777777" w:rsidR="00FB6023" w:rsidRPr="00FB6023" w:rsidRDefault="00FB6023" w:rsidP="00FB6023">
            <w:pPr>
              <w:tabs>
                <w:tab w:val="clear" w:pos="5041"/>
              </w:tabs>
              <w:spacing w:after="0"/>
              <w:rPr>
                <w:sz w:val="20"/>
                <w:szCs w:val="20"/>
              </w:rPr>
            </w:pPr>
          </w:p>
          <w:p w14:paraId="47D0EBA5" w14:textId="73C9EA02" w:rsidR="00FB6023" w:rsidRPr="00FB6023" w:rsidRDefault="00FB6023" w:rsidP="00FB6023">
            <w:pPr>
              <w:rPr>
                <w:sz w:val="20"/>
                <w:szCs w:val="20"/>
              </w:rPr>
            </w:pPr>
            <w:r w:rsidRPr="00FB6023">
              <w:rPr>
                <w:sz w:val="20"/>
                <w:szCs w:val="20"/>
              </w:rPr>
              <w:t>abundans:</w:t>
            </w:r>
            <w:r>
              <w:rPr>
                <w:sz w:val="20"/>
                <w:szCs w:val="20"/>
              </w:rPr>
              <w:t xml:space="preserve">     </w:t>
            </w:r>
            <w:r w:rsidRPr="00FB6023">
              <w:rPr>
                <w:sz w:val="20"/>
                <w:szCs w:val="20"/>
              </w:rPr>
              <w:t>God status</w:t>
            </w:r>
          </w:p>
          <w:p w14:paraId="698E9286" w14:textId="2BEA9597" w:rsidR="00FB6023" w:rsidRPr="00FB6023" w:rsidRDefault="00FB6023" w:rsidP="00FB6023">
            <w:pPr>
              <w:rPr>
                <w:sz w:val="20"/>
                <w:szCs w:val="20"/>
              </w:rPr>
            </w:pPr>
            <w:r w:rsidRPr="00FB6023">
              <w:rPr>
                <w:sz w:val="20"/>
                <w:szCs w:val="20"/>
              </w:rPr>
              <w:t xml:space="preserve">Trend: </w:t>
            </w:r>
            <w:r>
              <w:rPr>
                <w:sz w:val="20"/>
                <w:szCs w:val="20"/>
              </w:rPr>
              <w:t xml:space="preserve">          </w:t>
            </w:r>
            <w:r w:rsidRPr="00FB6023">
              <w:rPr>
                <w:sz w:val="20"/>
                <w:szCs w:val="20"/>
              </w:rPr>
              <w:t>God status</w:t>
            </w:r>
          </w:p>
        </w:tc>
        <w:tc>
          <w:tcPr>
            <w:tcW w:w="0" w:type="auto"/>
            <w:vAlign w:val="center"/>
          </w:tcPr>
          <w:p w14:paraId="79C88B17" w14:textId="0E1FFD0B" w:rsidR="00FB6023" w:rsidRPr="00FB6023" w:rsidRDefault="00FB6023" w:rsidP="00FB6023">
            <w:pPr>
              <w:tabs>
                <w:tab w:val="clear" w:pos="5041"/>
              </w:tabs>
              <w:spacing w:after="0"/>
              <w:rPr>
                <w:sz w:val="20"/>
                <w:szCs w:val="20"/>
              </w:rPr>
            </w:pPr>
            <w:r w:rsidRPr="00FB6023">
              <w:rPr>
                <w:sz w:val="20"/>
                <w:szCs w:val="20"/>
              </w:rPr>
              <w:t>abundans: Hög</w:t>
            </w:r>
          </w:p>
          <w:p w14:paraId="1D9810DF" w14:textId="7E2EC3C1" w:rsidR="00FB6023" w:rsidRPr="00FB6023" w:rsidRDefault="00FB6023" w:rsidP="00FB6023">
            <w:pPr>
              <w:tabs>
                <w:tab w:val="clear" w:pos="5041"/>
              </w:tabs>
              <w:spacing w:after="0"/>
              <w:rPr>
                <w:sz w:val="20"/>
                <w:szCs w:val="20"/>
              </w:rPr>
            </w:pPr>
            <w:r w:rsidRPr="00FB6023">
              <w:rPr>
                <w:sz w:val="20"/>
                <w:szCs w:val="20"/>
              </w:rPr>
              <w:t>Trend: Medel</w:t>
            </w:r>
          </w:p>
        </w:tc>
      </w:tr>
    </w:tbl>
    <w:p w14:paraId="043D6CFF" w14:textId="77777777" w:rsidR="00475B09" w:rsidRDefault="00475B09">
      <w:pPr>
        <w:tabs>
          <w:tab w:val="clear" w:pos="5041"/>
        </w:tabs>
        <w:spacing w:after="0"/>
        <w:rPr>
          <w:rFonts w:ascii="Arial" w:eastAsiaTheme="majorEastAsia" w:hAnsi="Arial" w:cstheme="majorBidi"/>
          <w:b/>
          <w:bCs/>
          <w:sz w:val="22"/>
          <w:szCs w:val="22"/>
          <w:lang w:eastAsia="en-US"/>
        </w:rPr>
      </w:pPr>
      <w:r>
        <w:br w:type="page"/>
      </w:r>
    </w:p>
    <w:p w14:paraId="438B1C99" w14:textId="77777777" w:rsidR="0070387B" w:rsidRDefault="0070387B" w:rsidP="0070387B">
      <w:pPr>
        <w:pStyle w:val="Rubrik3"/>
      </w:pPr>
      <w:r>
        <w:lastRenderedPageBreak/>
        <w:t>Sektion 2. Detaljerad information.</w:t>
      </w:r>
    </w:p>
    <w:p w14:paraId="64ED5A87" w14:textId="349C6ABF" w:rsidR="0070387B" w:rsidRPr="00E820F7" w:rsidRDefault="0070387B" w:rsidP="0009349B">
      <w:pPr>
        <w:pStyle w:val="Brdtext"/>
        <w:rPr>
          <w:u w:val="single"/>
        </w:rPr>
      </w:pPr>
      <w:r w:rsidRPr="00E820F7">
        <w:rPr>
          <w:u w:val="single"/>
        </w:rPr>
        <w:t xml:space="preserve">2.1. </w:t>
      </w:r>
      <w:r w:rsidR="00F0386D" w:rsidRPr="00E820F7">
        <w:rPr>
          <w:u w:val="single"/>
        </w:rPr>
        <w:t>I</w:t>
      </w:r>
      <w:r w:rsidR="00F87DD4" w:rsidRPr="00E820F7">
        <w:rPr>
          <w:u w:val="single"/>
        </w:rPr>
        <w:t>ntrodu</w:t>
      </w:r>
      <w:r w:rsidR="00E820F7" w:rsidRPr="00E820F7">
        <w:rPr>
          <w:u w:val="single"/>
        </w:rPr>
        <w:t>k</w:t>
      </w:r>
      <w:r w:rsidR="00F87DD4" w:rsidRPr="00E820F7">
        <w:rPr>
          <w:u w:val="single"/>
        </w:rPr>
        <w:t>tion</w:t>
      </w:r>
    </w:p>
    <w:p w14:paraId="00B6D86B" w14:textId="77777777" w:rsidR="0016771B" w:rsidRDefault="0016771B" w:rsidP="00E820F7">
      <w:pPr>
        <w:pStyle w:val="Brdtext"/>
        <w:spacing w:line="276" w:lineRule="auto"/>
      </w:pPr>
      <w:r>
        <w:t>Gråsälen har historisk</w:t>
      </w:r>
      <w:r w:rsidR="004A6E88">
        <w:t>t sett funnits i hela Östersjön</w:t>
      </w:r>
      <w:r>
        <w:t xml:space="preserve"> och Kattegatt och i början av 1900-talet fanns över 8</w:t>
      </w:r>
      <w:r w:rsidR="008D2961">
        <w:t xml:space="preserve">0 </w:t>
      </w:r>
      <w:r>
        <w:t>000 gråsälar i Östersjön (Hårding och Härkönen 1999) och reproducerande bestånd på de danska öarna i Kattegatt. Gråsälarna var viktiga toppredatorer , främst i egentliga Östersjön och de utgjorde historiskt en viktig resurs för människan. Framför allt var sältranet en viktig inkomstkälla som beskattades redan under Gustav Vasas tid. Tranet förlorade dock i värde när billig norsk valolja blev tillgänglig i slutet av 1800-talet, varför man nu såg sälen som en konkurrent till människan. En internationellt samordnad kampanj med syfte att utrota sälarna inleddes  i slutet av 1800-talet och början av 1900-talet varvid gråsälarna i Kattegatt, och efter de Polska och tyska kusterna försvann (Hårding och Härkönen 1999). Antale</w:t>
      </w:r>
      <w:r w:rsidR="004A6E88">
        <w:t>t gråsälar i Östersjön minskade</w:t>
      </w:r>
      <w:r>
        <w:t xml:space="preserve"> drastiskt under 1930-talet och vid 1940 fanns endast 20 000 kvar. </w:t>
      </w:r>
    </w:p>
    <w:p w14:paraId="01993F84" w14:textId="77777777" w:rsidR="0016771B" w:rsidRDefault="0016771B" w:rsidP="00E820F7">
      <w:pPr>
        <w:pStyle w:val="Brdtext"/>
        <w:spacing w:line="276" w:lineRule="auto"/>
      </w:pPr>
      <w:r>
        <w:t xml:space="preserve">Men det visade sig vara svårt att utrota gråsälarna då de i stor utsträckning reproducerade sig i drivisen. Jakttrycket lyckades inte minska gråsälarna och i mitten av 1960- talet fanns fortfarande 20 000 kvar. Men under 1970-talet minskade de hastigt till kanske 3 000 djur eftersom de drabbats av sterilitet på grund av miljögifter, främst PCB. En mycket stor andel visade sig vara sterila, men de uppvisade även sjukliga förändringar i skelett och andra inre organ (Bergman m. fl. 1986). </w:t>
      </w:r>
    </w:p>
    <w:p w14:paraId="6F2658BC" w14:textId="77777777" w:rsidR="006E66C8" w:rsidRDefault="006E66C8" w:rsidP="00E820F7">
      <w:pPr>
        <w:pStyle w:val="Brdtext"/>
        <w:spacing w:line="276" w:lineRule="auto"/>
      </w:pPr>
      <w:r>
        <w:t>Efter gråsälen skyddades från jakt och miljögifterna minskade började gråsälstammen att hämta sig antalsmässigt i mitten på 1980-talet (Hårding och Härkönen 1999). Antalet räknade gråsälar upp gick till c:a 32 000 år 2016 (</w:t>
      </w:r>
      <w:r w:rsidR="004A6E88">
        <w:t xml:space="preserve">Karlsson m. fl 2008, </w:t>
      </w:r>
      <w:r>
        <w:t>Ref.)</w:t>
      </w:r>
    </w:p>
    <w:p w14:paraId="2D2708F6" w14:textId="77777777" w:rsidR="006E66C8" w:rsidRDefault="006E66C8" w:rsidP="00E820F7">
      <w:pPr>
        <w:spacing w:line="276" w:lineRule="auto"/>
        <w:rPr>
          <w:rFonts w:ascii="Georgia" w:eastAsiaTheme="minorHAnsi" w:hAnsi="Georgia" w:cstheme="minorBidi"/>
          <w:sz w:val="22"/>
          <w:szCs w:val="22"/>
          <w:lang w:eastAsia="en-US"/>
        </w:rPr>
      </w:pPr>
      <w:r w:rsidRPr="006E66C8">
        <w:rPr>
          <w:rFonts w:ascii="Georgia" w:eastAsiaTheme="minorHAnsi" w:hAnsi="Georgia" w:cstheme="minorBidi"/>
          <w:sz w:val="22"/>
          <w:szCs w:val="22"/>
          <w:lang w:eastAsia="en-US"/>
        </w:rPr>
        <w:t xml:space="preserve">Gråsälar försedda med satellit- eller GSM-sändare visar att gråsälarna är mycket rörliga och kan röra sig i hela Östersjön även inom begränsade tidsperioder, även i reproduktionstid. Därför </w:t>
      </w:r>
      <w:r>
        <w:rPr>
          <w:rFonts w:ascii="Georgia" w:eastAsiaTheme="minorHAnsi" w:hAnsi="Georgia" w:cstheme="minorBidi"/>
          <w:sz w:val="22"/>
          <w:szCs w:val="22"/>
          <w:lang w:eastAsia="en-US"/>
        </w:rPr>
        <w:t>ska gråsälen i Östersjön</w:t>
      </w:r>
      <w:r w:rsidRPr="006E66C8">
        <w:rPr>
          <w:rFonts w:ascii="Georgia" w:eastAsiaTheme="minorHAnsi" w:hAnsi="Georgia" w:cstheme="minorBidi"/>
          <w:sz w:val="22"/>
          <w:szCs w:val="22"/>
          <w:lang w:eastAsia="en-US"/>
        </w:rPr>
        <w:t xml:space="preserve"> betraktas som en förvaltningsenhet</w:t>
      </w:r>
      <w:r>
        <w:rPr>
          <w:rFonts w:ascii="Georgia" w:eastAsiaTheme="minorHAnsi" w:hAnsi="Georgia" w:cstheme="minorBidi"/>
          <w:sz w:val="22"/>
          <w:szCs w:val="22"/>
          <w:lang w:eastAsia="en-US"/>
        </w:rPr>
        <w:t xml:space="preserve"> (Anon 2017b</w:t>
      </w:r>
      <w:r w:rsidR="00AD5809">
        <w:rPr>
          <w:rFonts w:ascii="Georgia" w:eastAsiaTheme="minorHAnsi" w:hAnsi="Georgia" w:cstheme="minorBidi"/>
          <w:sz w:val="22"/>
          <w:szCs w:val="22"/>
          <w:lang w:eastAsia="en-US"/>
        </w:rPr>
        <w:t>)</w:t>
      </w:r>
      <w:r w:rsidRPr="006E66C8">
        <w:rPr>
          <w:rFonts w:ascii="Georgia" w:eastAsiaTheme="minorHAnsi" w:hAnsi="Georgia" w:cstheme="minorBidi"/>
          <w:sz w:val="22"/>
          <w:szCs w:val="22"/>
          <w:lang w:eastAsia="en-US"/>
        </w:rPr>
        <w:t>. Även här är det av stor vikt att förvaltningsåtgärder koordineras mellan Östersjöländerna.</w:t>
      </w:r>
    </w:p>
    <w:p w14:paraId="4D8F9CCF" w14:textId="77777777" w:rsidR="00AD5809" w:rsidRDefault="00AD5809" w:rsidP="00E820F7">
      <w:pPr>
        <w:pStyle w:val="Brdtext"/>
        <w:spacing w:line="276" w:lineRule="auto"/>
      </w:pPr>
      <w:r w:rsidRPr="00AD5809">
        <w:t>Sälarna i Östersjön och Västerhavet omfattas av passager i EU:s Habitatdirektiv samt HELCOM:s sälrekommendation från 2006, som Sverige ratificerat. I båda dessa övergripande regelsystem anges att de tre långsiktiga målen för förvaltningen skall vara ”naturlig utbredning” ”naturligt antal” samt en hälsostatus som säkrar populationens fortsatta existens i ekosystemet. Dessa mål i sig ska inte påverkas av socioekonomiska överväganden, men sådana hänsyn kan tagas vid implementeringen av förvaltningsplaner och åtgärdsprogram. Habitatdirektivet anger som mål att arterna ska ha gynnsam bevarandestatus. Sälarna omfattas även av EU:s ramdirektiv om en marin strategi</w:t>
      </w:r>
      <w:r>
        <w:t xml:space="preserve"> </w:t>
      </w:r>
      <w:r w:rsidRPr="00AD5809">
        <w:t>där arterna ska ha ”god miljömässig status” innan 2025. HELCOM har under det senaste decenniet arbetat med att ta fram indikatorer för att kunna mäta miljöstatus med Ramdirektivets definition för miljöstatus som grund. Inom ett nyligen avslutat projekt inom HELCOM (Baltic BOOST), visades att ”gynnsam bevarandestatus” och ”god miljömässig status” ej är kompatibla och ger i vissa fall skilda resultat även då analysen är gjord på samma dataunderlag</w:t>
      </w:r>
      <w:r>
        <w:t xml:space="preserve"> (Härkönen m.fl. 2017)</w:t>
      </w:r>
      <w:r w:rsidRPr="00AD5809">
        <w:t>. Sverige är förbundet att ta hänsyn till båda dessa direktiv, samt HELCOMs sälrekommendation från 200</w:t>
      </w:r>
      <w:r>
        <w:t xml:space="preserve">6. </w:t>
      </w:r>
    </w:p>
    <w:p w14:paraId="4CE071FC" w14:textId="77777777" w:rsidR="00AD5809" w:rsidRPr="006E66C8" w:rsidRDefault="00AD5809" w:rsidP="00E820F7">
      <w:pPr>
        <w:pStyle w:val="Brdtext"/>
        <w:spacing w:line="276" w:lineRule="auto"/>
      </w:pPr>
      <w:r>
        <w:t>HELCOMs CORESET program har till syfte att framarbeta system för att mäta miljöstatus,  varvid indikatorer utvecklats för sälar.</w:t>
      </w:r>
    </w:p>
    <w:p w14:paraId="5981B925" w14:textId="77777777" w:rsidR="006E66C8" w:rsidRDefault="006E66C8" w:rsidP="0016771B">
      <w:pPr>
        <w:pStyle w:val="Brdtext"/>
      </w:pPr>
      <w:r>
        <w:t xml:space="preserve"> </w:t>
      </w:r>
    </w:p>
    <w:p w14:paraId="60A8B028" w14:textId="77777777" w:rsidR="0016771B" w:rsidRDefault="0016771B" w:rsidP="0009349B">
      <w:pPr>
        <w:pStyle w:val="Brdtext"/>
      </w:pPr>
    </w:p>
    <w:p w14:paraId="427AE811" w14:textId="2AC0E34A" w:rsidR="00AD5809" w:rsidRPr="00E820F7" w:rsidRDefault="0070387B" w:rsidP="0009349B">
      <w:pPr>
        <w:pStyle w:val="Brdtext"/>
        <w:rPr>
          <w:u w:val="single"/>
        </w:rPr>
      </w:pPr>
      <w:r w:rsidRPr="00E820F7">
        <w:rPr>
          <w:u w:val="single"/>
        </w:rPr>
        <w:t xml:space="preserve">2.2. </w:t>
      </w:r>
      <w:r w:rsidR="00EA283A" w:rsidRPr="00E820F7">
        <w:rPr>
          <w:u w:val="single"/>
        </w:rPr>
        <w:t>Material och metoder</w:t>
      </w:r>
      <w:r w:rsidR="00F87DD4" w:rsidRPr="00E820F7">
        <w:rPr>
          <w:u w:val="single"/>
        </w:rPr>
        <w:t xml:space="preserve"> </w:t>
      </w:r>
    </w:p>
    <w:p w14:paraId="00259F7C" w14:textId="77777777" w:rsidR="00D36E51" w:rsidRDefault="00D36E51" w:rsidP="00E820F7">
      <w:pPr>
        <w:spacing w:line="276" w:lineRule="auto"/>
        <w:rPr>
          <w:rFonts w:ascii="Georgia" w:eastAsiaTheme="minorHAnsi" w:hAnsi="Georgia" w:cstheme="minorBidi"/>
          <w:sz w:val="22"/>
          <w:szCs w:val="22"/>
          <w:lang w:eastAsia="en-US"/>
        </w:rPr>
      </w:pPr>
      <w:r>
        <w:rPr>
          <w:rFonts w:ascii="Georgia" w:eastAsiaTheme="minorHAnsi" w:hAnsi="Georgia" w:cstheme="minorBidi"/>
          <w:sz w:val="22"/>
          <w:szCs w:val="22"/>
          <w:lang w:eastAsia="en-US"/>
        </w:rPr>
        <w:t>Analysen av gråsälens status baseras på vissa kriterier och användandet av indikatorer</w:t>
      </w:r>
      <w:r w:rsidR="00C939BE">
        <w:rPr>
          <w:rFonts w:ascii="Georgia" w:eastAsiaTheme="minorHAnsi" w:hAnsi="Georgia" w:cstheme="minorBidi"/>
          <w:sz w:val="22"/>
          <w:szCs w:val="22"/>
          <w:lang w:eastAsia="en-US"/>
        </w:rPr>
        <w:t xml:space="preserve"> med följande gränsvärden</w:t>
      </w:r>
      <w:r>
        <w:rPr>
          <w:rFonts w:ascii="Georgia" w:eastAsiaTheme="minorHAnsi" w:hAnsi="Georgia" w:cstheme="minorBidi"/>
          <w:sz w:val="22"/>
          <w:szCs w:val="22"/>
          <w:lang w:eastAsia="en-US"/>
        </w:rPr>
        <w:t>:</w:t>
      </w:r>
    </w:p>
    <w:p w14:paraId="3E63FA37" w14:textId="77777777" w:rsidR="00D36E51" w:rsidRDefault="00D36E51" w:rsidP="00E820F7">
      <w:pPr>
        <w:pStyle w:val="Liststycke"/>
        <w:numPr>
          <w:ilvl w:val="0"/>
          <w:numId w:val="28"/>
        </w:numPr>
        <w:rPr>
          <w:rFonts w:ascii="Georgia" w:eastAsiaTheme="minorHAnsi" w:hAnsi="Georgia" w:cstheme="minorBidi"/>
        </w:rPr>
      </w:pPr>
      <w:r>
        <w:rPr>
          <w:rFonts w:ascii="Georgia" w:eastAsiaTheme="minorHAnsi" w:hAnsi="Georgia" w:cstheme="minorBidi"/>
        </w:rPr>
        <w:t>God miljömässig status kräver att populationen överstiger 10 000 individer</w:t>
      </w:r>
    </w:p>
    <w:p w14:paraId="1C82E33B" w14:textId="41296C63" w:rsidR="00D36E51" w:rsidRDefault="00D36E51" w:rsidP="00E820F7">
      <w:pPr>
        <w:pStyle w:val="Liststycke"/>
        <w:numPr>
          <w:ilvl w:val="0"/>
          <w:numId w:val="28"/>
        </w:numPr>
        <w:rPr>
          <w:rFonts w:ascii="Georgia" w:eastAsiaTheme="minorHAnsi" w:hAnsi="Georgia" w:cstheme="minorBidi"/>
        </w:rPr>
      </w:pPr>
      <w:r>
        <w:rPr>
          <w:rFonts w:ascii="Georgia" w:eastAsiaTheme="minorHAnsi" w:hAnsi="Georgia" w:cstheme="minorBidi"/>
        </w:rPr>
        <w:t xml:space="preserve">Tillväxthastigheten ska i den exponentiella fasen överstiga 7% per år, vilket är tre procent lägre än artens maximala realiserade hastigheten om 10% (Harding m. fl. </w:t>
      </w:r>
      <w:r w:rsidR="00DC0E15">
        <w:rPr>
          <w:rFonts w:ascii="Georgia" w:eastAsiaTheme="minorHAnsi" w:hAnsi="Georgia" w:cstheme="minorBidi"/>
        </w:rPr>
        <w:t>2007</w:t>
      </w:r>
      <w:r>
        <w:rPr>
          <w:rFonts w:ascii="Georgia" w:eastAsiaTheme="minorHAnsi" w:hAnsi="Georgia" w:cstheme="minorBidi"/>
        </w:rPr>
        <w:t>, Anon. 2017a).</w:t>
      </w:r>
    </w:p>
    <w:p w14:paraId="645408BA" w14:textId="77777777" w:rsidR="004A6E88" w:rsidRDefault="004A6E88" w:rsidP="00E820F7">
      <w:pPr>
        <w:pStyle w:val="Liststycke"/>
        <w:numPr>
          <w:ilvl w:val="0"/>
          <w:numId w:val="28"/>
        </w:numPr>
        <w:rPr>
          <w:rFonts w:ascii="Georgia" w:eastAsiaTheme="minorHAnsi" w:hAnsi="Georgia" w:cstheme="minorBidi"/>
        </w:rPr>
      </w:pPr>
      <w:r>
        <w:rPr>
          <w:rFonts w:ascii="Georgia" w:eastAsiaTheme="minorHAnsi" w:hAnsi="Georgia" w:cstheme="minorBidi"/>
        </w:rPr>
        <w:t>I scenariet där gråsälen nått sitt maximala antal får populationen inte minska med mer än 10% under en tioårsperiod</w:t>
      </w:r>
    </w:p>
    <w:p w14:paraId="757DB485" w14:textId="555FF91E" w:rsidR="00E1212C" w:rsidRDefault="004D4A14" w:rsidP="00E820F7">
      <w:pPr>
        <w:spacing w:after="0" w:line="276" w:lineRule="auto"/>
        <w:rPr>
          <w:rFonts w:ascii="Georgia" w:eastAsiaTheme="minorHAnsi" w:hAnsi="Georgia" w:cstheme="minorBidi"/>
          <w:sz w:val="22"/>
          <w:szCs w:val="22"/>
          <w:lang w:eastAsia="en-US"/>
        </w:rPr>
      </w:pPr>
      <w:r>
        <w:t>Bedömningsmetoden är regional förankrad och en detaljerad beskrivning finns i Helcom faktbladen ”</w:t>
      </w:r>
      <w:r w:rsidRPr="004D4A14">
        <w:t>Population trends and abundance of seals</w:t>
      </w:r>
      <w:r>
        <w:t>”</w:t>
      </w:r>
      <w:r w:rsidRPr="004D4A14">
        <w:t xml:space="preserve"> </w:t>
      </w:r>
      <w:r>
        <w:t xml:space="preserve"> (Helcom 2017). </w:t>
      </w:r>
      <w:r w:rsidR="00E1212C">
        <w:t>Den statistiska metod som används är Beyesiansk där obse</w:t>
      </w:r>
      <w:r w:rsidR="00DC0E15">
        <w:t>r</w:t>
      </w:r>
      <w:r w:rsidR="00E1212C">
        <w:t>verade data jämförs med gränsvärdet som inte har någon varians (Anon.  2017a).  Tidserier av data används som ingångsvärden  där det utvärderas om observerade data stöder det angivna gränsvärdet för god miljömässig status. Här krävs 80%:s stöd för observerade värden är lika med eller högre än gränsvärdet. Paketet ”Beyesm” i programmet ”R” används i analysen</w:t>
      </w:r>
    </w:p>
    <w:p w14:paraId="4B3030C2" w14:textId="77777777" w:rsidR="00E820F7" w:rsidRDefault="00E820F7" w:rsidP="00F87DD4">
      <w:pPr>
        <w:pStyle w:val="Brdtext"/>
      </w:pPr>
    </w:p>
    <w:p w14:paraId="302A4ADC" w14:textId="102DE17D" w:rsidR="00E1212C" w:rsidRPr="00E820F7" w:rsidRDefault="0070387B" w:rsidP="00F87DD4">
      <w:pPr>
        <w:pStyle w:val="Brdtext"/>
        <w:rPr>
          <w:u w:val="single"/>
        </w:rPr>
      </w:pPr>
      <w:r w:rsidRPr="00E820F7">
        <w:rPr>
          <w:u w:val="single"/>
        </w:rPr>
        <w:t xml:space="preserve">2.3. </w:t>
      </w:r>
      <w:r w:rsidR="00E1212C" w:rsidRPr="00E820F7">
        <w:rPr>
          <w:u w:val="single"/>
        </w:rPr>
        <w:t>Resultat</w:t>
      </w:r>
    </w:p>
    <w:p w14:paraId="6186A1C7" w14:textId="77777777" w:rsidR="009F7A72" w:rsidRDefault="00E1212C" w:rsidP="00F87DD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Gråsälarna har inventerats med samma teknik i hela Östersjön sedan 2005. </w:t>
      </w:r>
      <w:r w:rsidRPr="00E1212C">
        <w:rPr>
          <w:rFonts w:ascii="Times New Roman" w:eastAsia="Times New Roman" w:hAnsi="Times New Roman" w:cs="Times New Roman"/>
          <w:sz w:val="24"/>
          <w:szCs w:val="24"/>
          <w:lang w:eastAsia="sv-SE"/>
        </w:rPr>
        <w:t>Den årliga t</w:t>
      </w:r>
      <w:r w:rsidR="00214ADB">
        <w:rPr>
          <w:rFonts w:ascii="Times New Roman" w:eastAsia="Times New Roman" w:hAnsi="Times New Roman" w:cs="Times New Roman"/>
          <w:sz w:val="24"/>
          <w:szCs w:val="24"/>
          <w:lang w:eastAsia="sv-SE"/>
        </w:rPr>
        <w:t>illväxthastigheten låg på c:a 7,9%</w:t>
      </w:r>
      <w:r w:rsidRPr="00E1212C">
        <w:rPr>
          <w:rFonts w:ascii="Times New Roman" w:eastAsia="Times New Roman" w:hAnsi="Times New Roman" w:cs="Times New Roman"/>
          <w:sz w:val="24"/>
          <w:szCs w:val="24"/>
          <w:lang w:eastAsia="sv-SE"/>
        </w:rPr>
        <w:t xml:space="preserve"> fram till 2014, men senare inventeringar har visat lägre resultat. Totalt antal räknade har varierat kring 30 000 gråsälar under perioden 2013-2016, vilket skulle kunna antyda att tillväxthastigheten minskar. När det gäller </w:t>
      </w:r>
      <w:r w:rsidR="00214ADB">
        <w:rPr>
          <w:rFonts w:ascii="Times New Roman" w:eastAsia="Times New Roman" w:hAnsi="Times New Roman" w:cs="Times New Roman"/>
          <w:sz w:val="24"/>
          <w:szCs w:val="24"/>
          <w:lang w:eastAsia="sv-SE"/>
        </w:rPr>
        <w:t>skillnader i</w:t>
      </w:r>
      <w:r w:rsidRPr="00E1212C">
        <w:rPr>
          <w:rFonts w:ascii="Times New Roman" w:eastAsia="Times New Roman" w:hAnsi="Times New Roman" w:cs="Times New Roman"/>
          <w:sz w:val="24"/>
          <w:szCs w:val="24"/>
          <w:lang w:eastAsia="sv-SE"/>
        </w:rPr>
        <w:t xml:space="preserve">regionala trender, ses inga sådana i Bottenviken (c:a 1500-2000 sälar), Bottenhavet (c:a 2500 sälar, eller </w:t>
      </w:r>
    </w:p>
    <w:p w14:paraId="04F9308E" w14:textId="77777777" w:rsidR="009F7A72" w:rsidRDefault="009F7A72" w:rsidP="00F87DD4">
      <w:pPr>
        <w:pStyle w:val="Brdtext"/>
        <w:rPr>
          <w:rFonts w:ascii="Times New Roman" w:eastAsia="Times New Roman" w:hAnsi="Times New Roman" w:cs="Times New Roman"/>
          <w:sz w:val="24"/>
          <w:szCs w:val="24"/>
          <w:lang w:eastAsia="sv-SE"/>
        </w:rPr>
      </w:pPr>
    </w:p>
    <w:p w14:paraId="24EB481C" w14:textId="77777777" w:rsidR="00E820F7" w:rsidRDefault="009F7A72" w:rsidP="00E820F7">
      <w:pPr>
        <w:pStyle w:val="Brdtext"/>
        <w:keepNext/>
      </w:pPr>
      <w:r w:rsidRPr="00E820F7">
        <w:rPr>
          <w:rFonts w:ascii="Arial" w:hAnsi="Arial" w:cs="Arial"/>
          <w:noProof/>
          <w:lang w:eastAsia="sv-SE"/>
        </w:rPr>
        <w:drawing>
          <wp:inline distT="0" distB="0" distL="0" distR="0" wp14:anchorId="4D5FAF20" wp14:editId="6ACE4A99">
            <wp:extent cx="4133850" cy="226695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C86238" w14:textId="24EE5688" w:rsidR="009F7A72" w:rsidRDefault="00E820F7" w:rsidP="00E820F7">
      <w:pPr>
        <w:pStyle w:val="Beskrivning"/>
        <w:rPr>
          <w:sz w:val="24"/>
          <w:szCs w:val="24"/>
        </w:rPr>
      </w:pPr>
      <w:r>
        <w:t xml:space="preserve">Figur </w:t>
      </w:r>
      <w:fldSimple w:instr=" SEQ Figur \* ARABIC ">
        <w:r>
          <w:rPr>
            <w:noProof/>
          </w:rPr>
          <w:t>2</w:t>
        </w:r>
      </w:fldSimple>
      <w:r>
        <w:t xml:space="preserve"> </w:t>
      </w:r>
      <w:r>
        <w:rPr>
          <w:sz w:val="24"/>
          <w:szCs w:val="24"/>
        </w:rPr>
        <w:t>Antal räknade gråsälar i hela Östersjön 2005-2016. Tillväxthastigheten var 7,9% fram till 2014, vilket skulle ge god miljömässig status, men de senare årens tal antyder stagnation.</w:t>
      </w:r>
    </w:p>
    <w:p w14:paraId="64BEDAFC" w14:textId="186EB3E0" w:rsidR="00214ADB" w:rsidRDefault="00E820F7" w:rsidP="00F87DD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N</w:t>
      </w:r>
      <w:r w:rsidR="00E1212C" w:rsidRPr="00E1212C">
        <w:rPr>
          <w:rFonts w:ascii="Times New Roman" w:eastAsia="Times New Roman" w:hAnsi="Times New Roman" w:cs="Times New Roman"/>
          <w:sz w:val="24"/>
          <w:szCs w:val="24"/>
          <w:lang w:eastAsia="sv-SE"/>
        </w:rPr>
        <w:t>orra egentliga Östersjön (c:a 18000 sälar), eller södra Östersjön (2000-3000 sälar) under perioden 2013-2016. Men tidigare utförda analyser visar att det krävs en tidserie på sju år för att kunna fastställa en</w:t>
      </w:r>
      <w:r w:rsidR="005F1472">
        <w:rPr>
          <w:rFonts w:ascii="Times New Roman" w:eastAsia="Times New Roman" w:hAnsi="Times New Roman" w:cs="Times New Roman"/>
          <w:sz w:val="24"/>
          <w:szCs w:val="24"/>
          <w:lang w:eastAsia="sv-SE"/>
        </w:rPr>
        <w:t xml:space="preserve"> signifikant förändring i trend</w:t>
      </w:r>
      <w:r w:rsidR="00214ADB">
        <w:rPr>
          <w:rFonts w:ascii="Times New Roman" w:eastAsia="Times New Roman" w:hAnsi="Times New Roman" w:cs="Times New Roman"/>
          <w:sz w:val="24"/>
          <w:szCs w:val="24"/>
          <w:lang w:eastAsia="sv-SE"/>
        </w:rPr>
        <w:t>.</w:t>
      </w:r>
    </w:p>
    <w:p w14:paraId="08E3E139" w14:textId="77777777" w:rsidR="00E1212C" w:rsidRDefault="00214ADB" w:rsidP="00F87DD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Ett strikt test visar att det finns över 80% stöd för att indikatorn visar god miljömässig status och att populationens storlek även överstiger gränsvärdet 10 000.</w:t>
      </w:r>
    </w:p>
    <w:p w14:paraId="79145D91" w14:textId="1043DAF0" w:rsidR="00DC0E15" w:rsidRPr="00E820F7" w:rsidRDefault="00F87DD4" w:rsidP="007C6A94">
      <w:pPr>
        <w:pStyle w:val="Brdtext"/>
        <w:rPr>
          <w:u w:val="single"/>
        </w:rPr>
      </w:pPr>
      <w:r w:rsidRPr="00E820F7">
        <w:rPr>
          <w:u w:val="single"/>
        </w:rPr>
        <w:t>2.4. Dis</w:t>
      </w:r>
      <w:r w:rsidR="00E820F7" w:rsidRPr="00E820F7">
        <w:rPr>
          <w:u w:val="single"/>
        </w:rPr>
        <w:t>kussion</w:t>
      </w:r>
    </w:p>
    <w:p w14:paraId="1D56792A" w14:textId="77777777" w:rsidR="0063192F" w:rsidRDefault="0063192F"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Fyra indikatorer har utvecklats för bedömning av gråsälens status</w:t>
      </w:r>
      <w:r w:rsidR="002C6246">
        <w:rPr>
          <w:rFonts w:ascii="Times New Roman" w:eastAsia="Times New Roman" w:hAnsi="Times New Roman" w:cs="Times New Roman"/>
          <w:sz w:val="24"/>
          <w:szCs w:val="24"/>
          <w:lang w:eastAsia="sv-SE"/>
        </w:rPr>
        <w:t xml:space="preserve"> och de ger komplementerande information om gråsälens situation i Östersjön. En svårighet är när förhållandena håller på att ändras. De flesta populationer som jagats hårt eller, som varit utsatta för massdöd förorsakade av till exempel epidemier kan tillväxa nära sin maximala tillväxtförmåga (Harding m.fl. 2007). Här kan tillväxthastigheten vara konstant under en längre tid, och man kan räkna fram gränsvärden för god miljömässig status gentemot teoretiska värden för maximal tillväxthastighet (Harding m. fl, 2007). </w:t>
      </w:r>
      <w:r w:rsidR="00096600">
        <w:rPr>
          <w:rFonts w:ascii="Times New Roman" w:eastAsia="Times New Roman" w:hAnsi="Times New Roman" w:cs="Times New Roman"/>
          <w:sz w:val="24"/>
          <w:szCs w:val="24"/>
          <w:lang w:eastAsia="sv-SE"/>
        </w:rPr>
        <w:t>Men när populationen blir så stor att se</w:t>
      </w:r>
      <w:r w:rsidR="007647D8">
        <w:rPr>
          <w:rFonts w:ascii="Times New Roman" w:eastAsia="Times New Roman" w:hAnsi="Times New Roman" w:cs="Times New Roman"/>
          <w:sz w:val="24"/>
          <w:szCs w:val="24"/>
          <w:lang w:eastAsia="sv-SE"/>
        </w:rPr>
        <w:t>gment av populationen börjar</w:t>
      </w:r>
      <w:r w:rsidR="00096600">
        <w:rPr>
          <w:rFonts w:ascii="Times New Roman" w:eastAsia="Times New Roman" w:hAnsi="Times New Roman" w:cs="Times New Roman"/>
          <w:sz w:val="24"/>
          <w:szCs w:val="24"/>
          <w:lang w:eastAsia="sv-SE"/>
        </w:rPr>
        <w:t xml:space="preserve"> få svårt att hitta mat kommer tillväxthastigheten att avta och till slut variera kring noll. Den första parametern som påverkas är överlevnaden under kutens första år som kan öka drastiskt. Sedan minskar i tur och ordning dräktighetsfrekvensen, den subadulta (1-3) överlevnaden och den adulta överlevnaden påverkas sist</w:t>
      </w:r>
      <w:r w:rsidR="007647D8">
        <w:rPr>
          <w:rFonts w:ascii="Times New Roman" w:eastAsia="Times New Roman" w:hAnsi="Times New Roman" w:cs="Times New Roman"/>
          <w:sz w:val="24"/>
          <w:szCs w:val="24"/>
          <w:lang w:eastAsia="sv-SE"/>
        </w:rPr>
        <w:t xml:space="preserve"> (Harging m.fl 2007)</w:t>
      </w:r>
      <w:r w:rsidR="00096600">
        <w:rPr>
          <w:rFonts w:ascii="Times New Roman" w:eastAsia="Times New Roman" w:hAnsi="Times New Roman" w:cs="Times New Roman"/>
          <w:sz w:val="24"/>
          <w:szCs w:val="24"/>
          <w:lang w:eastAsia="sv-SE"/>
        </w:rPr>
        <w:t>. Men det sker även andra förändringar då de uppväxande årsklassserna har svårare att få tag i föda växer de sämre, varvid de könsmognar senare.</w:t>
      </w:r>
      <w:r w:rsidR="007647D8">
        <w:rPr>
          <w:rFonts w:ascii="Times New Roman" w:eastAsia="Times New Roman" w:hAnsi="Times New Roman" w:cs="Times New Roman"/>
          <w:sz w:val="24"/>
          <w:szCs w:val="24"/>
          <w:lang w:eastAsia="sv-SE"/>
        </w:rPr>
        <w:t xml:space="preserve"> Allt detta leder till att populationens tillväxt stagnerar</w:t>
      </w:r>
    </w:p>
    <w:p w14:paraId="197312E8" w14:textId="77777777" w:rsidR="00024709" w:rsidRDefault="00096600"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Indikatorerna har utarbetats för att </w:t>
      </w:r>
      <w:r w:rsidR="007647D8">
        <w:rPr>
          <w:rFonts w:ascii="Times New Roman" w:eastAsia="Times New Roman" w:hAnsi="Times New Roman" w:cs="Times New Roman"/>
          <w:sz w:val="24"/>
          <w:szCs w:val="24"/>
          <w:lang w:eastAsia="sv-SE"/>
        </w:rPr>
        <w:t xml:space="preserve">kunna analysera denna process, men även för att kunna påvisa effekter av mänsklig påverkan. Trendindikatorn och ”Näringsmässig status” visar att gråsälpopulationen troligen är på väg mot sitt maximum, medan utbrednings och dräktighetsindikatorn ännu visar god miljömässig status för den exponentiella fasen. Indikatorerna måste därför kunna svara på vad som är god </w:t>
      </w:r>
      <w:r w:rsidR="00024709">
        <w:rPr>
          <w:rFonts w:ascii="Times New Roman" w:eastAsia="Times New Roman" w:hAnsi="Times New Roman" w:cs="Times New Roman"/>
          <w:sz w:val="24"/>
          <w:szCs w:val="24"/>
          <w:lang w:eastAsia="sv-SE"/>
        </w:rPr>
        <w:t>vad som är god miljömässig status vid ”carrying capacity”. För trendindikatorn ges en definition ovan som används av både HELCOM och OSPAR, och indikatorn påverkas över huvud taget inte av vilken tillväxtfas populationen befinner sig i.</w:t>
      </w:r>
    </w:p>
    <w:p w14:paraId="6EA90F2B" w14:textId="77777777" w:rsidR="00CF6520" w:rsidRDefault="00024709"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När det gäller näringsmässig status finns en fysiologisk gräns, där sälar som har mindre än 25mm späck har svårt att klara vintertemperaturer (Harding m.fl. 2005), vilket kan utgöra gränsvärdet för späcktjocklek vid carrying capacity.</w:t>
      </w:r>
    </w:p>
    <w:p w14:paraId="66B7C9FF" w14:textId="77777777" w:rsidR="00024709" w:rsidRDefault="00024709"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Dräktighetsfrekvensen</w:t>
      </w:r>
      <w:r w:rsidR="00CF6520">
        <w:rPr>
          <w:rFonts w:ascii="Times New Roman" w:eastAsia="Times New Roman" w:hAnsi="Times New Roman" w:cs="Times New Roman"/>
          <w:sz w:val="24"/>
          <w:szCs w:val="24"/>
          <w:lang w:eastAsia="sv-SE"/>
        </w:rPr>
        <w:t xml:space="preserve"> vid carrying capacity är dock svårare att bestämma på förhand. Här krävs data från populationer som legat på denna nivå, och data kommer att ges från ett flertal populationer i Europa som befinner sig i samma situation som gråsälen i Östersjön</w:t>
      </w:r>
    </w:p>
    <w:p w14:paraId="621EC88E" w14:textId="77777777" w:rsidR="00744D37" w:rsidRPr="00E820F7" w:rsidRDefault="00744D37" w:rsidP="007C6A94">
      <w:pPr>
        <w:pStyle w:val="Brdtext"/>
        <w:rPr>
          <w:u w:val="single"/>
          <w:lang w:val="en-US"/>
        </w:rPr>
      </w:pPr>
      <w:r w:rsidRPr="00E820F7">
        <w:rPr>
          <w:u w:val="single"/>
          <w:lang w:val="en-US"/>
        </w:rPr>
        <w:t>2.5. Referenser</w:t>
      </w:r>
    </w:p>
    <w:p w14:paraId="5200CD05" w14:textId="77777777" w:rsidR="00C646EB" w:rsidRPr="00C646EB" w:rsidRDefault="00C646EB" w:rsidP="00C646EB">
      <w:pPr>
        <w:rPr>
          <w:lang w:val="en-US"/>
        </w:rPr>
      </w:pPr>
      <w:r w:rsidRPr="00C646EB">
        <w:rPr>
          <w:lang w:val="en-US"/>
        </w:rPr>
        <w:t>Bäcklin, B.-M., Moraeus, C., Roos, A., Eklöf, E., Lind, Y. (2011) Health and age and sex distributions of Baltic grey seals (</w:t>
      </w:r>
      <w:r w:rsidRPr="00C646EB">
        <w:rPr>
          <w:i/>
          <w:iCs/>
          <w:lang w:val="en-US"/>
        </w:rPr>
        <w:t>Halichoerus grypus</w:t>
      </w:r>
      <w:r w:rsidRPr="00C646EB">
        <w:rPr>
          <w:lang w:val="en-US"/>
        </w:rPr>
        <w:t>) collected from bycatch and hunt in the Gulf of Bothnia. ICES Journal of Marine Science 68: 183-188.</w:t>
      </w:r>
    </w:p>
    <w:p w14:paraId="03C62611" w14:textId="77777777" w:rsidR="00C646EB" w:rsidRPr="00C646EB" w:rsidRDefault="00C646EB" w:rsidP="00C646EB">
      <w:pPr>
        <w:rPr>
          <w:lang w:val="en-US"/>
        </w:rPr>
      </w:pPr>
      <w:r w:rsidRPr="00C646EB">
        <w:rPr>
          <w:lang w:val="en-US"/>
        </w:rPr>
        <w:t>Bäcklin, B.-M., Moraeus, C., Kauhala, K., Isomursu, M. (2013) Pregnancy rates of the marine mammals - Particular emphasis on Baltic grey and ringed seals. HELCOM web portal.</w:t>
      </w:r>
    </w:p>
    <w:p w14:paraId="63AF0735" w14:textId="77777777" w:rsidR="00C646EB" w:rsidRPr="00D16777" w:rsidRDefault="00C646EB" w:rsidP="00C646EB">
      <w:pPr>
        <w:rPr>
          <w:lang w:val="en-GB"/>
        </w:rPr>
      </w:pPr>
      <w:r w:rsidRPr="00C646EB">
        <w:rPr>
          <w:lang w:val="en-US"/>
        </w:rPr>
        <w:t xml:space="preserve">Bergman, A., Olsson, M. (1985) Pathology of Baltic grey seal and ringed seal females with special reference to adrenocortical hyperplasia: Is environmental pollution the cause of a widely distributed disease syndrome. </w:t>
      </w:r>
      <w:r w:rsidRPr="00D16777">
        <w:rPr>
          <w:lang w:val="en-GB"/>
        </w:rPr>
        <w:t>Finnish Game Res. 44: 47-62.</w:t>
      </w:r>
    </w:p>
    <w:p w14:paraId="4CB45C76" w14:textId="77777777" w:rsidR="00DC0E15" w:rsidRPr="00D16777" w:rsidRDefault="00C646EB" w:rsidP="00C646EB">
      <w:pPr>
        <w:pStyle w:val="Brdtext"/>
        <w:rPr>
          <w:lang w:val="en-GB"/>
        </w:rPr>
      </w:pPr>
      <w:r w:rsidRPr="00C646EB">
        <w:rPr>
          <w:lang w:val="en-US"/>
        </w:rPr>
        <w:lastRenderedPageBreak/>
        <w:t>Bergman, A. (1999) Health condition of the Baltic grey seal (</w:t>
      </w:r>
      <w:r w:rsidRPr="00C646EB">
        <w:rPr>
          <w:i/>
          <w:iCs/>
          <w:lang w:val="en-US"/>
        </w:rPr>
        <w:t>Halichoerus grypus</w:t>
      </w:r>
      <w:r w:rsidRPr="00C646EB">
        <w:rPr>
          <w:lang w:val="en-US"/>
        </w:rPr>
        <w:t xml:space="preserve">) during two decades. </w:t>
      </w:r>
      <w:r w:rsidRPr="00D16777">
        <w:rPr>
          <w:lang w:val="en-GB"/>
        </w:rPr>
        <w:t>Apmis 107(1‐6): 270-282</w:t>
      </w:r>
    </w:p>
    <w:p w14:paraId="3E4BFD66" w14:textId="77777777" w:rsidR="00DC0E15" w:rsidRPr="004A6E88" w:rsidRDefault="00DC0E15" w:rsidP="00DC0E15">
      <w:pPr>
        <w:rPr>
          <w:lang w:val="en-US"/>
        </w:rPr>
      </w:pPr>
      <w:r w:rsidRPr="00DC0E15">
        <w:rPr>
          <w:lang w:val="en-US"/>
        </w:rPr>
        <w:t xml:space="preserve">Galatius, A., Ahola, M., Härkönen, T., Jüssi, I., Jüssi, M., Karlsson, O., Verevkin, M. (2014) Guidelines for seal abundance monitoring in the HELCOM area 2014. Available at: </w:t>
      </w:r>
      <w:hyperlink r:id="rId10" w:history="1">
        <w:r w:rsidRPr="00DC0E15">
          <w:rPr>
            <w:rStyle w:val="Hyperlnk"/>
            <w:rFonts w:eastAsiaTheme="majorEastAsia"/>
            <w:lang w:val="en-US"/>
          </w:rPr>
          <w:t>http://helcom.fi/Documents/Action%20areas/Monitoring%20and%20assessment/Manuals%20and%20Guidelines/Guidelines%20for%20Seal%20Abundance%20Monitoring%20HELCOM%202014.pdf</w:t>
        </w:r>
      </w:hyperlink>
    </w:p>
    <w:p w14:paraId="0445066E" w14:textId="77777777" w:rsidR="00DC0E15" w:rsidRDefault="00DC0E15" w:rsidP="00DC0E15">
      <w:pPr>
        <w:rPr>
          <w:lang w:val="en-US"/>
        </w:rPr>
      </w:pPr>
      <w:r w:rsidRPr="00DC0E15">
        <w:rPr>
          <w:lang w:val="en-US"/>
        </w:rPr>
        <w:t xml:space="preserve">Harding, K.C., Härkönen, T.J. (1999) Development in the Baltic grey seal </w:t>
      </w:r>
      <w:r w:rsidRPr="00DC0E15">
        <w:rPr>
          <w:i/>
          <w:iCs/>
          <w:lang w:val="en-US"/>
        </w:rPr>
        <w:t>(Halichoerus grypus)</w:t>
      </w:r>
      <w:r w:rsidRPr="00DC0E15">
        <w:rPr>
          <w:lang w:val="en-US"/>
        </w:rPr>
        <w:t xml:space="preserve"> and ringed seal </w:t>
      </w:r>
      <w:r w:rsidRPr="00DC0E15">
        <w:rPr>
          <w:i/>
          <w:iCs/>
          <w:lang w:val="en-US"/>
        </w:rPr>
        <w:t>(Phoca hispida)</w:t>
      </w:r>
      <w:r w:rsidRPr="00DC0E15">
        <w:rPr>
          <w:lang w:val="en-US"/>
        </w:rPr>
        <w:t xml:space="preserve"> populations during the 20th century. Ambio 28: 619-627.</w:t>
      </w:r>
    </w:p>
    <w:p w14:paraId="67144B4D" w14:textId="77777777" w:rsidR="00024709" w:rsidRPr="00DC0E15" w:rsidRDefault="00024709" w:rsidP="00DC0E15">
      <w:pPr>
        <w:rPr>
          <w:lang w:val="en-US"/>
        </w:rPr>
      </w:pPr>
      <w:r w:rsidRPr="00024709">
        <w:rPr>
          <w:lang w:val="en-US"/>
        </w:rPr>
        <w:t>Harding, K., M. Fujiwara, Y. Axberg and T. Härkönen (2005). Mass dependent energetics and survival in harbour seal pups. Functional Ecology, 19: 129-135.</w:t>
      </w:r>
    </w:p>
    <w:p w14:paraId="1099C2A9" w14:textId="77777777" w:rsidR="00DC0E15" w:rsidRPr="004547F5" w:rsidRDefault="00DC0E15" w:rsidP="00DC0E15">
      <w:pPr>
        <w:pStyle w:val="Brdtext"/>
        <w:rPr>
          <w:lang w:val="en-GB"/>
        </w:rPr>
      </w:pPr>
      <w:r w:rsidRPr="00DC0E15">
        <w:rPr>
          <w:lang w:val="en-US"/>
        </w:rPr>
        <w:t xml:space="preserve">Harding, K.C., Härkönen, T., Helander, B., Karlsson, O. (2007) Status of Baltic grey seals: Population assessment and risk analysis. </w:t>
      </w:r>
      <w:r w:rsidRPr="004547F5">
        <w:rPr>
          <w:lang w:val="en-GB"/>
        </w:rPr>
        <w:t>NAMMCO Scientific Publications 6: 33-56.</w:t>
      </w:r>
    </w:p>
    <w:p w14:paraId="528A8746" w14:textId="5A97CF97" w:rsidR="004547F5" w:rsidRPr="00AE20C0" w:rsidRDefault="004547F5" w:rsidP="00DC0E15">
      <w:pPr>
        <w:rPr>
          <w:lang w:val="en-GB"/>
        </w:rPr>
      </w:pPr>
      <w:bookmarkStart w:id="0" w:name="_GoBack"/>
      <w:r>
        <w:rPr>
          <w:lang w:val="en-US"/>
        </w:rPr>
        <w:t xml:space="preserve">Helcom (2017) </w:t>
      </w:r>
      <w:r w:rsidRPr="004547F5">
        <w:rPr>
          <w:lang w:val="en-US"/>
        </w:rPr>
        <w:t>Population trends and abundance of seals</w:t>
      </w:r>
      <w:r>
        <w:rPr>
          <w:lang w:val="en-US"/>
        </w:rPr>
        <w:t>, available at</w:t>
      </w:r>
      <w:r w:rsidRPr="004547F5">
        <w:rPr>
          <w:lang w:val="en-GB"/>
        </w:rPr>
        <w:t xml:space="preserve"> </w:t>
      </w:r>
      <w:hyperlink r:id="rId11" w:history="1">
        <w:r w:rsidR="00AE20C0" w:rsidRPr="001A08E0">
          <w:rPr>
            <w:rStyle w:val="Hyperlnk"/>
            <w:lang w:val="en-US"/>
          </w:rPr>
          <w:t>http://helcom.fi/baltic-sea-trends/indicators/</w:t>
        </w:r>
      </w:hyperlink>
      <w:r>
        <w:rPr>
          <w:lang w:val="en-US"/>
        </w:rPr>
        <w:t xml:space="preserve"> </w:t>
      </w:r>
    </w:p>
    <w:bookmarkEnd w:id="0"/>
    <w:p w14:paraId="75CD8045" w14:textId="2A2B19D3" w:rsidR="00DC0E15" w:rsidRPr="004A6E88" w:rsidRDefault="00DC0E15" w:rsidP="00DC0E15">
      <w:pPr>
        <w:rPr>
          <w:lang w:val="en-US"/>
        </w:rPr>
      </w:pPr>
      <w:r w:rsidRPr="00DC0E15">
        <w:rPr>
          <w:lang w:val="en-US"/>
        </w:rPr>
        <w:t xml:space="preserve">Härkönen, T., Brasseur, S., Teilmann, J., Vincent, C., Dietz, R., Reijnders, P., Abt, K. (2007) Status of grey seals along mainland Europe, from the Baltic to France. </w:t>
      </w:r>
      <w:r w:rsidRPr="004A6E88">
        <w:rPr>
          <w:lang w:val="en-US"/>
        </w:rPr>
        <w:t>NAMMCO Scientific Publications 6: 57-68.</w:t>
      </w:r>
    </w:p>
    <w:p w14:paraId="67BEBDB7" w14:textId="77777777" w:rsidR="00C646EB" w:rsidRPr="009003C3" w:rsidRDefault="00C646EB" w:rsidP="00C646EB">
      <w:pPr>
        <w:rPr>
          <w:lang w:val="sv-FI"/>
        </w:rPr>
      </w:pPr>
      <w:r w:rsidRPr="00C646EB">
        <w:rPr>
          <w:lang w:val="en-US"/>
        </w:rPr>
        <w:t>Jüssi, M., Härkönen, T., Jüssi, I., Helle, E. (2008) Decreasing ice coverage will reduce the reproductive success of Baltic grey seal (</w:t>
      </w:r>
      <w:r w:rsidRPr="00C646EB">
        <w:rPr>
          <w:i/>
          <w:iCs/>
          <w:lang w:val="en-US"/>
        </w:rPr>
        <w:t>Halichoerus grypus)</w:t>
      </w:r>
      <w:r w:rsidRPr="00C646EB">
        <w:rPr>
          <w:lang w:val="en-US"/>
        </w:rPr>
        <w:t xml:space="preserve"> females. </w:t>
      </w:r>
      <w:r w:rsidRPr="009003C3">
        <w:rPr>
          <w:lang w:val="sv-FI"/>
        </w:rPr>
        <w:t>Ambio 37: 80–85.</w:t>
      </w:r>
    </w:p>
    <w:p w14:paraId="1B810FFE" w14:textId="77777777" w:rsidR="00C646EB" w:rsidRPr="009003C3" w:rsidRDefault="00C646EB" w:rsidP="00C646EB">
      <w:r w:rsidRPr="009003C3">
        <w:rPr>
          <w:lang w:val="sv-FI"/>
        </w:rPr>
        <w:t xml:space="preserve">Karlsson, O., Härkönen, T., Bäcklin, B.-M. (2008) Populationer på tillväxt. </w:t>
      </w:r>
      <w:r w:rsidRPr="009003C3">
        <w:t>Havet 2008: 91-92.</w:t>
      </w:r>
    </w:p>
    <w:p w14:paraId="414F3613" w14:textId="77777777" w:rsidR="00C646EB" w:rsidRPr="009003C3" w:rsidRDefault="00C646EB" w:rsidP="00DC0E15"/>
    <w:p w14:paraId="16DA5697" w14:textId="77777777" w:rsidR="00DC0E15" w:rsidRPr="000373D5" w:rsidRDefault="00DC0E15" w:rsidP="00DC0E15">
      <w:pPr>
        <w:pStyle w:val="Brdtext"/>
      </w:pPr>
    </w:p>
    <w:sectPr w:rsidR="00DC0E15" w:rsidRPr="000373D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A9D1" w14:textId="77777777" w:rsidR="00D51CD9" w:rsidRDefault="00D51CD9" w:rsidP="00D846CA">
      <w:r>
        <w:separator/>
      </w:r>
    </w:p>
  </w:endnote>
  <w:endnote w:type="continuationSeparator" w:id="0">
    <w:p w14:paraId="365B757F" w14:textId="77777777" w:rsidR="00D51CD9" w:rsidRDefault="00D51CD9"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EndPr/>
    <w:sdtContent>
      <w:p w14:paraId="1E9678FB" w14:textId="1190C3EE" w:rsidR="00CE6559" w:rsidRDefault="00CE6559">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334A40">
          <w:rPr>
            <w:sz w:val="18"/>
            <w:szCs w:val="18"/>
          </w:rPr>
          <w:t>8</w:t>
        </w:r>
        <w:r w:rsidRPr="00D403D0">
          <w:rPr>
            <w:sz w:val="18"/>
            <w:szCs w:val="18"/>
          </w:rPr>
          <w:fldChar w:fldCharType="end"/>
        </w:r>
      </w:p>
    </w:sdtContent>
  </w:sdt>
  <w:p w14:paraId="0DABFACC" w14:textId="77777777" w:rsidR="00356C54" w:rsidRPr="00356C54" w:rsidRDefault="00356C54"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B3389" w14:textId="77777777" w:rsidR="00D51CD9" w:rsidRDefault="00D51CD9" w:rsidP="00D846CA">
      <w:r>
        <w:separator/>
      </w:r>
    </w:p>
  </w:footnote>
  <w:footnote w:type="continuationSeparator" w:id="0">
    <w:p w14:paraId="446E2124" w14:textId="77777777" w:rsidR="00D51CD9" w:rsidRDefault="00D51CD9"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C146" w14:textId="77777777" w:rsidR="00C412F0" w:rsidRDefault="00C412F0">
    <w:pPr>
      <w:pStyle w:val="Sidhuvud"/>
    </w:pPr>
    <w:bookmarkStart w:id="1" w:name="bmLogga"/>
    <w:r>
      <w:rPr>
        <w:lang w:eastAsia="sv-SE"/>
      </w:rPr>
      <w:drawing>
        <wp:inline distT="0" distB="0" distL="0" distR="0" wp14:anchorId="35BB9FF9" wp14:editId="79F4D6F7">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
  </w:p>
  <w:p w14:paraId="13F36330" w14:textId="77777777" w:rsidR="009344CC" w:rsidRPr="005A4563" w:rsidRDefault="009344CC"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20006"/>
    <w:multiLevelType w:val="hybridMultilevel"/>
    <w:tmpl w:val="38D48F44"/>
    <w:lvl w:ilvl="0" w:tplc="F96EB1F2">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8"/>
  </w:num>
  <w:num w:numId="13">
    <w:abstractNumId w:val="15"/>
  </w:num>
  <w:num w:numId="14">
    <w:abstractNumId w:val="2"/>
  </w:num>
  <w:num w:numId="15">
    <w:abstractNumId w:val="16"/>
  </w:num>
  <w:num w:numId="16">
    <w:abstractNumId w:val="4"/>
  </w:num>
  <w:num w:numId="17">
    <w:abstractNumId w:val="3"/>
  </w:num>
  <w:num w:numId="18">
    <w:abstractNumId w:val="18"/>
  </w:num>
  <w:num w:numId="19">
    <w:abstractNumId w:val="17"/>
  </w:num>
  <w:num w:numId="20">
    <w:abstractNumId w:val="11"/>
  </w:num>
  <w:num w:numId="21">
    <w:abstractNumId w:val="6"/>
  </w:num>
  <w:num w:numId="22">
    <w:abstractNumId w:val="9"/>
  </w:num>
  <w:num w:numId="23">
    <w:abstractNumId w:val="10"/>
  </w:num>
  <w:num w:numId="24">
    <w:abstractNumId w:val="5"/>
  </w:num>
  <w:num w:numId="25">
    <w:abstractNumId w:val="12"/>
  </w:num>
  <w:num w:numId="26">
    <w:abstractNumId w:val="7"/>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13EF4"/>
    <w:rsid w:val="00017F8E"/>
    <w:rsid w:val="00024709"/>
    <w:rsid w:val="000373D5"/>
    <w:rsid w:val="000537AF"/>
    <w:rsid w:val="00072A56"/>
    <w:rsid w:val="0008257F"/>
    <w:rsid w:val="0008484B"/>
    <w:rsid w:val="0009349B"/>
    <w:rsid w:val="00096600"/>
    <w:rsid w:val="00096F5B"/>
    <w:rsid w:val="000B2C75"/>
    <w:rsid w:val="0011411D"/>
    <w:rsid w:val="001319EF"/>
    <w:rsid w:val="00134617"/>
    <w:rsid w:val="00151EF7"/>
    <w:rsid w:val="0016771B"/>
    <w:rsid w:val="00170F06"/>
    <w:rsid w:val="00192AF0"/>
    <w:rsid w:val="001A460F"/>
    <w:rsid w:val="001B300A"/>
    <w:rsid w:val="001B602A"/>
    <w:rsid w:val="001B6F45"/>
    <w:rsid w:val="001C2CEC"/>
    <w:rsid w:val="001C677F"/>
    <w:rsid w:val="001E6610"/>
    <w:rsid w:val="002047A7"/>
    <w:rsid w:val="002110E2"/>
    <w:rsid w:val="002138B2"/>
    <w:rsid w:val="00214ADB"/>
    <w:rsid w:val="00215646"/>
    <w:rsid w:val="00223AE4"/>
    <w:rsid w:val="00261373"/>
    <w:rsid w:val="00266B3C"/>
    <w:rsid w:val="0028242D"/>
    <w:rsid w:val="00294B5D"/>
    <w:rsid w:val="002A1915"/>
    <w:rsid w:val="002A24A2"/>
    <w:rsid w:val="002A75E8"/>
    <w:rsid w:val="002C6246"/>
    <w:rsid w:val="002D1D2E"/>
    <w:rsid w:val="002E7F02"/>
    <w:rsid w:val="002F35E1"/>
    <w:rsid w:val="00334A40"/>
    <w:rsid w:val="0034175C"/>
    <w:rsid w:val="003523FF"/>
    <w:rsid w:val="00353866"/>
    <w:rsid w:val="00354126"/>
    <w:rsid w:val="00356C54"/>
    <w:rsid w:val="00373939"/>
    <w:rsid w:val="00397D26"/>
    <w:rsid w:val="003B4CD1"/>
    <w:rsid w:val="003B718B"/>
    <w:rsid w:val="003C1776"/>
    <w:rsid w:val="003C4075"/>
    <w:rsid w:val="003D70BF"/>
    <w:rsid w:val="00405935"/>
    <w:rsid w:val="00414CE6"/>
    <w:rsid w:val="00427C7F"/>
    <w:rsid w:val="0045136E"/>
    <w:rsid w:val="004547F5"/>
    <w:rsid w:val="004705C4"/>
    <w:rsid w:val="00472353"/>
    <w:rsid w:val="00473D1A"/>
    <w:rsid w:val="00475B09"/>
    <w:rsid w:val="00477D2E"/>
    <w:rsid w:val="004823C7"/>
    <w:rsid w:val="00494C42"/>
    <w:rsid w:val="004A6E88"/>
    <w:rsid w:val="004B7657"/>
    <w:rsid w:val="004C733C"/>
    <w:rsid w:val="004D4A14"/>
    <w:rsid w:val="004E35C5"/>
    <w:rsid w:val="00504259"/>
    <w:rsid w:val="00507177"/>
    <w:rsid w:val="005201F8"/>
    <w:rsid w:val="005215C9"/>
    <w:rsid w:val="00533574"/>
    <w:rsid w:val="00544886"/>
    <w:rsid w:val="00546A93"/>
    <w:rsid w:val="00556357"/>
    <w:rsid w:val="00560190"/>
    <w:rsid w:val="00565E25"/>
    <w:rsid w:val="0057175A"/>
    <w:rsid w:val="005A4400"/>
    <w:rsid w:val="005A4563"/>
    <w:rsid w:val="005B126E"/>
    <w:rsid w:val="005B76FC"/>
    <w:rsid w:val="005B7929"/>
    <w:rsid w:val="005C417C"/>
    <w:rsid w:val="005C5024"/>
    <w:rsid w:val="005C5F13"/>
    <w:rsid w:val="005D132C"/>
    <w:rsid w:val="005D439F"/>
    <w:rsid w:val="005F1472"/>
    <w:rsid w:val="006024F8"/>
    <w:rsid w:val="00610375"/>
    <w:rsid w:val="006122F7"/>
    <w:rsid w:val="00616EF0"/>
    <w:rsid w:val="0062144B"/>
    <w:rsid w:val="0063192F"/>
    <w:rsid w:val="00665204"/>
    <w:rsid w:val="00680367"/>
    <w:rsid w:val="006944D5"/>
    <w:rsid w:val="006A1C72"/>
    <w:rsid w:val="006B793D"/>
    <w:rsid w:val="006E3BFE"/>
    <w:rsid w:val="006E53FF"/>
    <w:rsid w:val="006E6218"/>
    <w:rsid w:val="006E66C8"/>
    <w:rsid w:val="006F648D"/>
    <w:rsid w:val="0070387B"/>
    <w:rsid w:val="007272EC"/>
    <w:rsid w:val="007403BE"/>
    <w:rsid w:val="00744D37"/>
    <w:rsid w:val="0074512A"/>
    <w:rsid w:val="0074555C"/>
    <w:rsid w:val="00754000"/>
    <w:rsid w:val="007605D9"/>
    <w:rsid w:val="007620E9"/>
    <w:rsid w:val="0076326F"/>
    <w:rsid w:val="00764336"/>
    <w:rsid w:val="007647D8"/>
    <w:rsid w:val="00773B4E"/>
    <w:rsid w:val="00783466"/>
    <w:rsid w:val="00785BB5"/>
    <w:rsid w:val="00796C21"/>
    <w:rsid w:val="007A0C77"/>
    <w:rsid w:val="007A1EFA"/>
    <w:rsid w:val="007A39EC"/>
    <w:rsid w:val="007A4DC2"/>
    <w:rsid w:val="007C0D98"/>
    <w:rsid w:val="007C6A94"/>
    <w:rsid w:val="007C7C4A"/>
    <w:rsid w:val="007D0B24"/>
    <w:rsid w:val="007E2CB3"/>
    <w:rsid w:val="00804043"/>
    <w:rsid w:val="00804DBE"/>
    <w:rsid w:val="00831FA3"/>
    <w:rsid w:val="0083775B"/>
    <w:rsid w:val="00871A86"/>
    <w:rsid w:val="00871A93"/>
    <w:rsid w:val="00871B13"/>
    <w:rsid w:val="00884E7A"/>
    <w:rsid w:val="00884FCF"/>
    <w:rsid w:val="008879D8"/>
    <w:rsid w:val="008A483A"/>
    <w:rsid w:val="008B1796"/>
    <w:rsid w:val="008B3851"/>
    <w:rsid w:val="008B5020"/>
    <w:rsid w:val="008C3A39"/>
    <w:rsid w:val="008C4950"/>
    <w:rsid w:val="008D1CB2"/>
    <w:rsid w:val="008D2961"/>
    <w:rsid w:val="008D4006"/>
    <w:rsid w:val="008E759E"/>
    <w:rsid w:val="009030C6"/>
    <w:rsid w:val="00931192"/>
    <w:rsid w:val="009344CC"/>
    <w:rsid w:val="00936E12"/>
    <w:rsid w:val="0094035B"/>
    <w:rsid w:val="009510BE"/>
    <w:rsid w:val="00957EE3"/>
    <w:rsid w:val="00963995"/>
    <w:rsid w:val="009737DB"/>
    <w:rsid w:val="00976CD1"/>
    <w:rsid w:val="00983754"/>
    <w:rsid w:val="0099593C"/>
    <w:rsid w:val="009A768D"/>
    <w:rsid w:val="009B4BAE"/>
    <w:rsid w:val="009C255F"/>
    <w:rsid w:val="009D5271"/>
    <w:rsid w:val="009E1C01"/>
    <w:rsid w:val="009E23BB"/>
    <w:rsid w:val="009F7A72"/>
    <w:rsid w:val="00A03643"/>
    <w:rsid w:val="00A126B2"/>
    <w:rsid w:val="00A1284B"/>
    <w:rsid w:val="00A14805"/>
    <w:rsid w:val="00A361B3"/>
    <w:rsid w:val="00A410B2"/>
    <w:rsid w:val="00A82AAC"/>
    <w:rsid w:val="00A84F48"/>
    <w:rsid w:val="00A879B3"/>
    <w:rsid w:val="00AA0079"/>
    <w:rsid w:val="00AA30A2"/>
    <w:rsid w:val="00AC2496"/>
    <w:rsid w:val="00AC2815"/>
    <w:rsid w:val="00AC3B7F"/>
    <w:rsid w:val="00AD5809"/>
    <w:rsid w:val="00AE20C0"/>
    <w:rsid w:val="00B0348F"/>
    <w:rsid w:val="00B13809"/>
    <w:rsid w:val="00B22B22"/>
    <w:rsid w:val="00B41CBA"/>
    <w:rsid w:val="00B45879"/>
    <w:rsid w:val="00B54F8E"/>
    <w:rsid w:val="00B63A59"/>
    <w:rsid w:val="00B7632E"/>
    <w:rsid w:val="00B83C7B"/>
    <w:rsid w:val="00B94615"/>
    <w:rsid w:val="00B94E43"/>
    <w:rsid w:val="00B966B8"/>
    <w:rsid w:val="00BC1B8A"/>
    <w:rsid w:val="00BC4AC5"/>
    <w:rsid w:val="00BC5D3C"/>
    <w:rsid w:val="00BC6F9E"/>
    <w:rsid w:val="00BE3240"/>
    <w:rsid w:val="00C00D60"/>
    <w:rsid w:val="00C075F4"/>
    <w:rsid w:val="00C07E1B"/>
    <w:rsid w:val="00C26971"/>
    <w:rsid w:val="00C336D1"/>
    <w:rsid w:val="00C35FDA"/>
    <w:rsid w:val="00C368A7"/>
    <w:rsid w:val="00C412F0"/>
    <w:rsid w:val="00C5124C"/>
    <w:rsid w:val="00C53C5D"/>
    <w:rsid w:val="00C646EB"/>
    <w:rsid w:val="00C65497"/>
    <w:rsid w:val="00C76A0C"/>
    <w:rsid w:val="00C76BC1"/>
    <w:rsid w:val="00C8208C"/>
    <w:rsid w:val="00C823F5"/>
    <w:rsid w:val="00C92DEA"/>
    <w:rsid w:val="00C939BE"/>
    <w:rsid w:val="00CA526E"/>
    <w:rsid w:val="00CA7B54"/>
    <w:rsid w:val="00CB57D2"/>
    <w:rsid w:val="00CB6DA4"/>
    <w:rsid w:val="00CD0774"/>
    <w:rsid w:val="00CE44D5"/>
    <w:rsid w:val="00CE6559"/>
    <w:rsid w:val="00CE71D2"/>
    <w:rsid w:val="00CF2AEF"/>
    <w:rsid w:val="00CF363B"/>
    <w:rsid w:val="00CF517E"/>
    <w:rsid w:val="00CF63E2"/>
    <w:rsid w:val="00CF6520"/>
    <w:rsid w:val="00CF6615"/>
    <w:rsid w:val="00D00924"/>
    <w:rsid w:val="00D0220B"/>
    <w:rsid w:val="00D05BBE"/>
    <w:rsid w:val="00D07703"/>
    <w:rsid w:val="00D110E3"/>
    <w:rsid w:val="00D16777"/>
    <w:rsid w:val="00D36E51"/>
    <w:rsid w:val="00D403D0"/>
    <w:rsid w:val="00D44830"/>
    <w:rsid w:val="00D51CD9"/>
    <w:rsid w:val="00D607A5"/>
    <w:rsid w:val="00D60C47"/>
    <w:rsid w:val="00D740A0"/>
    <w:rsid w:val="00D80C15"/>
    <w:rsid w:val="00D846CA"/>
    <w:rsid w:val="00DA66D1"/>
    <w:rsid w:val="00DB34D6"/>
    <w:rsid w:val="00DB5432"/>
    <w:rsid w:val="00DC0E15"/>
    <w:rsid w:val="00DD2099"/>
    <w:rsid w:val="00DD2762"/>
    <w:rsid w:val="00DD75F9"/>
    <w:rsid w:val="00DE67DC"/>
    <w:rsid w:val="00DF56BE"/>
    <w:rsid w:val="00E05C07"/>
    <w:rsid w:val="00E1212C"/>
    <w:rsid w:val="00E13817"/>
    <w:rsid w:val="00E15230"/>
    <w:rsid w:val="00E233A0"/>
    <w:rsid w:val="00E2662C"/>
    <w:rsid w:val="00E34D20"/>
    <w:rsid w:val="00E369ED"/>
    <w:rsid w:val="00E373B3"/>
    <w:rsid w:val="00E5047D"/>
    <w:rsid w:val="00E820F7"/>
    <w:rsid w:val="00EA283A"/>
    <w:rsid w:val="00EA4CE3"/>
    <w:rsid w:val="00EC352B"/>
    <w:rsid w:val="00EF0761"/>
    <w:rsid w:val="00EF2BC0"/>
    <w:rsid w:val="00F0270F"/>
    <w:rsid w:val="00F0386D"/>
    <w:rsid w:val="00F10452"/>
    <w:rsid w:val="00F159CF"/>
    <w:rsid w:val="00F161CF"/>
    <w:rsid w:val="00F21AC7"/>
    <w:rsid w:val="00F23544"/>
    <w:rsid w:val="00F265B9"/>
    <w:rsid w:val="00F33717"/>
    <w:rsid w:val="00F45946"/>
    <w:rsid w:val="00F45A1B"/>
    <w:rsid w:val="00F525BE"/>
    <w:rsid w:val="00F61D18"/>
    <w:rsid w:val="00F87720"/>
    <w:rsid w:val="00F87DD4"/>
    <w:rsid w:val="00F93C0F"/>
    <w:rsid w:val="00FA6F3B"/>
    <w:rsid w:val="00FB6023"/>
    <w:rsid w:val="00FC5460"/>
    <w:rsid w:val="00FD5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9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semiHidden/>
    <w:unhideWhenUsed/>
    <w:rsid w:val="00DB34D6"/>
    <w:rPr>
      <w:sz w:val="20"/>
      <w:szCs w:val="20"/>
    </w:rPr>
  </w:style>
  <w:style w:type="character" w:customStyle="1" w:styleId="KommentarerChar">
    <w:name w:val="Kommentarer Char"/>
    <w:basedOn w:val="Standardstycketeckensnitt"/>
    <w:link w:val="Kommentarer"/>
    <w:uiPriority w:val="99"/>
    <w:semiHidden/>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paragraph" w:styleId="Beskrivning">
    <w:name w:val="caption"/>
    <w:basedOn w:val="Normal"/>
    <w:next w:val="Normal"/>
    <w:uiPriority w:val="35"/>
    <w:unhideWhenUsed/>
    <w:qFormat/>
    <w:rsid w:val="002138B2"/>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com.fi/baltic-sea-trends/indica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lcom.fi/Documents/Action%20areas/Monitoring%20and%20assessment/Manuals%20and%20Guidelines/Guidelines%20for%20Seal%20Abundance%20Monitoring%20HELCOM%202014.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ohark\Desktop\Inventdata\Abundance%20grey%20seals%202005-2016%20per%20reg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Trendcalc!$B$6</c:f>
              <c:strCache>
                <c:ptCount val="1"/>
                <c:pt idx="0">
                  <c:v>Antal tot</c:v>
                </c:pt>
              </c:strCache>
            </c:strRef>
          </c:tx>
          <c:spPr>
            <a:ln w="28575">
              <a:noFill/>
            </a:ln>
          </c:spPr>
          <c:marker>
            <c:symbol val="circle"/>
            <c:size val="7"/>
            <c:spPr>
              <a:solidFill>
                <a:schemeClr val="tx1"/>
              </a:solidFill>
            </c:spPr>
          </c:marker>
          <c:xVal>
            <c:numRef>
              <c:f>Trendcalc!$A$7:$A$18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xVal>
          <c:yVal>
            <c:numRef>
              <c:f>Trendcalc!$B$7:$B$18</c:f>
              <c:numCache>
                <c:formatCode>General</c:formatCode>
                <c:ptCount val="12"/>
                <c:pt idx="0">
                  <c:v>18621</c:v>
                </c:pt>
                <c:pt idx="1">
                  <c:v>20700</c:v>
                </c:pt>
                <c:pt idx="2">
                  <c:v>21991</c:v>
                </c:pt>
                <c:pt idx="3">
                  <c:v>22329</c:v>
                </c:pt>
                <c:pt idx="4">
                  <c:v>20395</c:v>
                </c:pt>
                <c:pt idx="5">
                  <c:v>23139</c:v>
                </c:pt>
                <c:pt idx="6" formatCode="#,##0">
                  <c:v>23941</c:v>
                </c:pt>
                <c:pt idx="7">
                  <c:v>28300</c:v>
                </c:pt>
                <c:pt idx="8">
                  <c:v>29500</c:v>
                </c:pt>
                <c:pt idx="9">
                  <c:v>32215</c:v>
                </c:pt>
                <c:pt idx="10">
                  <c:v>30300</c:v>
                </c:pt>
                <c:pt idx="11">
                  <c:v>30070</c:v>
                </c:pt>
              </c:numCache>
            </c:numRef>
          </c:yVal>
          <c:smooth val="0"/>
          <c:extLst>
            <c:ext xmlns:c16="http://schemas.microsoft.com/office/drawing/2014/chart" uri="{C3380CC4-5D6E-409C-BE32-E72D297353CC}">
              <c16:uniqueId val="{00000000-7632-44AD-84B1-5444AD3EB2C1}"/>
            </c:ext>
          </c:extLst>
        </c:ser>
        <c:dLbls>
          <c:showLegendKey val="0"/>
          <c:showVal val="0"/>
          <c:showCatName val="0"/>
          <c:showSerName val="0"/>
          <c:showPercent val="0"/>
          <c:showBubbleSize val="0"/>
        </c:dLbls>
        <c:axId val="129942656"/>
        <c:axId val="134008832"/>
      </c:scatterChart>
      <c:valAx>
        <c:axId val="129942656"/>
        <c:scaling>
          <c:orientation val="minMax"/>
          <c:min val="2004"/>
        </c:scaling>
        <c:delete val="0"/>
        <c:axPos val="b"/>
        <c:title>
          <c:tx>
            <c:rich>
              <a:bodyPr/>
              <a:lstStyle/>
              <a:p>
                <a:pPr>
                  <a:defRPr/>
                </a:pPr>
                <a:r>
                  <a:rPr lang="en-US"/>
                  <a:t>År</a:t>
                </a:r>
              </a:p>
            </c:rich>
          </c:tx>
          <c:layout/>
          <c:overlay val="0"/>
        </c:title>
        <c:numFmt formatCode="General" sourceLinked="1"/>
        <c:majorTickMark val="out"/>
        <c:minorTickMark val="none"/>
        <c:tickLblPos val="nextTo"/>
        <c:crossAx val="134008832"/>
        <c:crosses val="autoZero"/>
        <c:crossBetween val="midCat"/>
        <c:majorUnit val="2"/>
      </c:valAx>
      <c:valAx>
        <c:axId val="134008832"/>
        <c:scaling>
          <c:orientation val="minMax"/>
        </c:scaling>
        <c:delete val="0"/>
        <c:axPos val="l"/>
        <c:title>
          <c:tx>
            <c:rich>
              <a:bodyPr rot="-5400000" vert="horz"/>
              <a:lstStyle/>
              <a:p>
                <a:pPr>
                  <a:defRPr/>
                </a:pPr>
                <a:r>
                  <a:rPr lang="sv-SE"/>
                  <a:t>Antal räknade</a:t>
                </a:r>
              </a:p>
            </c:rich>
          </c:tx>
          <c:layout/>
          <c:overlay val="0"/>
        </c:title>
        <c:numFmt formatCode="General" sourceLinked="1"/>
        <c:majorTickMark val="out"/>
        <c:minorTickMark val="none"/>
        <c:tickLblPos val="nextTo"/>
        <c:crossAx val="12994265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5203-26B0-4BD1-8DDC-39ED3025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2647</Words>
  <Characters>14033</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Normal - HaV</cp:keywords>
  <cp:lastModifiedBy/>
  <cp:revision>1</cp:revision>
  <dcterms:created xsi:type="dcterms:W3CDTF">2017-11-19T17:12:00Z</dcterms:created>
  <dcterms:modified xsi:type="dcterms:W3CDTF">2017-11-19T20:48:00Z</dcterms:modified>
</cp:coreProperties>
</file>