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22571" w14:textId="77777777" w:rsidR="00C412F0" w:rsidRDefault="00C412F0" w:rsidP="00C412F0">
      <w:pPr>
        <w:pStyle w:val="Rubrik1"/>
      </w:pPr>
      <w:r>
        <w:t>Havsmiljödirektivets inledande bedömning</w:t>
      </w:r>
    </w:p>
    <w:p w14:paraId="75A32774" w14:textId="77777777" w:rsidR="00354126" w:rsidRDefault="0062144B" w:rsidP="00354126">
      <w:pPr>
        <w:pStyle w:val="Rubrik2"/>
      </w:pPr>
      <w:r>
        <w:t>Titel på faktablad</w:t>
      </w:r>
      <w:r w:rsidR="00C412F0">
        <w:t>:</w:t>
      </w:r>
      <w:r w:rsidR="006A1DC9">
        <w:t xml:space="preserve"> Förekomst av häckande sjöfåglar</w:t>
      </w:r>
    </w:p>
    <w:p w14:paraId="0F2D9151" w14:textId="77777777" w:rsidR="00C412F0" w:rsidRDefault="00C412F0" w:rsidP="00C412F0">
      <w:pPr>
        <w:pStyle w:val="Brdtext"/>
      </w:pPr>
      <w:r>
        <w:rPr>
          <w:noProof/>
          <w:lang w:eastAsia="sv-SE"/>
        </w:rPr>
        <mc:AlternateContent>
          <mc:Choice Requires="wps">
            <w:drawing>
              <wp:anchor distT="0" distB="0" distL="114300" distR="114300" simplePos="0" relativeHeight="251659264" behindDoc="0" locked="0" layoutInCell="1" allowOverlap="1" wp14:anchorId="6FE0FD6C" wp14:editId="25670C60">
                <wp:simplePos x="0" y="0"/>
                <wp:positionH relativeFrom="column">
                  <wp:posOffset>-81915</wp:posOffset>
                </wp:positionH>
                <wp:positionV relativeFrom="paragraph">
                  <wp:posOffset>69850</wp:posOffset>
                </wp:positionV>
                <wp:extent cx="5718810" cy="3602990"/>
                <wp:effectExtent l="0" t="0" r="15240" b="1651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602990"/>
                        </a:xfrm>
                        <a:prstGeom prst="rect">
                          <a:avLst/>
                        </a:prstGeom>
                        <a:solidFill>
                          <a:srgbClr val="FFFFFF"/>
                        </a:solidFill>
                        <a:ln w="9525">
                          <a:solidFill>
                            <a:srgbClr val="000000"/>
                          </a:solidFill>
                          <a:miter lim="800000"/>
                          <a:headEnd/>
                          <a:tailEnd/>
                        </a:ln>
                      </wps:spPr>
                      <wps:txbx>
                        <w:txbxContent>
                          <w:p w14:paraId="1AF51C3D" w14:textId="77777777" w:rsidR="00BB41C3" w:rsidRDefault="00BB41C3">
                            <w:r>
                              <w:t>Illustrerande bild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0FD6C" id="_x0000_t202" coordsize="21600,21600" o:spt="202" path="m,l,21600r21600,l21600,xe">
                <v:stroke joinstyle="miter"/>
                <v:path gradientshapeok="t" o:connecttype="rect"/>
              </v:shapetype>
              <v:shape id="Textruta 2" o:spid="_x0000_s1026" type="#_x0000_t202" style="position:absolute;margin-left:-6.45pt;margin-top:5.5pt;width:450.3pt;height:2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XF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">
                <v:textbox>
                  <w:txbxContent>
                    <w:p w14:paraId="1AF51C3D" w14:textId="77777777" w:rsidR="00BB41C3" w:rsidRDefault="00BB41C3">
                      <w:r>
                        <w:t>Illustrerande bild</w:t>
                      </w:r>
                    </w:p>
                  </w:txbxContent>
                </v:textbox>
              </v:shape>
            </w:pict>
          </mc:Fallback>
        </mc:AlternateContent>
      </w:r>
    </w:p>
    <w:p w14:paraId="622C93C9" w14:textId="77777777" w:rsidR="00C412F0" w:rsidRPr="00C412F0" w:rsidRDefault="00C412F0" w:rsidP="00C412F0">
      <w:pPr>
        <w:pStyle w:val="Brdtext"/>
      </w:pPr>
    </w:p>
    <w:p w14:paraId="632E6B2C" w14:textId="77777777" w:rsidR="00354126" w:rsidRDefault="00354126" w:rsidP="0062144B"/>
    <w:p w14:paraId="06D25912" w14:textId="77777777" w:rsidR="0062144B" w:rsidRDefault="0062144B" w:rsidP="0062144B"/>
    <w:p w14:paraId="4EAFB219" w14:textId="77777777" w:rsidR="0062144B" w:rsidRDefault="0062144B" w:rsidP="0062144B"/>
    <w:p w14:paraId="45504984" w14:textId="77777777" w:rsidR="0062144B" w:rsidRDefault="0062144B" w:rsidP="0062144B"/>
    <w:p w14:paraId="34211E07" w14:textId="77777777" w:rsidR="0062144B" w:rsidRDefault="0062144B" w:rsidP="0062144B"/>
    <w:p w14:paraId="7589BA8C" w14:textId="77777777" w:rsidR="0062144B" w:rsidRDefault="0062144B" w:rsidP="0062144B"/>
    <w:p w14:paraId="3FC67C0E" w14:textId="77777777" w:rsidR="0062144B" w:rsidRDefault="0062144B" w:rsidP="0062144B"/>
    <w:p w14:paraId="3C91EDD8" w14:textId="77777777" w:rsidR="0062144B" w:rsidRDefault="0062144B" w:rsidP="0062144B"/>
    <w:p w14:paraId="455E3941" w14:textId="77777777" w:rsidR="0062144B" w:rsidRDefault="0062144B" w:rsidP="0062144B"/>
    <w:p w14:paraId="4AC75EE2" w14:textId="77777777" w:rsidR="0062144B" w:rsidRDefault="0062144B" w:rsidP="0062144B"/>
    <w:p w14:paraId="5D8FEFFF" w14:textId="77777777" w:rsidR="0062144B" w:rsidRDefault="0062144B" w:rsidP="0062144B"/>
    <w:p w14:paraId="75F6F90D" w14:textId="77777777" w:rsidR="0062144B" w:rsidRDefault="0062144B" w:rsidP="0062144B"/>
    <w:p w14:paraId="1EBD6BC0" w14:textId="77777777" w:rsidR="0062144B" w:rsidRDefault="0062144B" w:rsidP="0062144B"/>
    <w:p w14:paraId="63DB5A52" w14:textId="77777777" w:rsidR="00B63A59" w:rsidRPr="0062144B" w:rsidRDefault="0062144B" w:rsidP="0062144B">
      <w:pPr>
        <w:rPr>
          <w:i/>
        </w:rPr>
      </w:pPr>
      <w:r>
        <w:rPr>
          <w:i/>
        </w:rPr>
        <w:t>bildtext</w:t>
      </w:r>
    </w:p>
    <w:p w14:paraId="7124F71E" w14:textId="77777777" w:rsidR="0062144B" w:rsidRDefault="0062144B" w:rsidP="00D05BBE">
      <w:pPr>
        <w:pStyle w:val="Brdtext"/>
      </w:pPr>
    </w:p>
    <w:p w14:paraId="3229395A" w14:textId="77777777" w:rsidR="0062144B" w:rsidRDefault="0062144B" w:rsidP="00D05BBE">
      <w:pPr>
        <w:pStyle w:val="Brdtext"/>
      </w:pPr>
    </w:p>
    <w:p w14:paraId="34C11A41" w14:textId="375D313C" w:rsidR="00D0220B" w:rsidRPr="00837216" w:rsidRDefault="00764336" w:rsidP="00D05BBE">
      <w:pPr>
        <w:pStyle w:val="Brdtext"/>
        <w:rPr>
          <w:highlight w:val="yellow"/>
        </w:rPr>
      </w:pPr>
      <w:r>
        <w:t xml:space="preserve">Havsmiljödirektivet syftar till </w:t>
      </w:r>
      <w:r w:rsidR="00F10452">
        <w:t xml:space="preserve">uppnå ett hållbart nyttjande av EUs havsområden, samtidigt som biologisk mångfald bevaras och ekosystemen hålls friska och fria från föroreningar. Som en del av </w:t>
      </w:r>
      <w:r w:rsidR="006944D5">
        <w:t xml:space="preserve">förvaltningen av havet genomförs vart 6e år en bedömning av havsmiljöns tillstånd, i relation till ett definierat önskvärt tillstånd som karaktäriserar en god miljöstatus. </w:t>
      </w:r>
      <w:r w:rsidR="00C336D1">
        <w:t>Som underlag</w:t>
      </w:r>
      <w:r w:rsidR="006944D5">
        <w:t xml:space="preserve"> </w:t>
      </w:r>
      <w:r w:rsidR="00354126">
        <w:t xml:space="preserve">till bedömningen </w:t>
      </w:r>
      <w:r w:rsidR="006944D5">
        <w:t xml:space="preserve">publicerar Havs- och vattenmyndigheten faktablad </w:t>
      </w:r>
      <w:r w:rsidR="0062144B">
        <w:t xml:space="preserve">eller liknande rapporter </w:t>
      </w:r>
      <w:r w:rsidR="006944D5">
        <w:t xml:space="preserve">som i </w:t>
      </w:r>
      <w:r w:rsidR="0062144B">
        <w:t xml:space="preserve">högre </w:t>
      </w:r>
      <w:r w:rsidR="006944D5">
        <w:t xml:space="preserve">detalj redovisar de metoder och observationer som </w:t>
      </w:r>
      <w:r w:rsidR="00354126">
        <w:t>används</w:t>
      </w:r>
      <w:r w:rsidR="006944D5">
        <w:t xml:space="preserve">. Den samlade bedömningen som görs på en mer sammanfattande nivå finns publicerad i </w:t>
      </w:r>
      <w:r w:rsidR="006944D5" w:rsidRPr="00837216">
        <w:rPr>
          <w:highlight w:val="yellow"/>
        </w:rPr>
        <w:t>Havs- och vattenmyndighetens rapport xxxx-xx</w:t>
      </w:r>
      <w:r w:rsidR="006944D5">
        <w:t>.</w:t>
      </w:r>
      <w:r w:rsidR="00CF517E">
        <w:t xml:space="preserve"> Vad som kännetecknar en god miljöstatus, samt </w:t>
      </w:r>
      <w:r w:rsidR="00CF517E" w:rsidRPr="00CF517E">
        <w:t>miljökvalitetsnormer med indikatorer för Nordsjön och Östersjön</w:t>
      </w:r>
      <w:r w:rsidR="00CF517E">
        <w:t xml:space="preserve">, fastställs i </w:t>
      </w:r>
      <w:r w:rsidR="00CF517E" w:rsidRPr="00837216">
        <w:rPr>
          <w:highlight w:val="yellow"/>
        </w:rPr>
        <w:t>Havs- och vattenmyndighetens föreskrifter 2012:18.</w:t>
      </w:r>
      <w:r w:rsidR="00D44830" w:rsidRPr="00837216">
        <w:rPr>
          <w:highlight w:val="yellow"/>
        </w:rPr>
        <w:t xml:space="preserve">Version Nr., </w:t>
      </w:r>
      <w:r w:rsidR="001319EF" w:rsidRPr="00837216">
        <w:rPr>
          <w:highlight w:val="yellow"/>
        </w:rPr>
        <w:t>Publiceringsdatum.</w:t>
      </w:r>
    </w:p>
    <w:p w14:paraId="6F18F5F8" w14:textId="77777777" w:rsidR="00B63A59" w:rsidRPr="0062144B" w:rsidRDefault="00D0220B" w:rsidP="00D05BBE">
      <w:pPr>
        <w:pStyle w:val="Brdtext"/>
      </w:pPr>
      <w:r w:rsidRPr="00837216">
        <w:rPr>
          <w:highlight w:val="yellow"/>
        </w:rPr>
        <w:t>Citeras som</w:t>
      </w:r>
      <w:r w:rsidR="0062144B" w:rsidRPr="00837216">
        <w:rPr>
          <w:highlight w:val="yellow"/>
        </w:rPr>
        <w:t>:</w:t>
      </w:r>
      <w:r w:rsidR="00D05BBE">
        <w:rPr>
          <w:sz w:val="24"/>
          <w:szCs w:val="24"/>
        </w:rPr>
        <w:br w:type="page"/>
      </w:r>
      <w:r w:rsidR="00E13817" w:rsidRPr="000537AF">
        <w:rPr>
          <w:rStyle w:val="Rubrik3Char"/>
          <w:rFonts w:asciiTheme="majorHAnsi" w:hAnsiTheme="majorHAnsi" w:cstheme="majorHAnsi"/>
          <w:sz w:val="24"/>
          <w:szCs w:val="24"/>
        </w:rPr>
        <w:lastRenderedPageBreak/>
        <w:t xml:space="preserve">Sektion </w:t>
      </w:r>
      <w:r w:rsidR="0070387B" w:rsidRPr="000537AF">
        <w:rPr>
          <w:rStyle w:val="Rubrik3Char"/>
          <w:rFonts w:asciiTheme="majorHAnsi" w:hAnsiTheme="majorHAnsi" w:cstheme="majorHAnsi"/>
          <w:sz w:val="24"/>
          <w:szCs w:val="24"/>
        </w:rPr>
        <w:t>1</w:t>
      </w:r>
      <w:r w:rsidR="003B4CD1" w:rsidRPr="000537AF">
        <w:rPr>
          <w:rStyle w:val="Rubrik3Char"/>
          <w:rFonts w:asciiTheme="majorHAnsi" w:hAnsiTheme="majorHAnsi" w:cstheme="majorHAnsi"/>
          <w:sz w:val="24"/>
          <w:szCs w:val="24"/>
        </w:rPr>
        <w:t xml:space="preserve"> </w:t>
      </w:r>
      <w:r w:rsidR="0070387B" w:rsidRPr="000537AF">
        <w:rPr>
          <w:rStyle w:val="Rubrik3Char"/>
          <w:rFonts w:asciiTheme="majorHAnsi" w:hAnsiTheme="majorHAnsi" w:cstheme="majorHAnsi"/>
          <w:sz w:val="24"/>
          <w:szCs w:val="24"/>
        </w:rPr>
        <w:t xml:space="preserve">Del 1. </w:t>
      </w:r>
      <w:r w:rsidR="0009349B" w:rsidRPr="000537AF">
        <w:rPr>
          <w:rStyle w:val="Rubrik3Char"/>
          <w:rFonts w:asciiTheme="majorHAnsi" w:hAnsiTheme="majorHAnsi" w:cstheme="majorHAnsi"/>
          <w:sz w:val="24"/>
          <w:szCs w:val="24"/>
        </w:rPr>
        <w:t>S</w:t>
      </w:r>
      <w:r w:rsidR="00B63A59" w:rsidRPr="000537AF">
        <w:rPr>
          <w:rStyle w:val="Rubrik3Char"/>
          <w:rFonts w:asciiTheme="majorHAnsi" w:hAnsiTheme="majorHAnsi" w:cstheme="majorHAnsi"/>
          <w:sz w:val="24"/>
          <w:szCs w:val="24"/>
        </w:rPr>
        <w:t>ammanfattning</w:t>
      </w:r>
    </w:p>
    <w:p w14:paraId="5E6A6178" w14:textId="77777777" w:rsidR="0071500A" w:rsidRDefault="0071500A" w:rsidP="0071500A">
      <w:pPr>
        <w:pStyle w:val="Brdtext"/>
      </w:pPr>
      <w:r>
        <w:t>Fåglar befinner sig högt upp i näringsväven och tillhör inte sällan toppredatorerna. I den marina miljön finner man arter med olika födopreferenser, vissa arter söker föda i strandnära områden genom att pickandes vada omkring (vadande födosök), andra söker föda från vattenytan eller strax därunder (ytfödosökare).  Ytterligare andra söker fisk eller annan animalisk föda i vattenmassorna (pelagiskt födosök) eller hittar sina föda, inte sällan musslor, på havets botten (bentiskt födosök). Dessutom finns en grupp arter som främst livnär sig på växter (betande födosök).</w:t>
      </w:r>
    </w:p>
    <w:p w14:paraId="322A3041" w14:textId="77777777" w:rsidR="0071500A" w:rsidRDefault="0071500A" w:rsidP="0071500A">
      <w:pPr>
        <w:pStyle w:val="Brdtext"/>
      </w:pPr>
      <w:r>
        <w:t>Sammantaget innebär detta att fåglar utnyttjar en stor del av det rum som havet erbjuder till att söka föda och att miljöförändringar som påverkar havets bottnar, dess vattenmassor eller grundområden kan avspeglas i fåglarnas förekomster. Det kommersiella fisket och den kraftiga eutrofieringen är exempel på två faktorer som helt säkert påverkar den föda som fåglarna är beroende av. Det bör dock betonas att en del av de arter som häckar längs Sveriges kust flyttar till andra områden under icke-häckningstid, vilket innebär att eventuella populationsförändringar kan vara relaterade till miljöförändringar längs flyttningsvägar eller övervintringskvarter.</w:t>
      </w:r>
    </w:p>
    <w:p w14:paraId="178A0A87" w14:textId="3CEDA0AD" w:rsidR="0071500A" w:rsidRDefault="0071500A" w:rsidP="0071500A">
      <w:pPr>
        <w:pStyle w:val="Brdtext"/>
      </w:pPr>
      <w:r>
        <w:t>För att bedöma sjöfåglarnas miljöstatus har det i samråd mellan experter från HELCOM-området (d.v.s. hela Östersjöområdet) och OSPAR-området (Nordost-Atlanten) tagits fram kriterier för detta. De kriterier som används i den nationella bedömningen av sjöfågelförekomster i svenskt vatten är identiska med de som används för den mer storskaliga bedömningen av hela Östersjön (HELCOM 2017). Bedömningen av miljöstatus görs på såväl art- som födogruppsnivå. För en enskild art jämförs medelvärdet (geometriskt) av populationsindex för bedömningsperioden 2011-2016 med medelvärdet för referensperioden 1991-2000. Arter som lägger fler än ett ägg anses uppnå god status om medelvärdet för bedömningsperioden understiger referensperiodens med maximalt 30%. För arter som lägger endast ett ägg är tröskelvärdet 20%.</w:t>
      </w:r>
    </w:p>
    <w:p w14:paraId="130ECC09" w14:textId="77777777" w:rsidR="0071500A" w:rsidRDefault="0071500A" w:rsidP="0071500A">
      <w:pPr>
        <w:pStyle w:val="Brdtext"/>
      </w:pPr>
      <w:r>
        <w:t xml:space="preserve">En grupp anses ha god miljöstatus om 75% av de ingående arterna uppvisar god status (se artkriterier ovan). </w:t>
      </w:r>
    </w:p>
    <w:p w14:paraId="63BAF065" w14:textId="151950CB" w:rsidR="003B4CD1" w:rsidRDefault="00BB41C3" w:rsidP="0009349B">
      <w:pPr>
        <w:pStyle w:val="Brdtext"/>
      </w:pPr>
      <w:r w:rsidRPr="00BB41C3">
        <w:t xml:space="preserve">För att definiera miljöstatus av häckande fåglar analyserades 29 sjöfågelarter </w:t>
      </w:r>
      <w:r>
        <w:t>under tidsperioden 1991-2016</w:t>
      </w:r>
      <w:r w:rsidRPr="00BB41C3">
        <w:t xml:space="preserve">. Tio av dessa arter hade en statistiskt säkerställd positiv beståndsutveckling under denna period, medan nio arter hade en negativ och åtta en stabil trend. </w:t>
      </w:r>
      <w:r>
        <w:t>De</w:t>
      </w:r>
      <w:r w:rsidRPr="00BB41C3">
        <w:t xml:space="preserve"> bentiskt födosökande </w:t>
      </w:r>
      <w:r>
        <w:t>fåglar har inte uppnått</w:t>
      </w:r>
      <w:r w:rsidRPr="00BB41C3">
        <w:t xml:space="preserve"> god miljöstatus</w:t>
      </w:r>
      <w:r>
        <w:t xml:space="preserve"> som grupp</w:t>
      </w:r>
      <w:r w:rsidRPr="00BB41C3">
        <w:t>. I denna grupp uppfyller inte två av tre arter tröskelvärdet (ejder och svärta). Inte heller gruppen vadande fåglar uppnådde god miljöstatus då bara tre av sex arter nådde god status</w:t>
      </w:r>
    </w:p>
    <w:p w14:paraId="073D3E5C" w14:textId="672577ED" w:rsidR="00BB41C3" w:rsidRDefault="00BB41C3" w:rsidP="0009349B">
      <w:pPr>
        <w:pStyle w:val="Brdtext"/>
      </w:pPr>
    </w:p>
    <w:p w14:paraId="2376BACE" w14:textId="43AF7ADE" w:rsidR="00BB41C3" w:rsidRDefault="00BB41C3" w:rsidP="0009349B">
      <w:pPr>
        <w:pStyle w:val="Brdtext"/>
      </w:pPr>
    </w:p>
    <w:p w14:paraId="3E0970CA" w14:textId="0453FFB5" w:rsidR="00BB41C3" w:rsidRDefault="00BB41C3" w:rsidP="0009349B">
      <w:pPr>
        <w:pStyle w:val="Brdtext"/>
      </w:pPr>
    </w:p>
    <w:p w14:paraId="2585667F" w14:textId="05639FBC" w:rsidR="00BB41C3" w:rsidRDefault="00BB41C3" w:rsidP="0009349B">
      <w:pPr>
        <w:pStyle w:val="Brdtext"/>
      </w:pPr>
    </w:p>
    <w:p w14:paraId="59F39ECD" w14:textId="3DB9F1B2" w:rsidR="00BB41C3" w:rsidRDefault="00BB41C3" w:rsidP="0009349B">
      <w:pPr>
        <w:pStyle w:val="Brdtext"/>
      </w:pPr>
    </w:p>
    <w:p w14:paraId="217A0D23" w14:textId="6157CF20" w:rsidR="00BB41C3" w:rsidRDefault="00BB41C3" w:rsidP="0009349B">
      <w:pPr>
        <w:pStyle w:val="Brdtext"/>
      </w:pPr>
    </w:p>
    <w:p w14:paraId="00B1F3AB" w14:textId="77777777" w:rsidR="00BD52B7" w:rsidRDefault="00BD52B7" w:rsidP="0009349B">
      <w:pPr>
        <w:pStyle w:val="Brdtext"/>
      </w:pPr>
    </w:p>
    <w:p w14:paraId="61D57ACB" w14:textId="77777777" w:rsidR="00BB41C3" w:rsidRDefault="00BB41C3" w:rsidP="0009349B">
      <w:pPr>
        <w:pStyle w:val="Brdtext"/>
      </w:pPr>
    </w:p>
    <w:p w14:paraId="27E96D76" w14:textId="16235AE4" w:rsidR="00BB41C3" w:rsidRDefault="00BB41C3" w:rsidP="00BB41C3">
      <w:pPr>
        <w:pStyle w:val="Beskrivning"/>
        <w:keepNext/>
      </w:pPr>
      <w:r>
        <w:lastRenderedPageBreak/>
        <w:t xml:space="preserve">Tabell </w:t>
      </w:r>
      <w:r>
        <w:fldChar w:fldCharType="begin"/>
      </w:r>
      <w:r>
        <w:instrText xml:space="preserve"> SEQ Tabell \* ARABIC </w:instrText>
      </w:r>
      <w:r>
        <w:fldChar w:fldCharType="separate"/>
      </w:r>
      <w:r>
        <w:rPr>
          <w:noProof/>
        </w:rPr>
        <w:t>1</w:t>
      </w:r>
      <w:r>
        <w:fldChar w:fldCharType="end"/>
      </w:r>
      <w:r w:rsidRPr="00BB41C3">
        <w:t xml:space="preserve"> Utvärdering av sjöfågelpopulationer som häckat i Sverige under perioden 1991-2016. För varje art visas det antal lokaler som legat till grund för TRIM-analysen, populationtrendens lutningskoefficient, dess standardfel (S.F.) samt trendens statiska stöd (p) och riktning (↑=måttlig ökning, ↑↑=kraftig ökning, ↓= måttlig minskning, ↓↓=kraftig minskning och → = stabil. Vidare visas arternas miljöstatus; indexvärdena är skalade så att medelvärdet för referensperioden 1991-2000 erhållit värdet 1,0. Det innebär exempelvis att en art med medelindex 1,2 för perioden 2011-2016 har ökat med 20% jämfört med referensperioden. För att en art ska anses ha god status ska medelindex för 2011-2016 överstiga 0,8 (0,7 för arter som ägger</w:t>
      </w:r>
      <w:r w:rsidR="001F5670">
        <w:t xml:space="preserve"> e</w:t>
      </w:r>
      <w:r w:rsidRPr="00BB41C3">
        <w:t>tt ägg). God status indikeras i ljusgrönt, dålig i rött. Arter som ökat med mer än 30% anses trots den kraftiga ökningen att uppvisa god status, men här visas statusen i mörkgrönt.</w:t>
      </w:r>
    </w:p>
    <w:p w14:paraId="64B88576" w14:textId="653F8093" w:rsidR="00BD52B7" w:rsidRDefault="00BD52B7" w:rsidP="00BD52B7">
      <w:pPr>
        <w:pStyle w:val="Brdtext"/>
        <w:jc w:val="both"/>
      </w:pPr>
      <w:r w:rsidRPr="00BD52B7">
        <w:drawing>
          <wp:inline distT="0" distB="0" distL="0" distR="0" wp14:anchorId="2AE0A58F" wp14:editId="1A1448C5">
            <wp:extent cx="4420800" cy="68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0800" cy="6840000"/>
                    </a:xfrm>
                    <a:prstGeom prst="rect">
                      <a:avLst/>
                    </a:prstGeom>
                    <a:noFill/>
                    <a:ln>
                      <a:noFill/>
                    </a:ln>
                  </pic:spPr>
                </pic:pic>
              </a:graphicData>
            </a:graphic>
          </wp:inline>
        </w:drawing>
      </w:r>
      <w:r>
        <w:rPr>
          <w:rStyle w:val="Fotnotsreferens"/>
        </w:rPr>
        <w:footnoteReference w:id="1"/>
      </w:r>
    </w:p>
    <w:p w14:paraId="15A52F9B" w14:textId="041B9FE2" w:rsidR="00E13817" w:rsidRDefault="00E13817">
      <w:pPr>
        <w:tabs>
          <w:tab w:val="clear" w:pos="5041"/>
        </w:tabs>
        <w:spacing w:after="0"/>
        <w:rPr>
          <w:rFonts w:asciiTheme="majorHAnsi" w:eastAsiaTheme="minorHAnsi" w:hAnsiTheme="majorHAnsi" w:cstheme="majorHAnsi"/>
          <w:b/>
          <w:sz w:val="22"/>
          <w:szCs w:val="22"/>
          <w:lang w:eastAsia="en-US"/>
        </w:rPr>
      </w:pPr>
    </w:p>
    <w:p w14:paraId="7D2009C6" w14:textId="77777777" w:rsidR="00E13817" w:rsidRPr="004B7657" w:rsidRDefault="0070387B" w:rsidP="0009349B">
      <w:pPr>
        <w:pStyle w:val="Brdtext"/>
        <w:rPr>
          <w:rFonts w:asciiTheme="majorHAnsi" w:hAnsiTheme="majorHAnsi" w:cstheme="majorHAnsi"/>
          <w:b/>
          <w:sz w:val="24"/>
          <w:szCs w:val="24"/>
        </w:rPr>
      </w:pPr>
      <w:r w:rsidRPr="004B7657">
        <w:rPr>
          <w:rFonts w:asciiTheme="majorHAnsi" w:hAnsiTheme="majorHAnsi" w:cstheme="majorHAnsi"/>
          <w:b/>
          <w:sz w:val="24"/>
          <w:szCs w:val="24"/>
        </w:rPr>
        <w:t>Sektion 1 Del 2</w:t>
      </w:r>
      <w:r w:rsidR="001A460F" w:rsidRPr="004B7657">
        <w:rPr>
          <w:rFonts w:asciiTheme="majorHAnsi" w:hAnsiTheme="majorHAnsi" w:cstheme="majorHAnsi"/>
          <w:b/>
          <w:sz w:val="24"/>
          <w:szCs w:val="24"/>
        </w:rPr>
        <w:t xml:space="preserve">. </w:t>
      </w:r>
      <w:r w:rsidR="00D44830" w:rsidRPr="004B7657">
        <w:rPr>
          <w:rFonts w:asciiTheme="majorHAnsi" w:hAnsiTheme="majorHAnsi" w:cstheme="majorHAnsi"/>
          <w:b/>
          <w:sz w:val="24"/>
          <w:szCs w:val="24"/>
        </w:rPr>
        <w:t>D</w:t>
      </w:r>
      <w:r w:rsidR="001A460F" w:rsidRPr="004B7657">
        <w:rPr>
          <w:rFonts w:asciiTheme="majorHAnsi" w:hAnsiTheme="majorHAnsi" w:cstheme="majorHAnsi"/>
          <w:b/>
          <w:sz w:val="24"/>
          <w:szCs w:val="24"/>
        </w:rPr>
        <w:t>etaljerad info</w:t>
      </w:r>
      <w:r w:rsidR="00D44830" w:rsidRPr="004B7657">
        <w:rPr>
          <w:rFonts w:asciiTheme="majorHAnsi" w:hAnsiTheme="majorHAnsi" w:cstheme="majorHAnsi"/>
          <w:b/>
          <w:sz w:val="24"/>
          <w:szCs w:val="24"/>
        </w:rPr>
        <w:t>rmation</w:t>
      </w:r>
    </w:p>
    <w:p w14:paraId="5123E12C" w14:textId="77777777" w:rsidR="00E13817" w:rsidRDefault="001A460F" w:rsidP="0009349B">
      <w:pPr>
        <w:pStyle w:val="Brdtext"/>
        <w:rPr>
          <w:rFonts w:asciiTheme="minorHAnsi" w:hAnsiTheme="minorHAnsi" w:cstheme="majorHAnsi"/>
        </w:rPr>
      </w:pPr>
      <w:r w:rsidRPr="004B7657">
        <w:rPr>
          <w:rFonts w:asciiTheme="minorHAnsi" w:hAnsiTheme="minorHAnsi" w:cstheme="majorHAnsi"/>
        </w:rPr>
        <w:t>A.</w:t>
      </w:r>
      <w:r>
        <w:rPr>
          <w:rFonts w:asciiTheme="minorHAnsi" w:hAnsiTheme="minorHAnsi" w:cstheme="majorHAnsi"/>
        </w:rPr>
        <w:t xml:space="preserve"> Policyrelevans.</w:t>
      </w:r>
    </w:p>
    <w:tbl>
      <w:tblPr>
        <w:tblStyle w:val="Tabellrutnt"/>
        <w:tblW w:w="0" w:type="auto"/>
        <w:tblLook w:val="04A0" w:firstRow="1" w:lastRow="0" w:firstColumn="1" w:lastColumn="0" w:noHBand="0" w:noVBand="1"/>
      </w:tblPr>
      <w:tblGrid>
        <w:gridCol w:w="1819"/>
        <w:gridCol w:w="1829"/>
        <w:gridCol w:w="1812"/>
        <w:gridCol w:w="1802"/>
        <w:gridCol w:w="1800"/>
      </w:tblGrid>
      <w:tr w:rsidR="001A460F" w14:paraId="5373D97B" w14:textId="77777777" w:rsidTr="00BD52B7">
        <w:tc>
          <w:tcPr>
            <w:tcW w:w="1819" w:type="dxa"/>
          </w:tcPr>
          <w:p w14:paraId="688232B8" w14:textId="14D05857" w:rsidR="001A460F" w:rsidRDefault="001A460F" w:rsidP="0009349B">
            <w:pPr>
              <w:pStyle w:val="Brdtext"/>
              <w:rPr>
                <w:rFonts w:asciiTheme="minorHAnsi" w:hAnsiTheme="minorHAnsi" w:cstheme="majorHAnsi"/>
              </w:rPr>
            </w:pPr>
            <w:r>
              <w:rPr>
                <w:rFonts w:asciiTheme="minorHAnsi" w:hAnsiTheme="minorHAnsi" w:cstheme="majorHAnsi"/>
              </w:rPr>
              <w:t>MSFD</w:t>
            </w:r>
            <w:r w:rsidR="00BD52B7">
              <w:rPr>
                <w:rFonts w:asciiTheme="minorHAnsi" w:hAnsiTheme="minorHAnsi" w:cstheme="majorHAnsi"/>
              </w:rPr>
              <w:t xml:space="preserve"> – kriterium</w:t>
            </w:r>
          </w:p>
        </w:tc>
        <w:tc>
          <w:tcPr>
            <w:tcW w:w="1829" w:type="dxa"/>
          </w:tcPr>
          <w:p w14:paraId="65E09F99" w14:textId="520F0790" w:rsidR="001A460F" w:rsidRDefault="001A460F" w:rsidP="0009349B">
            <w:pPr>
              <w:pStyle w:val="Brdtext"/>
              <w:rPr>
                <w:rFonts w:asciiTheme="minorHAnsi" w:hAnsiTheme="minorHAnsi" w:cstheme="majorHAnsi"/>
              </w:rPr>
            </w:pPr>
            <w:r>
              <w:rPr>
                <w:rFonts w:asciiTheme="minorHAnsi" w:hAnsiTheme="minorHAnsi" w:cstheme="majorHAnsi"/>
              </w:rPr>
              <w:t>WFD</w:t>
            </w:r>
            <w:r w:rsidR="00BD52B7">
              <w:rPr>
                <w:rFonts w:asciiTheme="minorHAnsi" w:hAnsiTheme="minorHAnsi" w:cstheme="majorHAnsi"/>
              </w:rPr>
              <w:t xml:space="preserve"> - kvalitetsnorm</w:t>
            </w:r>
          </w:p>
        </w:tc>
        <w:tc>
          <w:tcPr>
            <w:tcW w:w="1812" w:type="dxa"/>
          </w:tcPr>
          <w:p w14:paraId="755799DA" w14:textId="77777777" w:rsidR="001A460F" w:rsidRDefault="001A460F" w:rsidP="0009349B">
            <w:pPr>
              <w:pStyle w:val="Brdtext"/>
              <w:rPr>
                <w:rFonts w:asciiTheme="minorHAnsi" w:hAnsiTheme="minorHAnsi" w:cstheme="majorHAnsi"/>
              </w:rPr>
            </w:pPr>
            <w:r>
              <w:rPr>
                <w:rFonts w:asciiTheme="minorHAnsi" w:hAnsiTheme="minorHAnsi" w:cstheme="majorHAnsi"/>
              </w:rPr>
              <w:t>Miljömål</w:t>
            </w:r>
          </w:p>
        </w:tc>
        <w:tc>
          <w:tcPr>
            <w:tcW w:w="1802" w:type="dxa"/>
          </w:tcPr>
          <w:p w14:paraId="3CB64844" w14:textId="77777777" w:rsidR="001A460F" w:rsidRDefault="001A460F" w:rsidP="0009349B">
            <w:pPr>
              <w:pStyle w:val="Brdtext"/>
              <w:rPr>
                <w:rFonts w:asciiTheme="minorHAnsi" w:hAnsiTheme="minorHAnsi" w:cstheme="majorHAnsi"/>
              </w:rPr>
            </w:pPr>
            <w:r>
              <w:rPr>
                <w:rFonts w:asciiTheme="minorHAnsi" w:hAnsiTheme="minorHAnsi" w:cstheme="majorHAnsi"/>
              </w:rPr>
              <w:t>BSAP</w:t>
            </w:r>
          </w:p>
        </w:tc>
        <w:tc>
          <w:tcPr>
            <w:tcW w:w="1800" w:type="dxa"/>
          </w:tcPr>
          <w:p w14:paraId="37FF2D26" w14:textId="4E5678A4" w:rsidR="001A460F" w:rsidRDefault="001A460F" w:rsidP="0009349B">
            <w:pPr>
              <w:pStyle w:val="Brdtext"/>
              <w:rPr>
                <w:rFonts w:asciiTheme="minorHAnsi" w:hAnsiTheme="minorHAnsi" w:cstheme="majorHAnsi"/>
              </w:rPr>
            </w:pPr>
          </w:p>
        </w:tc>
      </w:tr>
      <w:tr w:rsidR="00CB57D2" w14:paraId="7CDA788E" w14:textId="77777777" w:rsidTr="00BD52B7">
        <w:tc>
          <w:tcPr>
            <w:tcW w:w="1819" w:type="dxa"/>
          </w:tcPr>
          <w:p w14:paraId="05613467" w14:textId="3AC537F1" w:rsidR="00CB57D2" w:rsidRDefault="00BD52B7" w:rsidP="0009349B">
            <w:pPr>
              <w:pStyle w:val="Brdtext"/>
              <w:rPr>
                <w:rFonts w:asciiTheme="minorHAnsi" w:hAnsiTheme="minorHAnsi" w:cstheme="majorHAnsi"/>
              </w:rPr>
            </w:pPr>
            <w:r>
              <w:rPr>
                <w:rFonts w:asciiTheme="minorHAnsi" w:hAnsiTheme="minorHAnsi" w:cstheme="majorHAnsi"/>
              </w:rPr>
              <w:t>D1C2</w:t>
            </w:r>
          </w:p>
        </w:tc>
        <w:tc>
          <w:tcPr>
            <w:tcW w:w="1829" w:type="dxa"/>
          </w:tcPr>
          <w:p w14:paraId="7D240850" w14:textId="0ACAE1A9" w:rsidR="00CB57D2" w:rsidRDefault="00BD52B7" w:rsidP="0009349B">
            <w:pPr>
              <w:pStyle w:val="Brdtext"/>
              <w:rPr>
                <w:rFonts w:asciiTheme="minorHAnsi" w:hAnsiTheme="minorHAnsi" w:cstheme="majorHAnsi"/>
              </w:rPr>
            </w:pPr>
            <w:r>
              <w:rPr>
                <w:rFonts w:asciiTheme="minorHAnsi" w:hAnsiTheme="minorHAnsi" w:cstheme="majorHAnsi"/>
              </w:rPr>
              <w:t>saknas</w:t>
            </w:r>
          </w:p>
        </w:tc>
        <w:tc>
          <w:tcPr>
            <w:tcW w:w="1812" w:type="dxa"/>
          </w:tcPr>
          <w:p w14:paraId="6A5FEE67" w14:textId="47ECBDFA" w:rsidR="00CB57D2" w:rsidRDefault="00BD52B7" w:rsidP="0009349B">
            <w:pPr>
              <w:pStyle w:val="Brdtext"/>
              <w:rPr>
                <w:rFonts w:asciiTheme="minorHAnsi" w:hAnsiTheme="minorHAnsi" w:cstheme="majorHAnsi"/>
              </w:rPr>
            </w:pPr>
            <w:r>
              <w:rPr>
                <w:rFonts w:asciiTheme="minorHAnsi" w:hAnsiTheme="minorHAnsi" w:cstheme="majorHAnsi"/>
              </w:rPr>
              <w:t>Hav i balans och levande</w:t>
            </w:r>
            <w:r w:rsidR="003D08BF">
              <w:rPr>
                <w:rFonts w:asciiTheme="minorHAnsi" w:hAnsiTheme="minorHAnsi" w:cstheme="majorHAnsi"/>
              </w:rPr>
              <w:t xml:space="preserve"> kust och</w:t>
            </w:r>
            <w:r>
              <w:rPr>
                <w:rFonts w:asciiTheme="minorHAnsi" w:hAnsiTheme="minorHAnsi" w:cstheme="majorHAnsi"/>
              </w:rPr>
              <w:t xml:space="preserve"> skärgård; </w:t>
            </w:r>
            <w:r w:rsidR="003D08BF">
              <w:rPr>
                <w:rFonts w:asciiTheme="minorHAnsi" w:hAnsiTheme="minorHAnsi" w:cstheme="majorHAnsi"/>
              </w:rPr>
              <w:t>Ett rikt växt- och djurliv</w:t>
            </w:r>
          </w:p>
        </w:tc>
        <w:tc>
          <w:tcPr>
            <w:tcW w:w="1802" w:type="dxa"/>
          </w:tcPr>
          <w:p w14:paraId="7D49E3AB" w14:textId="759C39A3" w:rsidR="00CB57D2" w:rsidRDefault="00CB57D2" w:rsidP="0009349B">
            <w:pPr>
              <w:pStyle w:val="Brdtext"/>
              <w:rPr>
                <w:rFonts w:asciiTheme="minorHAnsi" w:hAnsiTheme="minorHAnsi" w:cstheme="majorHAnsi"/>
              </w:rPr>
            </w:pPr>
          </w:p>
        </w:tc>
        <w:tc>
          <w:tcPr>
            <w:tcW w:w="1800" w:type="dxa"/>
          </w:tcPr>
          <w:p w14:paraId="16B019CD" w14:textId="1706A95E" w:rsidR="00CB57D2" w:rsidRDefault="00CB57D2" w:rsidP="0009349B">
            <w:pPr>
              <w:pStyle w:val="Brdtext"/>
              <w:rPr>
                <w:rFonts w:asciiTheme="minorHAnsi" w:hAnsiTheme="minorHAnsi" w:cstheme="majorHAnsi"/>
              </w:rPr>
            </w:pPr>
          </w:p>
        </w:tc>
      </w:tr>
    </w:tbl>
    <w:p w14:paraId="644FCA6F" w14:textId="77777777" w:rsidR="001A460F" w:rsidRPr="00E13817" w:rsidRDefault="001A460F" w:rsidP="0009349B">
      <w:pPr>
        <w:pStyle w:val="Brdtext"/>
        <w:rPr>
          <w:rFonts w:asciiTheme="minorHAnsi" w:hAnsiTheme="minorHAnsi" w:cstheme="majorHAnsi"/>
        </w:rPr>
      </w:pPr>
    </w:p>
    <w:p w14:paraId="6415DF0F" w14:textId="77777777" w:rsidR="00E13817" w:rsidRPr="004B7657" w:rsidRDefault="001A460F" w:rsidP="0009349B">
      <w:pPr>
        <w:pStyle w:val="Brdtext"/>
      </w:pPr>
      <w:r w:rsidRPr="004B7657">
        <w:t xml:space="preserve">B. </w:t>
      </w:r>
      <w:r w:rsidR="006F648D" w:rsidRPr="004B7657">
        <w:t>K</w:t>
      </w:r>
      <w:r w:rsidR="008C3A39" w:rsidRPr="004B7657">
        <w:t>oppling till</w:t>
      </w:r>
      <w:r w:rsidRPr="004B7657">
        <w:t xml:space="preserve"> MSFD Bilaga III</w:t>
      </w:r>
    </w:p>
    <w:tbl>
      <w:tblPr>
        <w:tblStyle w:val="Tabellrutnt"/>
        <w:tblW w:w="0" w:type="auto"/>
        <w:tblLook w:val="04A0" w:firstRow="1" w:lastRow="0" w:firstColumn="1" w:lastColumn="0" w:noHBand="0" w:noVBand="1"/>
      </w:tblPr>
      <w:tblGrid>
        <w:gridCol w:w="4533"/>
        <w:gridCol w:w="4529"/>
      </w:tblGrid>
      <w:tr w:rsidR="00773B4E" w14:paraId="4EA7F48A" w14:textId="77777777" w:rsidTr="003D08BF">
        <w:tc>
          <w:tcPr>
            <w:tcW w:w="9062" w:type="dxa"/>
            <w:gridSpan w:val="2"/>
          </w:tcPr>
          <w:p w14:paraId="361B4161" w14:textId="77777777" w:rsidR="00773B4E" w:rsidRDefault="00773B4E">
            <w:pPr>
              <w:tabs>
                <w:tab w:val="clear" w:pos="5041"/>
              </w:tabs>
              <w:spacing w:after="0"/>
            </w:pPr>
            <w:r>
              <w:t>Grundläggande förhållanden</w:t>
            </w:r>
            <w:r w:rsidR="00CB57D2">
              <w:t xml:space="preserve"> (Bilaga III, Tabell 1)</w:t>
            </w:r>
          </w:p>
        </w:tc>
      </w:tr>
      <w:tr w:rsidR="003D08BF" w14:paraId="5F42DC33" w14:textId="77777777" w:rsidTr="003D08BF">
        <w:tc>
          <w:tcPr>
            <w:tcW w:w="4533" w:type="dxa"/>
          </w:tcPr>
          <w:p w14:paraId="1C5D24DB" w14:textId="4976A99E" w:rsidR="003D08BF" w:rsidRDefault="003D08BF" w:rsidP="003D08BF">
            <w:pPr>
              <w:tabs>
                <w:tab w:val="clear" w:pos="5041"/>
              </w:tabs>
              <w:spacing w:after="0"/>
            </w:pPr>
            <w:r w:rsidRPr="00072A56">
              <w:t>Grupper av arter av marina fåglar, däggdjur, reptiler, fiskar och bläckfiskar i den marina regionen eller delregionen</w:t>
            </w:r>
          </w:p>
        </w:tc>
        <w:tc>
          <w:tcPr>
            <w:tcW w:w="4529" w:type="dxa"/>
          </w:tcPr>
          <w:p w14:paraId="24189CC4" w14:textId="44B641ED" w:rsidR="003D08BF" w:rsidRDefault="003D08BF" w:rsidP="003D08BF">
            <w:pPr>
              <w:tabs>
                <w:tab w:val="clear" w:pos="5041"/>
              </w:tabs>
              <w:spacing w:after="0"/>
            </w:pPr>
            <w:r w:rsidRPr="00072A56">
              <w:t>Geografisk och tidsmässig variation per art eller population:</w:t>
            </w:r>
            <w:r>
              <w:t xml:space="preserve"> </w:t>
            </w:r>
            <w:r w:rsidRPr="00072A56">
              <w:t>utbredning, abundans och/eller biomassa</w:t>
            </w:r>
            <w:r>
              <w:t xml:space="preserve"> </w:t>
            </w:r>
          </w:p>
        </w:tc>
      </w:tr>
      <w:tr w:rsidR="00773B4E" w14:paraId="4A33B269" w14:textId="77777777" w:rsidTr="003D08BF">
        <w:tc>
          <w:tcPr>
            <w:tcW w:w="9062" w:type="dxa"/>
            <w:gridSpan w:val="2"/>
          </w:tcPr>
          <w:p w14:paraId="230677EE" w14:textId="77777777" w:rsidR="00773B4E" w:rsidRDefault="00773B4E">
            <w:pPr>
              <w:tabs>
                <w:tab w:val="clear" w:pos="5041"/>
              </w:tabs>
              <w:spacing w:after="0"/>
            </w:pPr>
            <w:r>
              <w:t>Belastning och påverkan</w:t>
            </w:r>
            <w:r w:rsidR="00CB57D2">
              <w:t xml:space="preserve"> (Bilaga III, Tabell 2)</w:t>
            </w:r>
          </w:p>
        </w:tc>
      </w:tr>
      <w:tr w:rsidR="003D08BF" w14:paraId="5A9AC418" w14:textId="77777777" w:rsidTr="003D08BF">
        <w:tc>
          <w:tcPr>
            <w:tcW w:w="4533" w:type="dxa"/>
          </w:tcPr>
          <w:p w14:paraId="70D57422" w14:textId="490DA558" w:rsidR="003D08BF" w:rsidRDefault="003D08BF" w:rsidP="003D08BF">
            <w:pPr>
              <w:tabs>
                <w:tab w:val="clear" w:pos="5041"/>
              </w:tabs>
              <w:spacing w:after="0"/>
            </w:pPr>
            <w:r w:rsidRPr="00072A56">
              <w:t xml:space="preserve">Biologiskt </w:t>
            </w:r>
          </w:p>
        </w:tc>
        <w:tc>
          <w:tcPr>
            <w:tcW w:w="4529" w:type="dxa"/>
          </w:tcPr>
          <w:p w14:paraId="0980BD5A" w14:textId="77777777" w:rsidR="003D08BF" w:rsidRDefault="003D08BF" w:rsidP="003D08BF">
            <w:pPr>
              <w:tabs>
                <w:tab w:val="clear" w:pos="5041"/>
              </w:tabs>
              <w:spacing w:after="0"/>
            </w:pPr>
            <w:r w:rsidRPr="00072A56">
              <w:t>Uttag av, eller dödlighet/skada hos, vilda arter, däribland mål- och icke-målarter (genom yrkes- och fritidsfiske och annan verksamhet)</w:t>
            </w:r>
          </w:p>
          <w:p w14:paraId="2AECE1CA" w14:textId="77777777" w:rsidR="003D08BF" w:rsidRDefault="003D08BF" w:rsidP="003D08BF">
            <w:pPr>
              <w:tabs>
                <w:tab w:val="clear" w:pos="5041"/>
              </w:tabs>
              <w:spacing w:after="0"/>
            </w:pPr>
          </w:p>
          <w:p w14:paraId="47D53D3A" w14:textId="5C9ECFC8" w:rsidR="003D08BF" w:rsidRDefault="003D08BF" w:rsidP="003D08BF">
            <w:pPr>
              <w:tabs>
                <w:tab w:val="clear" w:pos="5041"/>
              </w:tabs>
              <w:spacing w:after="0"/>
            </w:pPr>
            <w:r w:rsidRPr="00072A56">
              <w:t>Störning av arter (t.ex. i lek- rast- och födosöksområden) på grund av mänsklig närvaro</w:t>
            </w:r>
          </w:p>
        </w:tc>
      </w:tr>
      <w:tr w:rsidR="003D08BF" w14:paraId="377A5909" w14:textId="77777777" w:rsidTr="003D08BF">
        <w:tc>
          <w:tcPr>
            <w:tcW w:w="4533" w:type="dxa"/>
          </w:tcPr>
          <w:p w14:paraId="73AEF8D7" w14:textId="4722F6FE" w:rsidR="003D08BF" w:rsidRPr="00072A56" w:rsidRDefault="003D08BF" w:rsidP="003D08BF">
            <w:pPr>
              <w:tabs>
                <w:tab w:val="clear" w:pos="5041"/>
              </w:tabs>
              <w:spacing w:after="0"/>
            </w:pPr>
            <w:r w:rsidRPr="00072A56">
              <w:t>Ämnen, skräp och energi</w:t>
            </w:r>
          </w:p>
        </w:tc>
        <w:tc>
          <w:tcPr>
            <w:tcW w:w="4529" w:type="dxa"/>
          </w:tcPr>
          <w:p w14:paraId="236A3E13" w14:textId="77777777" w:rsidR="003D08BF" w:rsidRDefault="003D08BF" w:rsidP="003D08BF">
            <w:pPr>
              <w:tabs>
                <w:tab w:val="clear" w:pos="5041"/>
              </w:tabs>
              <w:spacing w:after="0"/>
            </w:pPr>
            <w:r w:rsidRPr="00072A56">
              <w:t>Tillförsel av farliga ämnen (syntetiska ämnen, icke syntetiska ämnen, radionuklider) – diffusa källor, punktkällor, atmosfärisk deposition, akuta händelser</w:t>
            </w:r>
          </w:p>
          <w:p w14:paraId="3DDC238A" w14:textId="77777777" w:rsidR="003D08BF" w:rsidRDefault="003D08BF" w:rsidP="003D08BF">
            <w:pPr>
              <w:tabs>
                <w:tab w:val="clear" w:pos="5041"/>
              </w:tabs>
              <w:spacing w:after="0"/>
            </w:pPr>
          </w:p>
          <w:p w14:paraId="3F9F561B" w14:textId="299CD22F" w:rsidR="003D08BF" w:rsidRDefault="003D08BF" w:rsidP="003D08BF">
            <w:pPr>
              <w:tabs>
                <w:tab w:val="clear" w:pos="5041"/>
              </w:tabs>
              <w:spacing w:after="0"/>
            </w:pPr>
            <w:r w:rsidRPr="00072A56">
              <w:t>Påverkan av antropogent ljud (impulsljud, kontinuerligt ljud)</w:t>
            </w:r>
          </w:p>
          <w:p w14:paraId="00382A1F" w14:textId="6ACE0D0B" w:rsidR="0051473D" w:rsidRDefault="0051473D" w:rsidP="003D08BF">
            <w:pPr>
              <w:tabs>
                <w:tab w:val="clear" w:pos="5041"/>
              </w:tabs>
              <w:spacing w:after="0"/>
            </w:pPr>
          </w:p>
          <w:p w14:paraId="7DD75DFF" w14:textId="59D36410" w:rsidR="0051473D" w:rsidRDefault="0051473D" w:rsidP="003D08BF">
            <w:pPr>
              <w:tabs>
                <w:tab w:val="clear" w:pos="5041"/>
              </w:tabs>
              <w:spacing w:after="0"/>
            </w:pPr>
            <w:r w:rsidRPr="0051473D">
              <w:t>Tillförsel av avfall (fastavfall, inbegripet mikroavfall)</w:t>
            </w:r>
          </w:p>
          <w:p w14:paraId="1DB2B1C6" w14:textId="5CE5358F" w:rsidR="0051473D" w:rsidRDefault="0051473D" w:rsidP="003D08BF">
            <w:pPr>
              <w:tabs>
                <w:tab w:val="clear" w:pos="5041"/>
              </w:tabs>
              <w:spacing w:after="0"/>
            </w:pPr>
          </w:p>
          <w:p w14:paraId="1A8D3D6E" w14:textId="26B22CC4" w:rsidR="003D08BF" w:rsidRPr="00072A56" w:rsidRDefault="0051473D" w:rsidP="003D08BF">
            <w:pPr>
              <w:tabs>
                <w:tab w:val="clear" w:pos="5041"/>
              </w:tabs>
              <w:spacing w:after="0"/>
            </w:pPr>
            <w:r w:rsidRPr="0051473D">
              <w:t>Tillförsel av andra former av energi (inbegripet elektromagnetiska fält, ljus och värme)</w:t>
            </w:r>
          </w:p>
        </w:tc>
      </w:tr>
    </w:tbl>
    <w:p w14:paraId="7E61A761" w14:textId="77777777" w:rsidR="00A84F48" w:rsidRDefault="00A84F48">
      <w:pPr>
        <w:tabs>
          <w:tab w:val="clear" w:pos="5041"/>
        </w:tabs>
        <w:spacing w:after="0"/>
      </w:pPr>
    </w:p>
    <w:p w14:paraId="035F2C34" w14:textId="77777777" w:rsidR="00A84F48" w:rsidRDefault="00A84F48">
      <w:pPr>
        <w:tabs>
          <w:tab w:val="clear" w:pos="5041"/>
        </w:tabs>
        <w:spacing w:after="0"/>
      </w:pPr>
    </w:p>
    <w:p w14:paraId="752F7305" w14:textId="77777777" w:rsidR="005D132C" w:rsidRDefault="005D132C">
      <w:pPr>
        <w:tabs>
          <w:tab w:val="clear" w:pos="5041"/>
        </w:tabs>
        <w:spacing w:after="0"/>
      </w:pPr>
      <w:r>
        <w:t>C. Ingående parametrar, övervakning och dataägare</w:t>
      </w:r>
    </w:p>
    <w:tbl>
      <w:tblPr>
        <w:tblStyle w:val="Tabellrutnt"/>
        <w:tblW w:w="0" w:type="auto"/>
        <w:tblLayout w:type="fixed"/>
        <w:tblLook w:val="04A0" w:firstRow="1" w:lastRow="0" w:firstColumn="1" w:lastColumn="0" w:noHBand="0" w:noVBand="1"/>
      </w:tblPr>
      <w:tblGrid>
        <w:gridCol w:w="2376"/>
        <w:gridCol w:w="2114"/>
        <w:gridCol w:w="2293"/>
        <w:gridCol w:w="2293"/>
      </w:tblGrid>
      <w:tr w:rsidR="00544886" w14:paraId="0AEBA933" w14:textId="77777777" w:rsidTr="00BB41C3">
        <w:trPr>
          <w:trHeight w:val="1694"/>
        </w:trPr>
        <w:tc>
          <w:tcPr>
            <w:tcW w:w="2376" w:type="dxa"/>
          </w:tcPr>
          <w:p w14:paraId="385C867F" w14:textId="77777777" w:rsidR="00544886" w:rsidRDefault="00544886">
            <w:pPr>
              <w:tabs>
                <w:tab w:val="clear" w:pos="5041"/>
              </w:tabs>
              <w:spacing w:after="0"/>
            </w:pPr>
            <w:r>
              <w:lastRenderedPageBreak/>
              <w:t>Parameter</w:t>
            </w:r>
          </w:p>
        </w:tc>
        <w:tc>
          <w:tcPr>
            <w:tcW w:w="2114" w:type="dxa"/>
          </w:tcPr>
          <w:p w14:paraId="50A07D65" w14:textId="77777777" w:rsidR="00544886" w:rsidRDefault="00544886">
            <w:pPr>
              <w:tabs>
                <w:tab w:val="clear" w:pos="5041"/>
              </w:tabs>
              <w:spacing w:after="0"/>
            </w:pPr>
            <w:r>
              <w:t>Program resp. underprogram i HaVs övervakningsprogram</w:t>
            </w:r>
          </w:p>
        </w:tc>
        <w:tc>
          <w:tcPr>
            <w:tcW w:w="2293" w:type="dxa"/>
          </w:tcPr>
          <w:p w14:paraId="37F75B91" w14:textId="77777777" w:rsidR="00544886" w:rsidRDefault="00544886" w:rsidP="00544886">
            <w:pPr>
              <w:tabs>
                <w:tab w:val="clear" w:pos="5041"/>
              </w:tabs>
              <w:spacing w:after="0"/>
            </w:pPr>
            <w:r>
              <w:t>Dataägare samt databas med hyperlänk</w:t>
            </w:r>
          </w:p>
        </w:tc>
        <w:tc>
          <w:tcPr>
            <w:tcW w:w="2293" w:type="dxa"/>
          </w:tcPr>
          <w:p w14:paraId="27809548" w14:textId="77777777" w:rsidR="00544886" w:rsidRDefault="00544886" w:rsidP="00544886">
            <w:pPr>
              <w:tabs>
                <w:tab w:val="clear" w:pos="5041"/>
              </w:tabs>
              <w:spacing w:after="0"/>
            </w:pPr>
            <w:r>
              <w:t>Hyperlänk till rådata-snapshot</w:t>
            </w:r>
          </w:p>
        </w:tc>
      </w:tr>
      <w:tr w:rsidR="00544886" w14:paraId="566BA2CA" w14:textId="77777777" w:rsidTr="00BB41C3">
        <w:trPr>
          <w:trHeight w:val="277"/>
        </w:trPr>
        <w:tc>
          <w:tcPr>
            <w:tcW w:w="2376" w:type="dxa"/>
          </w:tcPr>
          <w:p w14:paraId="0DC6CC4B" w14:textId="77777777" w:rsidR="00544886" w:rsidRPr="0034175C" w:rsidRDefault="00544886">
            <w:pPr>
              <w:tabs>
                <w:tab w:val="clear" w:pos="5041"/>
              </w:tabs>
              <w:spacing w:after="0"/>
              <w:rPr>
                <w:i/>
              </w:rPr>
            </w:pPr>
            <w:r>
              <w:rPr>
                <w:i/>
              </w:rPr>
              <w:t>i</w:t>
            </w:r>
          </w:p>
        </w:tc>
        <w:tc>
          <w:tcPr>
            <w:tcW w:w="2114" w:type="dxa"/>
          </w:tcPr>
          <w:p w14:paraId="1E9806A8" w14:textId="77777777" w:rsidR="00544886" w:rsidRDefault="00544886">
            <w:pPr>
              <w:tabs>
                <w:tab w:val="clear" w:pos="5041"/>
              </w:tabs>
              <w:spacing w:after="0"/>
            </w:pPr>
          </w:p>
        </w:tc>
        <w:tc>
          <w:tcPr>
            <w:tcW w:w="2293" w:type="dxa"/>
          </w:tcPr>
          <w:p w14:paraId="4944115B" w14:textId="77777777" w:rsidR="00544886" w:rsidRDefault="00544886">
            <w:pPr>
              <w:tabs>
                <w:tab w:val="clear" w:pos="5041"/>
              </w:tabs>
              <w:spacing w:after="0"/>
            </w:pPr>
          </w:p>
        </w:tc>
        <w:tc>
          <w:tcPr>
            <w:tcW w:w="2293" w:type="dxa"/>
          </w:tcPr>
          <w:p w14:paraId="535A9DFC" w14:textId="77777777" w:rsidR="00544886" w:rsidRDefault="00544886">
            <w:pPr>
              <w:tabs>
                <w:tab w:val="clear" w:pos="5041"/>
              </w:tabs>
              <w:spacing w:after="0"/>
            </w:pPr>
          </w:p>
        </w:tc>
      </w:tr>
      <w:tr w:rsidR="00544886" w14:paraId="0299910B" w14:textId="77777777" w:rsidTr="00BB41C3">
        <w:trPr>
          <w:trHeight w:val="293"/>
        </w:trPr>
        <w:tc>
          <w:tcPr>
            <w:tcW w:w="2376" w:type="dxa"/>
          </w:tcPr>
          <w:p w14:paraId="7A50FBD7" w14:textId="77777777" w:rsidR="00544886" w:rsidRDefault="00544886">
            <w:pPr>
              <w:tabs>
                <w:tab w:val="clear" w:pos="5041"/>
              </w:tabs>
              <w:spacing w:after="0"/>
            </w:pPr>
            <w:r>
              <w:t>…</w:t>
            </w:r>
          </w:p>
        </w:tc>
        <w:tc>
          <w:tcPr>
            <w:tcW w:w="2114" w:type="dxa"/>
          </w:tcPr>
          <w:p w14:paraId="0FDA6CDB" w14:textId="77777777" w:rsidR="00544886" w:rsidRDefault="00544886">
            <w:pPr>
              <w:tabs>
                <w:tab w:val="clear" w:pos="5041"/>
              </w:tabs>
              <w:spacing w:after="0"/>
            </w:pPr>
          </w:p>
        </w:tc>
        <w:tc>
          <w:tcPr>
            <w:tcW w:w="2293" w:type="dxa"/>
          </w:tcPr>
          <w:p w14:paraId="498EC9E0" w14:textId="77777777" w:rsidR="00544886" w:rsidRDefault="00544886">
            <w:pPr>
              <w:tabs>
                <w:tab w:val="clear" w:pos="5041"/>
              </w:tabs>
              <w:spacing w:after="0"/>
            </w:pPr>
          </w:p>
        </w:tc>
        <w:tc>
          <w:tcPr>
            <w:tcW w:w="2293" w:type="dxa"/>
          </w:tcPr>
          <w:p w14:paraId="05E378AF" w14:textId="77777777" w:rsidR="00544886" w:rsidRDefault="00544886">
            <w:pPr>
              <w:tabs>
                <w:tab w:val="clear" w:pos="5041"/>
              </w:tabs>
              <w:spacing w:after="0"/>
            </w:pPr>
          </w:p>
        </w:tc>
      </w:tr>
    </w:tbl>
    <w:p w14:paraId="585E00B4" w14:textId="77777777" w:rsidR="005D132C" w:rsidRDefault="005D132C">
      <w:pPr>
        <w:tabs>
          <w:tab w:val="clear" w:pos="5041"/>
        </w:tabs>
        <w:spacing w:after="0"/>
      </w:pPr>
    </w:p>
    <w:p w14:paraId="294DCB97" w14:textId="77777777" w:rsidR="005D132C" w:rsidRDefault="005D132C">
      <w:pPr>
        <w:tabs>
          <w:tab w:val="clear" w:pos="5041"/>
        </w:tabs>
        <w:spacing w:after="0"/>
      </w:pPr>
    </w:p>
    <w:p w14:paraId="2888344D" w14:textId="77777777" w:rsidR="005D132C" w:rsidRDefault="005D132C">
      <w:pPr>
        <w:tabs>
          <w:tab w:val="clear" w:pos="5041"/>
        </w:tabs>
        <w:spacing w:after="0"/>
      </w:pPr>
    </w:p>
    <w:p w14:paraId="0C4B3CA7" w14:textId="77777777" w:rsidR="00804DBE" w:rsidRDefault="00804DBE">
      <w:pPr>
        <w:tabs>
          <w:tab w:val="clear" w:pos="5041"/>
        </w:tabs>
        <w:spacing w:after="0"/>
      </w:pPr>
      <w:r>
        <w:br w:type="page"/>
      </w:r>
    </w:p>
    <w:p w14:paraId="3D627B81" w14:textId="77777777" w:rsidR="00A84F48" w:rsidRDefault="0070387B" w:rsidP="004B7657">
      <w:pPr>
        <w:tabs>
          <w:tab w:val="clear" w:pos="5041"/>
        </w:tabs>
      </w:pPr>
      <w:r>
        <w:lastRenderedPageBreak/>
        <w:t>D</w:t>
      </w:r>
      <w:r w:rsidR="00A84F48">
        <w:t>. Bedömningsområden</w:t>
      </w:r>
      <w:r w:rsidR="00804DBE">
        <w:t xml:space="preserve">, </w:t>
      </w:r>
      <w:r w:rsidR="00B7632E">
        <w:t xml:space="preserve">med </w:t>
      </w:r>
      <w:r w:rsidR="008B1796">
        <w:t>tröskel</w:t>
      </w:r>
      <w:r w:rsidR="00804DBE">
        <w:t>värde</w:t>
      </w:r>
      <w:r>
        <w:t>(</w:t>
      </w:r>
      <w:r w:rsidR="00804DBE">
        <w:t>n</w:t>
      </w:r>
      <w:r>
        <w:t>)</w:t>
      </w:r>
      <w:r w:rsidR="00B7632E">
        <w:t>,</w:t>
      </w:r>
      <w:r w:rsidR="008B1796">
        <w:t xml:space="preserve"> observerade värden</w:t>
      </w:r>
      <w:r w:rsidR="00A84F48">
        <w:t xml:space="preserve"> och bedömning</w:t>
      </w:r>
    </w:p>
    <w:tbl>
      <w:tblPr>
        <w:tblStyle w:val="Tabellrutnt"/>
        <w:tblW w:w="4847" w:type="pct"/>
        <w:tblLayout w:type="fixed"/>
        <w:tblCellMar>
          <w:top w:w="28" w:type="dxa"/>
          <w:bottom w:w="28" w:type="dxa"/>
        </w:tblCellMar>
        <w:tblLook w:val="04A0" w:firstRow="1" w:lastRow="0" w:firstColumn="1" w:lastColumn="0" w:noHBand="0" w:noVBand="1"/>
      </w:tblPr>
      <w:tblGrid>
        <w:gridCol w:w="2546"/>
        <w:gridCol w:w="1562"/>
        <w:gridCol w:w="1416"/>
        <w:gridCol w:w="1703"/>
        <w:gridCol w:w="1558"/>
      </w:tblGrid>
      <w:tr w:rsidR="001F5670" w14:paraId="47D2329B" w14:textId="77777777" w:rsidTr="007F2BA8">
        <w:tc>
          <w:tcPr>
            <w:tcW w:w="1449" w:type="pct"/>
          </w:tcPr>
          <w:p w14:paraId="7A114587" w14:textId="0D56725D" w:rsidR="00DD2762" w:rsidRPr="00D44830" w:rsidRDefault="00DD2762" w:rsidP="0051473D">
            <w:pPr>
              <w:tabs>
                <w:tab w:val="clear" w:pos="5041"/>
              </w:tabs>
              <w:spacing w:after="0"/>
              <w:rPr>
                <w:rFonts w:asciiTheme="majorHAnsi" w:hAnsiTheme="majorHAnsi" w:cstheme="majorHAnsi"/>
                <w:b/>
                <w:sz w:val="20"/>
                <w:szCs w:val="20"/>
              </w:rPr>
            </w:pPr>
            <w:r w:rsidRPr="00D44830">
              <w:rPr>
                <w:rFonts w:asciiTheme="majorHAnsi" w:hAnsiTheme="majorHAnsi" w:cstheme="majorHAnsi"/>
                <w:b/>
                <w:sz w:val="20"/>
                <w:szCs w:val="20"/>
              </w:rPr>
              <w:t>Bedömningsområde</w:t>
            </w:r>
            <w:r>
              <w:rPr>
                <w:rFonts w:asciiTheme="majorHAnsi" w:hAnsiTheme="majorHAnsi" w:cstheme="majorHAnsi"/>
                <w:b/>
                <w:sz w:val="20"/>
                <w:szCs w:val="20"/>
              </w:rPr>
              <w:t xml:space="preserve"> Västerhavet</w:t>
            </w:r>
            <w:r w:rsidR="0051473D">
              <w:rPr>
                <w:rFonts w:asciiTheme="majorHAnsi" w:hAnsiTheme="majorHAnsi" w:cstheme="majorHAnsi"/>
                <w:b/>
                <w:sz w:val="20"/>
                <w:szCs w:val="20"/>
              </w:rPr>
              <w:t>+Östersjön</w:t>
            </w:r>
          </w:p>
        </w:tc>
        <w:tc>
          <w:tcPr>
            <w:tcW w:w="889" w:type="pct"/>
          </w:tcPr>
          <w:p w14:paraId="03A53F83" w14:textId="77777777" w:rsidR="00DD2762" w:rsidRPr="00D44830" w:rsidRDefault="00DD2762"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806" w:type="pct"/>
          </w:tcPr>
          <w:p w14:paraId="7582349E" w14:textId="77777777" w:rsidR="00DD2762" w:rsidRPr="00D44830" w:rsidRDefault="00DD2762"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969" w:type="pct"/>
          </w:tcPr>
          <w:p w14:paraId="1F297BCD" w14:textId="77777777" w:rsidR="00DD2762" w:rsidRDefault="00DD2762"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887" w:type="pct"/>
          </w:tcPr>
          <w:p w14:paraId="157F1841" w14:textId="77777777" w:rsidR="00DD2762" w:rsidRDefault="00DD2762"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1F5670" w14:paraId="2CFA261D" w14:textId="77777777" w:rsidTr="007F2BA8">
        <w:trPr>
          <w:trHeight w:val="444"/>
        </w:trPr>
        <w:tc>
          <w:tcPr>
            <w:tcW w:w="1449" w:type="pct"/>
            <w:vAlign w:val="center"/>
          </w:tcPr>
          <w:p w14:paraId="65EC389A" w14:textId="0001EBB0" w:rsidR="00DD2762" w:rsidRPr="004B7657" w:rsidRDefault="0051473D" w:rsidP="00D05BBE">
            <w:pPr>
              <w:tabs>
                <w:tab w:val="clear" w:pos="5041"/>
              </w:tabs>
              <w:spacing w:after="0"/>
              <w:rPr>
                <w:rFonts w:asciiTheme="minorHAnsi" w:hAnsiTheme="minorHAnsi" w:cstheme="majorHAnsi"/>
                <w:b/>
                <w:sz w:val="20"/>
                <w:szCs w:val="20"/>
              </w:rPr>
            </w:pPr>
            <w:r>
              <w:rPr>
                <w:rFonts w:asciiTheme="minorHAnsi" w:hAnsiTheme="minorHAnsi" w:cstheme="majorHAnsi"/>
                <w:b/>
                <w:sz w:val="20"/>
                <w:szCs w:val="20"/>
              </w:rPr>
              <w:t>Svenska EEZ</w:t>
            </w:r>
          </w:p>
        </w:tc>
        <w:tc>
          <w:tcPr>
            <w:tcW w:w="889" w:type="pct"/>
            <w:vAlign w:val="center"/>
          </w:tcPr>
          <w:p w14:paraId="3244530C" w14:textId="09796049" w:rsidR="00DD2762" w:rsidRPr="0034175C" w:rsidRDefault="007F2BA8" w:rsidP="007F2BA8">
            <w:pPr>
              <w:tabs>
                <w:tab w:val="clear" w:pos="5041"/>
              </w:tabs>
              <w:spacing w:after="0"/>
              <w:rPr>
                <w:i/>
                <w:sz w:val="18"/>
                <w:szCs w:val="18"/>
              </w:rPr>
            </w:pPr>
            <w:r>
              <w:rPr>
                <w:i/>
                <w:sz w:val="18"/>
                <w:szCs w:val="18"/>
              </w:rPr>
              <w:t>75 % av arter i respektive artgrupp uppfyller artspecifikt tröskelvärde</w:t>
            </w:r>
          </w:p>
        </w:tc>
        <w:tc>
          <w:tcPr>
            <w:tcW w:w="806" w:type="pct"/>
            <w:shd w:val="clear" w:color="auto" w:fill="auto"/>
            <w:vAlign w:val="center"/>
          </w:tcPr>
          <w:p w14:paraId="55A9F2D4" w14:textId="64198EC6" w:rsidR="00DD2762" w:rsidRDefault="007F2BA8" w:rsidP="00D05BBE">
            <w:pPr>
              <w:tabs>
                <w:tab w:val="clear" w:pos="5041"/>
              </w:tabs>
              <w:spacing w:after="0"/>
              <w:rPr>
                <w:sz w:val="18"/>
                <w:szCs w:val="18"/>
              </w:rPr>
            </w:pPr>
            <w:r>
              <w:rPr>
                <w:sz w:val="18"/>
                <w:szCs w:val="18"/>
              </w:rPr>
              <w:t>Betande arter: 100 %</w:t>
            </w:r>
          </w:p>
          <w:p w14:paraId="4A1F3ECB" w14:textId="35B01916" w:rsidR="007F2BA8" w:rsidRDefault="007F2BA8" w:rsidP="007F2BA8">
            <w:pPr>
              <w:tabs>
                <w:tab w:val="clear" w:pos="5041"/>
              </w:tabs>
              <w:spacing w:after="0"/>
              <w:rPr>
                <w:sz w:val="18"/>
                <w:szCs w:val="18"/>
              </w:rPr>
            </w:pPr>
            <w:r>
              <w:rPr>
                <w:sz w:val="18"/>
                <w:szCs w:val="18"/>
              </w:rPr>
              <w:t>Pelagiskt födosökande: 100 %</w:t>
            </w:r>
          </w:p>
          <w:p w14:paraId="34D6C006" w14:textId="52971A69" w:rsidR="007F2BA8" w:rsidRDefault="007F2BA8" w:rsidP="007F2BA8">
            <w:pPr>
              <w:tabs>
                <w:tab w:val="clear" w:pos="5041"/>
              </w:tabs>
              <w:spacing w:after="0"/>
              <w:rPr>
                <w:sz w:val="18"/>
                <w:szCs w:val="18"/>
              </w:rPr>
            </w:pPr>
            <w:r>
              <w:rPr>
                <w:sz w:val="18"/>
                <w:szCs w:val="18"/>
              </w:rPr>
              <w:t>Bentisk födosökande: 33 %</w:t>
            </w:r>
          </w:p>
          <w:p w14:paraId="5B35FD3C" w14:textId="77777777" w:rsidR="007F2BA8" w:rsidRDefault="007F2BA8" w:rsidP="007F2BA8">
            <w:pPr>
              <w:tabs>
                <w:tab w:val="clear" w:pos="5041"/>
              </w:tabs>
              <w:spacing w:after="0"/>
              <w:rPr>
                <w:sz w:val="18"/>
                <w:szCs w:val="18"/>
              </w:rPr>
            </w:pPr>
            <w:r>
              <w:rPr>
                <w:sz w:val="18"/>
                <w:szCs w:val="18"/>
              </w:rPr>
              <w:t>Yt födosökande: 78 %</w:t>
            </w:r>
          </w:p>
          <w:p w14:paraId="0E2D1DA0" w14:textId="77777777" w:rsidR="007F2BA8" w:rsidRDefault="007F2BA8" w:rsidP="007F2BA8">
            <w:pPr>
              <w:tabs>
                <w:tab w:val="clear" w:pos="5041"/>
              </w:tabs>
              <w:spacing w:after="0"/>
              <w:rPr>
                <w:sz w:val="18"/>
                <w:szCs w:val="18"/>
              </w:rPr>
            </w:pPr>
            <w:r>
              <w:rPr>
                <w:sz w:val="18"/>
                <w:szCs w:val="18"/>
              </w:rPr>
              <w:t xml:space="preserve">Vadande födosökande: </w:t>
            </w:r>
          </w:p>
          <w:p w14:paraId="0232CACE" w14:textId="010093A7" w:rsidR="007F2BA8" w:rsidRPr="0034175C" w:rsidRDefault="007F2BA8" w:rsidP="007F2BA8">
            <w:pPr>
              <w:tabs>
                <w:tab w:val="clear" w:pos="5041"/>
              </w:tabs>
              <w:spacing w:after="0"/>
              <w:rPr>
                <w:sz w:val="18"/>
                <w:szCs w:val="18"/>
              </w:rPr>
            </w:pPr>
            <w:r>
              <w:rPr>
                <w:sz w:val="18"/>
                <w:szCs w:val="18"/>
              </w:rPr>
              <w:t>50 %</w:t>
            </w:r>
          </w:p>
        </w:tc>
        <w:tc>
          <w:tcPr>
            <w:tcW w:w="969" w:type="pct"/>
          </w:tcPr>
          <w:p w14:paraId="17B72D33" w14:textId="266FB57D" w:rsidR="007F2BA8" w:rsidRDefault="007F2BA8" w:rsidP="007F2BA8">
            <w:pPr>
              <w:tabs>
                <w:tab w:val="clear" w:pos="5041"/>
              </w:tabs>
              <w:spacing w:after="0"/>
              <w:rPr>
                <w:sz w:val="18"/>
                <w:szCs w:val="18"/>
              </w:rPr>
            </w:pPr>
            <w:r>
              <w:rPr>
                <w:sz w:val="18"/>
                <w:szCs w:val="18"/>
              </w:rPr>
              <w:t xml:space="preserve">Betande arter: </w:t>
            </w:r>
          </w:p>
          <w:p w14:paraId="269248EA" w14:textId="122FF3D0" w:rsidR="007F2BA8" w:rsidRDefault="007F2BA8" w:rsidP="007F2BA8">
            <w:pPr>
              <w:tabs>
                <w:tab w:val="clear" w:pos="5041"/>
              </w:tabs>
              <w:spacing w:after="0"/>
              <w:rPr>
                <w:sz w:val="18"/>
                <w:szCs w:val="18"/>
              </w:rPr>
            </w:pPr>
            <w:r>
              <w:rPr>
                <w:sz w:val="18"/>
                <w:szCs w:val="18"/>
              </w:rPr>
              <w:t>God miljöstatus</w:t>
            </w:r>
          </w:p>
          <w:p w14:paraId="0B22163D" w14:textId="780667F6" w:rsidR="007F2BA8" w:rsidRDefault="007F2BA8" w:rsidP="007F2BA8">
            <w:pPr>
              <w:tabs>
                <w:tab w:val="clear" w:pos="5041"/>
              </w:tabs>
              <w:spacing w:after="0"/>
              <w:rPr>
                <w:sz w:val="18"/>
                <w:szCs w:val="18"/>
              </w:rPr>
            </w:pPr>
            <w:r>
              <w:rPr>
                <w:sz w:val="18"/>
                <w:szCs w:val="18"/>
              </w:rPr>
              <w:t>Pel</w:t>
            </w:r>
            <w:r>
              <w:rPr>
                <w:sz w:val="18"/>
                <w:szCs w:val="18"/>
              </w:rPr>
              <w:t>a</w:t>
            </w:r>
            <w:r>
              <w:rPr>
                <w:sz w:val="18"/>
                <w:szCs w:val="18"/>
              </w:rPr>
              <w:t>giskt födosökande:</w:t>
            </w:r>
            <w:r>
              <w:rPr>
                <w:sz w:val="18"/>
                <w:szCs w:val="18"/>
              </w:rPr>
              <w:t xml:space="preserve"> </w:t>
            </w:r>
          </w:p>
          <w:p w14:paraId="694DADA1" w14:textId="16D51849" w:rsidR="007F2BA8" w:rsidRDefault="007F2BA8" w:rsidP="007F2BA8">
            <w:pPr>
              <w:tabs>
                <w:tab w:val="clear" w:pos="5041"/>
              </w:tabs>
              <w:spacing w:after="0"/>
              <w:rPr>
                <w:sz w:val="18"/>
                <w:szCs w:val="18"/>
              </w:rPr>
            </w:pPr>
            <w:r>
              <w:rPr>
                <w:sz w:val="18"/>
                <w:szCs w:val="18"/>
              </w:rPr>
              <w:t>God miljöstatus</w:t>
            </w:r>
          </w:p>
          <w:p w14:paraId="640AEADA" w14:textId="75BFEA63" w:rsidR="007F2BA8" w:rsidRDefault="007F2BA8" w:rsidP="007F2BA8">
            <w:pPr>
              <w:tabs>
                <w:tab w:val="clear" w:pos="5041"/>
              </w:tabs>
              <w:spacing w:after="0"/>
              <w:rPr>
                <w:sz w:val="18"/>
                <w:szCs w:val="18"/>
              </w:rPr>
            </w:pPr>
            <w:r>
              <w:rPr>
                <w:sz w:val="18"/>
                <w:szCs w:val="18"/>
              </w:rPr>
              <w:t>Bentisk födos</w:t>
            </w:r>
            <w:r>
              <w:rPr>
                <w:sz w:val="18"/>
                <w:szCs w:val="18"/>
              </w:rPr>
              <w:t>ö</w:t>
            </w:r>
            <w:r>
              <w:rPr>
                <w:sz w:val="18"/>
                <w:szCs w:val="18"/>
              </w:rPr>
              <w:t xml:space="preserve">kande: </w:t>
            </w:r>
          </w:p>
          <w:p w14:paraId="7FC8A2E2" w14:textId="39BC44E8" w:rsidR="007F2BA8" w:rsidRDefault="007F2BA8" w:rsidP="007F2BA8">
            <w:pPr>
              <w:tabs>
                <w:tab w:val="clear" w:pos="5041"/>
              </w:tabs>
              <w:spacing w:after="0"/>
              <w:rPr>
                <w:sz w:val="18"/>
                <w:szCs w:val="18"/>
              </w:rPr>
            </w:pPr>
            <w:r>
              <w:rPr>
                <w:sz w:val="18"/>
                <w:szCs w:val="18"/>
              </w:rPr>
              <w:t>Ej God miljöstatus</w:t>
            </w:r>
          </w:p>
          <w:p w14:paraId="20D5976B" w14:textId="77777777" w:rsidR="007F2BA8" w:rsidRDefault="007F2BA8" w:rsidP="007F2BA8">
            <w:pPr>
              <w:tabs>
                <w:tab w:val="clear" w:pos="5041"/>
              </w:tabs>
              <w:spacing w:after="0"/>
              <w:rPr>
                <w:sz w:val="18"/>
                <w:szCs w:val="18"/>
              </w:rPr>
            </w:pPr>
            <w:r>
              <w:rPr>
                <w:sz w:val="18"/>
                <w:szCs w:val="18"/>
              </w:rPr>
              <w:t>Y</w:t>
            </w:r>
            <w:r>
              <w:rPr>
                <w:sz w:val="18"/>
                <w:szCs w:val="18"/>
              </w:rPr>
              <w:t>t födosökande:</w:t>
            </w:r>
          </w:p>
          <w:p w14:paraId="6E8AE4AC" w14:textId="77777777" w:rsidR="007F2BA8" w:rsidRDefault="007F2BA8" w:rsidP="007F2BA8">
            <w:pPr>
              <w:tabs>
                <w:tab w:val="clear" w:pos="5041"/>
              </w:tabs>
              <w:spacing w:after="0"/>
              <w:rPr>
                <w:sz w:val="18"/>
                <w:szCs w:val="18"/>
              </w:rPr>
            </w:pPr>
            <w:r>
              <w:rPr>
                <w:sz w:val="18"/>
                <w:szCs w:val="18"/>
              </w:rPr>
              <w:t>God miljöstatus</w:t>
            </w:r>
          </w:p>
          <w:p w14:paraId="73893CB1" w14:textId="3C07587A" w:rsidR="00DD2762" w:rsidRDefault="007F2BA8" w:rsidP="007F2BA8">
            <w:pPr>
              <w:tabs>
                <w:tab w:val="clear" w:pos="5041"/>
              </w:tabs>
              <w:spacing w:after="0"/>
              <w:rPr>
                <w:sz w:val="18"/>
                <w:szCs w:val="18"/>
              </w:rPr>
            </w:pPr>
            <w:r>
              <w:rPr>
                <w:sz w:val="18"/>
                <w:szCs w:val="18"/>
              </w:rPr>
              <w:t>Vadande födos</w:t>
            </w:r>
            <w:r>
              <w:rPr>
                <w:sz w:val="18"/>
                <w:szCs w:val="18"/>
              </w:rPr>
              <w:t>ö</w:t>
            </w:r>
            <w:r>
              <w:rPr>
                <w:sz w:val="18"/>
                <w:szCs w:val="18"/>
              </w:rPr>
              <w:t xml:space="preserve">kande: </w:t>
            </w:r>
          </w:p>
          <w:p w14:paraId="719AF356" w14:textId="5EA516DF" w:rsidR="007F2BA8" w:rsidRDefault="007F2BA8" w:rsidP="007F2BA8">
            <w:pPr>
              <w:tabs>
                <w:tab w:val="clear" w:pos="5041"/>
              </w:tabs>
              <w:spacing w:after="0"/>
              <w:rPr>
                <w:sz w:val="18"/>
                <w:szCs w:val="18"/>
              </w:rPr>
            </w:pPr>
            <w:r>
              <w:rPr>
                <w:sz w:val="18"/>
                <w:szCs w:val="18"/>
              </w:rPr>
              <w:t>Ej God miljöstatus</w:t>
            </w:r>
          </w:p>
        </w:tc>
        <w:tc>
          <w:tcPr>
            <w:tcW w:w="887" w:type="pct"/>
            <w:vAlign w:val="center"/>
          </w:tcPr>
          <w:p w14:paraId="6076146B" w14:textId="40FB52D6" w:rsidR="00DD2762" w:rsidRDefault="007F2BA8" w:rsidP="00DD2762">
            <w:pPr>
              <w:tabs>
                <w:tab w:val="clear" w:pos="5041"/>
              </w:tabs>
              <w:spacing w:after="0"/>
              <w:rPr>
                <w:sz w:val="18"/>
                <w:szCs w:val="18"/>
              </w:rPr>
            </w:pPr>
            <w:r>
              <w:rPr>
                <w:sz w:val="18"/>
                <w:szCs w:val="18"/>
              </w:rPr>
              <w:t>Hög</w:t>
            </w:r>
          </w:p>
        </w:tc>
      </w:tr>
    </w:tbl>
    <w:p w14:paraId="7AEDAB88" w14:textId="77777777" w:rsidR="00CB57D2" w:rsidRDefault="00CB57D2">
      <w:pPr>
        <w:tabs>
          <w:tab w:val="clear" w:pos="5041"/>
        </w:tabs>
        <w:spacing w:after="0"/>
      </w:pPr>
      <w:bookmarkStart w:id="0" w:name="_GoBack"/>
      <w:bookmarkEnd w:id="0"/>
    </w:p>
    <w:p w14:paraId="0ADA6856" w14:textId="77777777" w:rsidR="00CB57D2" w:rsidRDefault="00CB57D2" w:rsidP="00CB57D2">
      <w:pPr>
        <w:pStyle w:val="Brdtext"/>
      </w:pPr>
    </w:p>
    <w:p w14:paraId="2B1C6867" w14:textId="77777777" w:rsidR="00C76A0C" w:rsidRDefault="00C76A0C">
      <w:pPr>
        <w:tabs>
          <w:tab w:val="clear" w:pos="5041"/>
        </w:tabs>
        <w:spacing w:after="0"/>
      </w:pPr>
    </w:p>
    <w:p w14:paraId="2E940908" w14:textId="30B20C5E" w:rsidR="00C76A0C" w:rsidRDefault="00C76A0C">
      <w:pPr>
        <w:tabs>
          <w:tab w:val="clear" w:pos="5041"/>
        </w:tabs>
        <w:spacing w:after="0"/>
      </w:pPr>
    </w:p>
    <w:p w14:paraId="39914013" w14:textId="40548693" w:rsidR="0051473D" w:rsidRDefault="0051473D">
      <w:pPr>
        <w:tabs>
          <w:tab w:val="clear" w:pos="5041"/>
        </w:tabs>
        <w:spacing w:after="0"/>
      </w:pPr>
    </w:p>
    <w:p w14:paraId="05BB8009" w14:textId="03F0E760" w:rsidR="0051473D" w:rsidRDefault="0051473D">
      <w:pPr>
        <w:tabs>
          <w:tab w:val="clear" w:pos="5041"/>
        </w:tabs>
        <w:spacing w:after="0"/>
      </w:pPr>
    </w:p>
    <w:p w14:paraId="4BE90A91" w14:textId="59B65FD9" w:rsidR="0051473D" w:rsidRDefault="0051473D">
      <w:pPr>
        <w:tabs>
          <w:tab w:val="clear" w:pos="5041"/>
        </w:tabs>
        <w:spacing w:after="0"/>
      </w:pPr>
    </w:p>
    <w:p w14:paraId="4487F54D" w14:textId="7B1E2E55" w:rsidR="0051473D" w:rsidRDefault="0051473D">
      <w:pPr>
        <w:tabs>
          <w:tab w:val="clear" w:pos="5041"/>
        </w:tabs>
        <w:spacing w:after="0"/>
      </w:pPr>
    </w:p>
    <w:p w14:paraId="4FE463A5" w14:textId="434BD1ED" w:rsidR="0051473D" w:rsidRDefault="0051473D">
      <w:pPr>
        <w:tabs>
          <w:tab w:val="clear" w:pos="5041"/>
        </w:tabs>
        <w:spacing w:after="0"/>
      </w:pPr>
    </w:p>
    <w:p w14:paraId="4EC1423F" w14:textId="3A3A0555" w:rsidR="0051473D" w:rsidRDefault="0051473D">
      <w:pPr>
        <w:tabs>
          <w:tab w:val="clear" w:pos="5041"/>
        </w:tabs>
        <w:spacing w:after="0"/>
      </w:pPr>
    </w:p>
    <w:p w14:paraId="5EEB6372" w14:textId="1FDB3B41" w:rsidR="0051473D" w:rsidRDefault="0051473D">
      <w:pPr>
        <w:tabs>
          <w:tab w:val="clear" w:pos="5041"/>
        </w:tabs>
        <w:spacing w:after="0"/>
      </w:pPr>
    </w:p>
    <w:p w14:paraId="387CF42C" w14:textId="52199CB4" w:rsidR="0051473D" w:rsidRDefault="0051473D">
      <w:pPr>
        <w:tabs>
          <w:tab w:val="clear" w:pos="5041"/>
        </w:tabs>
        <w:spacing w:after="0"/>
      </w:pPr>
    </w:p>
    <w:p w14:paraId="3B9D7C3C" w14:textId="0C31341F" w:rsidR="0051473D" w:rsidRDefault="0051473D">
      <w:pPr>
        <w:tabs>
          <w:tab w:val="clear" w:pos="5041"/>
        </w:tabs>
        <w:spacing w:after="0"/>
      </w:pPr>
    </w:p>
    <w:p w14:paraId="56A94175" w14:textId="03236E6A" w:rsidR="0051473D" w:rsidRDefault="0051473D">
      <w:pPr>
        <w:tabs>
          <w:tab w:val="clear" w:pos="5041"/>
        </w:tabs>
        <w:spacing w:after="0"/>
      </w:pPr>
    </w:p>
    <w:p w14:paraId="014F8CD0" w14:textId="31622F3E" w:rsidR="0051473D" w:rsidRDefault="0051473D">
      <w:pPr>
        <w:tabs>
          <w:tab w:val="clear" w:pos="5041"/>
        </w:tabs>
        <w:spacing w:after="0"/>
      </w:pPr>
    </w:p>
    <w:p w14:paraId="1EBB3498" w14:textId="1D363839" w:rsidR="0051473D" w:rsidRDefault="0051473D">
      <w:pPr>
        <w:tabs>
          <w:tab w:val="clear" w:pos="5041"/>
        </w:tabs>
        <w:spacing w:after="0"/>
      </w:pPr>
    </w:p>
    <w:p w14:paraId="4417A458" w14:textId="404AAABA" w:rsidR="0051473D" w:rsidRDefault="0051473D">
      <w:pPr>
        <w:tabs>
          <w:tab w:val="clear" w:pos="5041"/>
        </w:tabs>
        <w:spacing w:after="0"/>
      </w:pPr>
    </w:p>
    <w:p w14:paraId="0B8487C7" w14:textId="3461724D" w:rsidR="0051473D" w:rsidRDefault="0051473D">
      <w:pPr>
        <w:tabs>
          <w:tab w:val="clear" w:pos="5041"/>
        </w:tabs>
        <w:spacing w:after="0"/>
      </w:pPr>
    </w:p>
    <w:p w14:paraId="196AD2C2" w14:textId="2AB5B5A2" w:rsidR="0051473D" w:rsidRDefault="0051473D">
      <w:pPr>
        <w:tabs>
          <w:tab w:val="clear" w:pos="5041"/>
        </w:tabs>
        <w:spacing w:after="0"/>
      </w:pPr>
    </w:p>
    <w:p w14:paraId="1805C7FE" w14:textId="149E3BA5" w:rsidR="0051473D" w:rsidRDefault="0051473D">
      <w:pPr>
        <w:tabs>
          <w:tab w:val="clear" w:pos="5041"/>
        </w:tabs>
        <w:spacing w:after="0"/>
      </w:pPr>
    </w:p>
    <w:p w14:paraId="1562DBC0" w14:textId="16229235" w:rsidR="0051473D" w:rsidRDefault="0051473D">
      <w:pPr>
        <w:tabs>
          <w:tab w:val="clear" w:pos="5041"/>
        </w:tabs>
        <w:spacing w:after="0"/>
      </w:pPr>
    </w:p>
    <w:p w14:paraId="474FB9F8" w14:textId="16148A37" w:rsidR="0051473D" w:rsidRDefault="0051473D">
      <w:pPr>
        <w:tabs>
          <w:tab w:val="clear" w:pos="5041"/>
        </w:tabs>
        <w:spacing w:after="0"/>
      </w:pPr>
    </w:p>
    <w:p w14:paraId="2D0715B5" w14:textId="7DDC24B1" w:rsidR="0051473D" w:rsidRDefault="0051473D">
      <w:pPr>
        <w:tabs>
          <w:tab w:val="clear" w:pos="5041"/>
        </w:tabs>
        <w:spacing w:after="0"/>
      </w:pPr>
    </w:p>
    <w:p w14:paraId="0178A6F2" w14:textId="16962041" w:rsidR="0051473D" w:rsidRDefault="0051473D">
      <w:pPr>
        <w:tabs>
          <w:tab w:val="clear" w:pos="5041"/>
        </w:tabs>
        <w:spacing w:after="0"/>
      </w:pPr>
    </w:p>
    <w:p w14:paraId="186022ED" w14:textId="022A70FF" w:rsidR="0051473D" w:rsidRDefault="0051473D">
      <w:pPr>
        <w:tabs>
          <w:tab w:val="clear" w:pos="5041"/>
        </w:tabs>
        <w:spacing w:after="0"/>
      </w:pPr>
    </w:p>
    <w:p w14:paraId="313D8FC6" w14:textId="44C7BCDF" w:rsidR="0051473D" w:rsidRDefault="0051473D">
      <w:pPr>
        <w:tabs>
          <w:tab w:val="clear" w:pos="5041"/>
        </w:tabs>
        <w:spacing w:after="0"/>
      </w:pPr>
    </w:p>
    <w:p w14:paraId="3DA59E1D" w14:textId="3D0EE4AE" w:rsidR="0051473D" w:rsidRDefault="0051473D">
      <w:pPr>
        <w:tabs>
          <w:tab w:val="clear" w:pos="5041"/>
        </w:tabs>
        <w:spacing w:after="0"/>
      </w:pPr>
    </w:p>
    <w:p w14:paraId="7F67AFBD" w14:textId="1ACD9C4E" w:rsidR="0051473D" w:rsidRDefault="0051473D">
      <w:pPr>
        <w:tabs>
          <w:tab w:val="clear" w:pos="5041"/>
        </w:tabs>
        <w:spacing w:after="0"/>
      </w:pPr>
    </w:p>
    <w:p w14:paraId="5CF22B89" w14:textId="38DE8C5C" w:rsidR="0051473D" w:rsidRDefault="0051473D">
      <w:pPr>
        <w:tabs>
          <w:tab w:val="clear" w:pos="5041"/>
        </w:tabs>
        <w:spacing w:after="0"/>
      </w:pPr>
    </w:p>
    <w:p w14:paraId="4CBB706D" w14:textId="56902C88" w:rsidR="0051473D" w:rsidRDefault="0051473D">
      <w:pPr>
        <w:tabs>
          <w:tab w:val="clear" w:pos="5041"/>
        </w:tabs>
        <w:spacing w:after="0"/>
      </w:pPr>
    </w:p>
    <w:p w14:paraId="74094853" w14:textId="0D6B8E78" w:rsidR="0051473D" w:rsidRDefault="0051473D">
      <w:pPr>
        <w:tabs>
          <w:tab w:val="clear" w:pos="5041"/>
        </w:tabs>
        <w:spacing w:after="0"/>
      </w:pPr>
    </w:p>
    <w:p w14:paraId="72453CAD" w14:textId="3EE0444F" w:rsidR="0051473D" w:rsidRDefault="0051473D">
      <w:pPr>
        <w:tabs>
          <w:tab w:val="clear" w:pos="5041"/>
        </w:tabs>
        <w:spacing w:after="0"/>
      </w:pPr>
    </w:p>
    <w:p w14:paraId="3CA95BB2" w14:textId="5FA24DE0" w:rsidR="0051473D" w:rsidRDefault="0051473D">
      <w:pPr>
        <w:tabs>
          <w:tab w:val="clear" w:pos="5041"/>
        </w:tabs>
        <w:spacing w:after="0"/>
      </w:pPr>
    </w:p>
    <w:p w14:paraId="2E5786CA" w14:textId="77777777" w:rsidR="0070387B" w:rsidRDefault="0070387B" w:rsidP="0070387B">
      <w:pPr>
        <w:pStyle w:val="Rubrik3"/>
      </w:pPr>
      <w:r>
        <w:lastRenderedPageBreak/>
        <w:t>Sektion 2. Detaljerad information.</w:t>
      </w:r>
    </w:p>
    <w:p w14:paraId="6EDACECB" w14:textId="77777777" w:rsidR="0070387B" w:rsidRPr="0070387B" w:rsidRDefault="0070387B" w:rsidP="0070387B">
      <w:pPr>
        <w:pStyle w:val="Brdtext"/>
        <w:rPr>
          <w:i/>
        </w:rPr>
      </w:pPr>
      <w:r w:rsidRPr="0070387B">
        <w:rPr>
          <w:i/>
        </w:rPr>
        <w:t>Text av vetenskaplig kvalitet med referenser</w:t>
      </w:r>
      <w:r>
        <w:rPr>
          <w:i/>
        </w:rPr>
        <w:t xml:space="preserve">. </w:t>
      </w:r>
      <w:r w:rsidR="00F0386D">
        <w:rPr>
          <w:i/>
        </w:rPr>
        <w:t xml:space="preserve">Upplagd som vetenskaplig artikel. </w:t>
      </w:r>
      <w:r>
        <w:rPr>
          <w:i/>
        </w:rPr>
        <w:t>Ska genomgå oberoende granskning.</w:t>
      </w:r>
    </w:p>
    <w:p w14:paraId="5B3C32A9" w14:textId="77777777" w:rsidR="0070387B" w:rsidRDefault="0070387B" w:rsidP="0009349B">
      <w:pPr>
        <w:pStyle w:val="Brdtext"/>
      </w:pPr>
      <w:r>
        <w:t xml:space="preserve">2.1. </w:t>
      </w:r>
      <w:r w:rsidR="00F0386D">
        <w:t>I</w:t>
      </w:r>
      <w:r w:rsidR="00F87DD4">
        <w:t>ntroduction</w:t>
      </w:r>
    </w:p>
    <w:p w14:paraId="2F707368" w14:textId="601E8808" w:rsidR="0070387B" w:rsidRDefault="0070387B" w:rsidP="0009349B">
      <w:pPr>
        <w:pStyle w:val="Brdtext"/>
      </w:pPr>
      <w:r>
        <w:t xml:space="preserve">2.2. </w:t>
      </w:r>
      <w:r w:rsidR="00F87DD4">
        <w:t xml:space="preserve">Material </w:t>
      </w:r>
      <w:r w:rsidR="0071500A">
        <w:t>and</w:t>
      </w:r>
      <w:r w:rsidR="00F87DD4">
        <w:t xml:space="preserve"> methods. </w:t>
      </w:r>
    </w:p>
    <w:p w14:paraId="456BFF26" w14:textId="77777777" w:rsidR="0071500A" w:rsidRDefault="0071500A" w:rsidP="0071500A">
      <w:pPr>
        <w:pStyle w:val="Brdtext"/>
      </w:pPr>
      <w:r>
        <w:t xml:space="preserve">Som underlag för detta har det beräknats årliga populationsindex på nationell nivå för samtliga bedömda arter på. Tidsserierna har analyserats med hjälp av programvaran TRIM (TRends &amp; Indices for Monitoring data, Pannekoek &amp; van Strien 2001). TRIM beräknar för varje art årliga index, dessutom beräknas den årliga genomsnittliga förändringstakten. </w:t>
      </w:r>
    </w:p>
    <w:p w14:paraId="2EAF2BD5" w14:textId="77777777" w:rsidR="0071500A" w:rsidRDefault="0071500A" w:rsidP="0071500A">
      <w:pPr>
        <w:pStyle w:val="Brdtext"/>
      </w:pPr>
      <w:r>
        <w:t>Vidare har miljöstatusen bedömts på födogruppsnivå, där grupperna ser ut enligt följande:</w:t>
      </w:r>
    </w:p>
    <w:p w14:paraId="180CFA25" w14:textId="77777777" w:rsidR="0071500A" w:rsidRDefault="0071500A" w:rsidP="0071500A">
      <w:pPr>
        <w:pStyle w:val="Brdtext"/>
        <w:numPr>
          <w:ilvl w:val="0"/>
          <w:numId w:val="28"/>
        </w:numPr>
      </w:pPr>
      <w:r>
        <w:t>Vadande födosök: gravand, strandskata, större strandpipare, drillsnäppa, rödbena.</w:t>
      </w:r>
    </w:p>
    <w:p w14:paraId="70E50042" w14:textId="77777777" w:rsidR="0071500A" w:rsidRDefault="0071500A" w:rsidP="0071500A">
      <w:pPr>
        <w:pStyle w:val="Brdtext"/>
        <w:numPr>
          <w:ilvl w:val="0"/>
          <w:numId w:val="28"/>
        </w:numPr>
      </w:pPr>
      <w:r>
        <w:t>Ytfödosökare: labb, skratt- och fiskmås, havs-, grå- och silltrut, skrän-, silver- och fisktärna.</w:t>
      </w:r>
    </w:p>
    <w:p w14:paraId="626DB497" w14:textId="77777777" w:rsidR="0071500A" w:rsidRDefault="0071500A" w:rsidP="0071500A">
      <w:pPr>
        <w:pStyle w:val="Brdtext"/>
        <w:numPr>
          <w:ilvl w:val="0"/>
          <w:numId w:val="28"/>
        </w:numPr>
      </w:pPr>
      <w:r>
        <w:t>Pelagiska födosökare: små-, och storskrake, skäggdopping, sillgrissla, tordmule, tobisgrissla.</w:t>
      </w:r>
    </w:p>
    <w:p w14:paraId="313D2D92" w14:textId="77777777" w:rsidR="0071500A" w:rsidRDefault="0071500A" w:rsidP="0071500A">
      <w:pPr>
        <w:pStyle w:val="Brdtext"/>
        <w:numPr>
          <w:ilvl w:val="0"/>
          <w:numId w:val="28"/>
        </w:numPr>
      </w:pPr>
      <w:r>
        <w:t xml:space="preserve">Bentiska födosökare: vigg, ejder, svärta </w:t>
      </w:r>
    </w:p>
    <w:p w14:paraId="61965A02" w14:textId="77777777" w:rsidR="00CE379C" w:rsidRDefault="0071500A" w:rsidP="00CE379C">
      <w:pPr>
        <w:pStyle w:val="Brdtext"/>
        <w:numPr>
          <w:ilvl w:val="0"/>
          <w:numId w:val="28"/>
        </w:numPr>
      </w:pPr>
      <w:r>
        <w:t xml:space="preserve">Betare: knölsvan, grågås, vitkindad gås, kanadagås, gräsand. </w:t>
      </w:r>
    </w:p>
    <w:p w14:paraId="02DC8179" w14:textId="0C638949" w:rsidR="00CE379C" w:rsidRDefault="00CE379C" w:rsidP="00CE379C">
      <w:pPr>
        <w:pStyle w:val="Brdtext"/>
      </w:pPr>
      <w:r>
        <w:t xml:space="preserve">Arturvalet skiljer sig något från det som använts i HELCOM:s analyser (REF). Vissa arter har endast bedömts i Sverige då data på östersjönivå varit otillräckliga. I andra fall har situationen varit den omvända. Dessutom saknas storskarv i den nationella bedömningen pga att den rent statistiskt inte gick att utvärdera. </w:t>
      </w:r>
    </w:p>
    <w:p w14:paraId="541069B1" w14:textId="77777777" w:rsidR="00CE379C" w:rsidRDefault="00CE379C" w:rsidP="00CE379C">
      <w:pPr>
        <w:pStyle w:val="Brdtext"/>
      </w:pPr>
      <w:r>
        <w:t>Data till den nationella bedömningen har främst hämtats från lokala och regionala inventeringsprogram. Dessa inventeringar täcker större delen av Sveriges kust, men de kan ha genomförts under olika delar av den tidsperiod som avhandlas här. Endast inventeringar som upprepats vid minst ett tillfälle har inkluderats, TRIM-analyser kräver nämligen att en given lokal ska ha inventerats vid minst två tillfällen.  Från år 2015 har även data från den nationella kustfågelövervakningen inkluderats.</w:t>
      </w:r>
    </w:p>
    <w:p w14:paraId="57190699" w14:textId="77777777" w:rsidR="00CE379C" w:rsidRDefault="00CE379C" w:rsidP="00CE379C">
      <w:pPr>
        <w:pStyle w:val="Brdtext"/>
      </w:pPr>
    </w:p>
    <w:p w14:paraId="6FFCC509" w14:textId="77777777" w:rsidR="0071500A" w:rsidRDefault="0071500A" w:rsidP="0009349B">
      <w:pPr>
        <w:pStyle w:val="Brdtext"/>
      </w:pPr>
    </w:p>
    <w:p w14:paraId="080839D9" w14:textId="6B59071B" w:rsidR="00F87DD4" w:rsidRDefault="0070387B" w:rsidP="00F87DD4">
      <w:pPr>
        <w:pStyle w:val="Brdtext"/>
      </w:pPr>
      <w:r>
        <w:t xml:space="preserve">2.3. </w:t>
      </w:r>
      <w:r w:rsidR="00F87DD4">
        <w:t xml:space="preserve">Results. </w:t>
      </w:r>
    </w:p>
    <w:p w14:paraId="4084A86D" w14:textId="77777777" w:rsidR="003771FE" w:rsidRDefault="000A598D" w:rsidP="003771FE">
      <w:pPr>
        <w:pStyle w:val="Brdtext"/>
        <w:keepNext/>
      </w:pPr>
      <w:r>
        <w:rPr>
          <w:noProof/>
          <w:lang w:eastAsia="sv-SE"/>
        </w:rPr>
        <w:lastRenderedPageBreak/>
        <w:drawing>
          <wp:inline distT="0" distB="0" distL="0" distR="0" wp14:anchorId="48B3F6B2" wp14:editId="416EF6CB">
            <wp:extent cx="6017260" cy="5401310"/>
            <wp:effectExtent l="0" t="0" r="254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260" cy="5401310"/>
                    </a:xfrm>
                    <a:prstGeom prst="rect">
                      <a:avLst/>
                    </a:prstGeom>
                    <a:noFill/>
                  </pic:spPr>
                </pic:pic>
              </a:graphicData>
            </a:graphic>
          </wp:inline>
        </w:drawing>
      </w:r>
    </w:p>
    <w:p w14:paraId="361619B9" w14:textId="40CF217E" w:rsidR="001F5670" w:rsidRDefault="003771FE" w:rsidP="001F5670">
      <w:pPr>
        <w:pStyle w:val="Beskrivning"/>
        <w:sectPr w:rsidR="001F5670" w:rsidSect="001F5670">
          <w:headerReference w:type="default" r:id="rId10"/>
          <w:footerReference w:type="default" r:id="rId11"/>
          <w:pgSz w:w="11906" w:h="16838"/>
          <w:pgMar w:top="1417" w:right="1417" w:bottom="1417" w:left="1417" w:header="708" w:footer="708" w:gutter="0"/>
          <w:cols w:space="708"/>
          <w:docGrid w:linePitch="360"/>
        </w:sectPr>
      </w:pPr>
      <w:r>
        <w:t xml:space="preserve">Figur </w:t>
      </w:r>
      <w:r>
        <w:fldChar w:fldCharType="begin"/>
      </w:r>
      <w:r>
        <w:instrText xml:space="preserve"> SEQ Figur \* ARABIC </w:instrText>
      </w:r>
      <w:r>
        <w:fldChar w:fldCharType="separate"/>
      </w:r>
      <w:r w:rsidR="004E2DF2">
        <w:rPr>
          <w:noProof/>
        </w:rPr>
        <w:t>1</w:t>
      </w:r>
      <w:r>
        <w:fldChar w:fldCharType="end"/>
      </w:r>
      <w:r>
        <w:t xml:space="preserve"> Trender för vadande fåglar som inkluderades i bedömningen</w:t>
      </w:r>
      <w:r w:rsidRPr="003771FE">
        <w:t xml:space="preserve">. Svart linje visar populationsmedel för 1991-2000 (referensperiod) , röd tunn linje tröskelnivån för att nå god miljöstatus (oftast 70 % av referensperioden (1991-2000), röd fet= medelvärdet för 2011-2016 (utvärderingsperioden).  </w:t>
      </w:r>
      <w:r>
        <w:t>*</w:t>
      </w:r>
      <w:r w:rsidRPr="003771FE">
        <w:t xml:space="preserve">p&lt;0.05. **p&lt;0.01. Lokaler= det antal lokaler som ingått i analysen </w:t>
      </w:r>
      <w:r>
        <w:t>för respektive art</w:t>
      </w:r>
    </w:p>
    <w:p w14:paraId="15C1D608" w14:textId="0F972FEC" w:rsidR="003771FE" w:rsidRDefault="003771FE" w:rsidP="003771FE">
      <w:pPr>
        <w:pStyle w:val="Brdtext"/>
        <w:keepNext/>
      </w:pPr>
      <w:r>
        <w:rPr>
          <w:noProof/>
          <w:lang w:eastAsia="sv-SE"/>
        </w:rPr>
        <w:lastRenderedPageBreak/>
        <w:drawing>
          <wp:inline distT="0" distB="0" distL="0" distR="0" wp14:anchorId="11324B24" wp14:editId="760F6B85">
            <wp:extent cx="8395200" cy="5040000"/>
            <wp:effectExtent l="0" t="0" r="6350" b="825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5200" cy="5040000"/>
                    </a:xfrm>
                    <a:prstGeom prst="rect">
                      <a:avLst/>
                    </a:prstGeom>
                    <a:noFill/>
                  </pic:spPr>
                </pic:pic>
              </a:graphicData>
            </a:graphic>
          </wp:inline>
        </w:drawing>
      </w:r>
    </w:p>
    <w:p w14:paraId="2FBE952F" w14:textId="5759E3EB" w:rsidR="003771FE" w:rsidRDefault="003771FE" w:rsidP="003771FE">
      <w:pPr>
        <w:pStyle w:val="Beskrivning"/>
      </w:pPr>
      <w:r>
        <w:t xml:space="preserve">Figur </w:t>
      </w:r>
      <w:r>
        <w:fldChar w:fldCharType="begin"/>
      </w:r>
      <w:r>
        <w:instrText xml:space="preserve"> SEQ Figur \* ARABIC </w:instrText>
      </w:r>
      <w:r>
        <w:fldChar w:fldCharType="separate"/>
      </w:r>
      <w:r w:rsidR="004E2DF2">
        <w:rPr>
          <w:noProof/>
        </w:rPr>
        <w:t>2</w:t>
      </w:r>
      <w:r>
        <w:fldChar w:fldCharType="end"/>
      </w:r>
      <w:r>
        <w:t xml:space="preserve"> Trender för </w:t>
      </w:r>
      <w:r w:rsidRPr="003771FE">
        <w:t>fåglar</w:t>
      </w:r>
      <w:r>
        <w:t xml:space="preserve"> som födosöker på vattenytan</w:t>
      </w:r>
      <w:r w:rsidRPr="003771FE">
        <w:t xml:space="preserve"> som inkluderades i bedömningen. Svart linje visar populationsmedel för 1991-2000 (referensperiod) , röd tunn linje tröskelnivån för att nå god miljöstatus (oftast 70 % av referensperioden (1991-2000), röd fet= medelvärdet för 2011-2016 (utvärderingsperioden).  *p&lt;0.05. **p&lt;0.01. Lokaler= det antal lokaler som ingått i analysen för respektive art</w:t>
      </w:r>
    </w:p>
    <w:p w14:paraId="43F650A2" w14:textId="4713FDB5" w:rsidR="001F5670" w:rsidRDefault="001F5670" w:rsidP="007C6A94">
      <w:pPr>
        <w:pStyle w:val="Brdtext"/>
        <w:sectPr w:rsidR="001F5670" w:rsidSect="003771FE">
          <w:pgSz w:w="16838" w:h="11906" w:orient="landscape"/>
          <w:pgMar w:top="1417" w:right="1417" w:bottom="1417" w:left="1417" w:header="708" w:footer="708" w:gutter="0"/>
          <w:cols w:space="708"/>
          <w:docGrid w:linePitch="360"/>
        </w:sectPr>
      </w:pPr>
    </w:p>
    <w:p w14:paraId="39CCDAF7" w14:textId="77777777" w:rsidR="001F5670" w:rsidRDefault="001F5670" w:rsidP="001F5670">
      <w:pPr>
        <w:pStyle w:val="Brdtext"/>
        <w:keepNext/>
      </w:pPr>
      <w:r>
        <w:rPr>
          <w:noProof/>
          <w:lang w:eastAsia="sv-SE"/>
        </w:rPr>
        <w:lastRenderedPageBreak/>
        <w:drawing>
          <wp:inline distT="0" distB="0" distL="0" distR="0" wp14:anchorId="127A1BF2" wp14:editId="5489221A">
            <wp:extent cx="6017260" cy="5407660"/>
            <wp:effectExtent l="0" t="0" r="2540"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7260" cy="5407660"/>
                    </a:xfrm>
                    <a:prstGeom prst="rect">
                      <a:avLst/>
                    </a:prstGeom>
                    <a:noFill/>
                  </pic:spPr>
                </pic:pic>
              </a:graphicData>
            </a:graphic>
          </wp:inline>
        </w:drawing>
      </w:r>
    </w:p>
    <w:p w14:paraId="4CDE9928" w14:textId="46CCF85C" w:rsidR="001F5670" w:rsidRDefault="001F5670" w:rsidP="001F5670">
      <w:pPr>
        <w:pStyle w:val="Beskrivning"/>
      </w:pPr>
      <w:r>
        <w:t xml:space="preserve">Figur </w:t>
      </w:r>
      <w:r>
        <w:fldChar w:fldCharType="begin"/>
      </w:r>
      <w:r>
        <w:instrText xml:space="preserve"> SEQ Figur \* ARABIC </w:instrText>
      </w:r>
      <w:r>
        <w:fldChar w:fldCharType="separate"/>
      </w:r>
      <w:r w:rsidR="004E2DF2">
        <w:rPr>
          <w:noProof/>
        </w:rPr>
        <w:t>3</w:t>
      </w:r>
      <w:r>
        <w:fldChar w:fldCharType="end"/>
      </w:r>
      <w:r>
        <w:t xml:space="preserve"> </w:t>
      </w:r>
      <w:r w:rsidRPr="001F5670">
        <w:t>Trender för fåglar</w:t>
      </w:r>
      <w:r>
        <w:t xml:space="preserve"> som födosäker i vattenkolumn (pelagialen)</w:t>
      </w:r>
      <w:r w:rsidRPr="001F5670">
        <w:t xml:space="preserve"> som inkluderades i bedömningen. Svart linje visar populationsmedel för 1991-2000 (referensperiod) , röd tunn linje tröskelnivån för att nå god miljöstatus (oftast 70 % av referensperioden (1991-2000), röd fet= medelvärdet för 2011-2016 (utvärderingsperioden).  *p&lt;0.05. **p&lt;0.01. Lokaler= det antal lokaler som ingått i analysen för respektive art</w:t>
      </w:r>
    </w:p>
    <w:p w14:paraId="0E7BED2C" w14:textId="77777777" w:rsidR="001F5670" w:rsidRDefault="001F5670" w:rsidP="007C6A94">
      <w:pPr>
        <w:pStyle w:val="Brdtext"/>
      </w:pPr>
    </w:p>
    <w:p w14:paraId="3F94EFE3" w14:textId="77777777" w:rsidR="001F5670" w:rsidRDefault="001F5670" w:rsidP="007C6A94">
      <w:pPr>
        <w:pStyle w:val="Brdtext"/>
      </w:pPr>
    </w:p>
    <w:p w14:paraId="7CD6912F" w14:textId="77777777" w:rsidR="001F5670" w:rsidRDefault="001F5670" w:rsidP="007C6A94">
      <w:pPr>
        <w:pStyle w:val="Brdtext"/>
      </w:pPr>
    </w:p>
    <w:p w14:paraId="4541E16A" w14:textId="77777777" w:rsidR="001F5670" w:rsidRDefault="001F5670" w:rsidP="007C6A94">
      <w:pPr>
        <w:pStyle w:val="Brdtext"/>
      </w:pPr>
    </w:p>
    <w:p w14:paraId="30F22079" w14:textId="77777777" w:rsidR="001F5670" w:rsidRDefault="001F5670" w:rsidP="007C6A94">
      <w:pPr>
        <w:pStyle w:val="Brdtext"/>
      </w:pPr>
    </w:p>
    <w:p w14:paraId="4CAE2AF6" w14:textId="77777777" w:rsidR="001F5670" w:rsidRDefault="001F5670" w:rsidP="007C6A94">
      <w:pPr>
        <w:pStyle w:val="Brdtext"/>
      </w:pPr>
    </w:p>
    <w:p w14:paraId="094E5A45" w14:textId="77777777" w:rsidR="001F5670" w:rsidRDefault="001F5670" w:rsidP="007C6A94">
      <w:pPr>
        <w:pStyle w:val="Brdtext"/>
      </w:pPr>
    </w:p>
    <w:p w14:paraId="5370DF2D" w14:textId="77777777" w:rsidR="001F5670" w:rsidRDefault="001F5670" w:rsidP="007C6A94">
      <w:pPr>
        <w:pStyle w:val="Brdtext"/>
      </w:pPr>
    </w:p>
    <w:p w14:paraId="26E3A094" w14:textId="77777777" w:rsidR="001F5670" w:rsidRDefault="001F5670" w:rsidP="007C6A94">
      <w:pPr>
        <w:pStyle w:val="Brdtext"/>
      </w:pPr>
    </w:p>
    <w:p w14:paraId="78C0CE66" w14:textId="77777777" w:rsidR="001F5670" w:rsidRDefault="001F5670" w:rsidP="007C6A94">
      <w:pPr>
        <w:pStyle w:val="Brdtext"/>
      </w:pPr>
    </w:p>
    <w:p w14:paraId="5CA71099" w14:textId="77777777" w:rsidR="00D12C1B" w:rsidRDefault="00D12C1B" w:rsidP="00D12C1B">
      <w:pPr>
        <w:pStyle w:val="Brdtext"/>
        <w:keepNext/>
      </w:pPr>
      <w:r>
        <w:rPr>
          <w:noProof/>
          <w:lang w:eastAsia="sv-SE"/>
        </w:rPr>
        <w:lastRenderedPageBreak/>
        <w:drawing>
          <wp:inline distT="0" distB="0" distL="0" distR="0" wp14:anchorId="214B65BE" wp14:editId="6EC79FA9">
            <wp:extent cx="5993130" cy="3596640"/>
            <wp:effectExtent l="0" t="0" r="7620" b="381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3130" cy="3596640"/>
                    </a:xfrm>
                    <a:prstGeom prst="rect">
                      <a:avLst/>
                    </a:prstGeom>
                    <a:noFill/>
                  </pic:spPr>
                </pic:pic>
              </a:graphicData>
            </a:graphic>
          </wp:inline>
        </w:drawing>
      </w:r>
    </w:p>
    <w:p w14:paraId="07CD0AA6" w14:textId="252A936E" w:rsidR="001F5670" w:rsidRDefault="00D12C1B" w:rsidP="00D12C1B">
      <w:pPr>
        <w:pStyle w:val="Beskrivning"/>
      </w:pPr>
      <w:r>
        <w:t xml:space="preserve">Figur </w:t>
      </w:r>
      <w:r>
        <w:fldChar w:fldCharType="begin"/>
      </w:r>
      <w:r>
        <w:instrText xml:space="preserve"> SEQ Figur \* ARABIC </w:instrText>
      </w:r>
      <w:r>
        <w:fldChar w:fldCharType="separate"/>
      </w:r>
      <w:r w:rsidR="004E2DF2">
        <w:rPr>
          <w:noProof/>
        </w:rPr>
        <w:t>4</w:t>
      </w:r>
      <w:r>
        <w:fldChar w:fldCharType="end"/>
      </w:r>
      <w:r>
        <w:t xml:space="preserve"> </w:t>
      </w:r>
      <w:r w:rsidRPr="00D12C1B">
        <w:t xml:space="preserve">Trender för fåglar som födosäker </w:t>
      </w:r>
      <w:r>
        <w:t>på havsbotten</w:t>
      </w:r>
      <w:r w:rsidRPr="00D12C1B">
        <w:t xml:space="preserve"> (</w:t>
      </w:r>
      <w:r>
        <w:t>bentiskt födosäkande</w:t>
      </w:r>
      <w:r w:rsidRPr="00D12C1B">
        <w:t>) som inkluderades i bedömningen. Svart linje visar populationsmedel för 1991-2000 (referensperiod) , röd tunn linje tröskelnivån för att nå god miljöstatus (oftast 70 % av referensperioden (1991-2000), röd fet= medelvärdet för 2011-2016 (utvärderingsperioden).  *p&lt;0.05. **p&lt;0.01. Lokaler= det antal lokaler som ingått i analysen för respektive art</w:t>
      </w:r>
    </w:p>
    <w:p w14:paraId="2A5F713A" w14:textId="77777777" w:rsidR="004E2DF2" w:rsidRDefault="004E2DF2" w:rsidP="004E2DF2">
      <w:pPr>
        <w:keepNext/>
      </w:pPr>
      <w:r>
        <w:rPr>
          <w:noProof/>
        </w:rPr>
        <w:lastRenderedPageBreak/>
        <w:drawing>
          <wp:inline distT="0" distB="0" distL="0" distR="0" wp14:anchorId="6C47171D" wp14:editId="56E78FA6">
            <wp:extent cx="5993130" cy="5426075"/>
            <wp:effectExtent l="0" t="0" r="7620" b="317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3130" cy="5426075"/>
                    </a:xfrm>
                    <a:prstGeom prst="rect">
                      <a:avLst/>
                    </a:prstGeom>
                    <a:noFill/>
                  </pic:spPr>
                </pic:pic>
              </a:graphicData>
            </a:graphic>
          </wp:inline>
        </w:drawing>
      </w:r>
    </w:p>
    <w:p w14:paraId="436CB70C" w14:textId="617D8D65" w:rsidR="004E2DF2" w:rsidRPr="004E2DF2" w:rsidRDefault="004E2DF2" w:rsidP="004E2DF2">
      <w:pPr>
        <w:pStyle w:val="Beskrivning"/>
      </w:pPr>
      <w:r>
        <w:t xml:space="preserve">Figur </w:t>
      </w:r>
      <w:r>
        <w:fldChar w:fldCharType="begin"/>
      </w:r>
      <w:r>
        <w:instrText xml:space="preserve"> SEQ Figur \* ARABIC </w:instrText>
      </w:r>
      <w:r>
        <w:fldChar w:fldCharType="separate"/>
      </w:r>
      <w:r>
        <w:rPr>
          <w:noProof/>
        </w:rPr>
        <w:t>5</w:t>
      </w:r>
      <w:r>
        <w:fldChar w:fldCharType="end"/>
      </w:r>
      <w:r>
        <w:t xml:space="preserve"> </w:t>
      </w:r>
      <w:r w:rsidRPr="004E2DF2">
        <w:t xml:space="preserve">Trender för </w:t>
      </w:r>
      <w:r>
        <w:t xml:space="preserve">betande </w:t>
      </w:r>
      <w:r w:rsidRPr="004E2DF2">
        <w:t>fåglar som inkluderades i bedömningen. Svart linje visar populationsmedel för 1991-2000 (referensperiod) , röd tunn linje tröskelnivån för att nå god miljöstatus (oftast 70 % av referensperioden (1991-2000), röd fet= medelvärdet för 2011-2016 (utvärderingsperioden).  *p&lt;0.05. **p&lt;0.01. Lokaler= det antal lokaler som ingått i analysen för respektive art</w:t>
      </w:r>
    </w:p>
    <w:p w14:paraId="3E9FDDDF" w14:textId="3E0603D0" w:rsidR="009E23BB" w:rsidRDefault="00F87DD4" w:rsidP="007C6A94">
      <w:pPr>
        <w:pStyle w:val="Brdtext"/>
      </w:pPr>
      <w:r>
        <w:t xml:space="preserve">2.4. Discussion. </w:t>
      </w:r>
      <w:r w:rsidR="008D1CB2">
        <w:t>Diskuterande text utkomst av bedömning</w:t>
      </w:r>
      <w:r>
        <w:t xml:space="preserve"> inkl. osäkerheter. Trender.</w:t>
      </w:r>
      <w:r w:rsidR="00D403D0">
        <w:t xml:space="preserve"> Kunskapsluckor.</w:t>
      </w:r>
    </w:p>
    <w:p w14:paraId="160F9C04" w14:textId="33825BD9" w:rsidR="00744D37" w:rsidRDefault="00744D37" w:rsidP="007C6A94">
      <w:pPr>
        <w:pStyle w:val="Brdtext"/>
      </w:pPr>
      <w:r>
        <w:t>2.5. Referenser</w:t>
      </w:r>
    </w:p>
    <w:p w14:paraId="5EBCA89A" w14:textId="1BDAC6A0" w:rsidR="008F36AA" w:rsidRDefault="008F36AA" w:rsidP="008F36AA">
      <w:pPr>
        <w:spacing w:after="0"/>
        <w:rPr>
          <w:lang w:val="en-US"/>
        </w:rPr>
      </w:pPr>
      <w:r>
        <w:rPr>
          <w:lang w:val="en-US"/>
        </w:rPr>
        <w:t>HELCOM (2017) Abundance of waterbirds in the breeding season, finns på:</w:t>
      </w:r>
      <w:r>
        <w:rPr>
          <w:lang w:val="en-GB"/>
        </w:rPr>
        <w:t xml:space="preserve"> </w:t>
      </w:r>
      <w:hyperlink r:id="rId16" w:history="1">
        <w:r w:rsidRPr="00F04630">
          <w:rPr>
            <w:rStyle w:val="Hyperlnk"/>
            <w:lang w:val="en-US"/>
          </w:rPr>
          <w:t>http://helcom.fi/baltic-sea-trends/indicators/abundance-of-waterbirds-in-the-breeding-season/</w:t>
        </w:r>
      </w:hyperlink>
    </w:p>
    <w:p w14:paraId="5C72D99B" w14:textId="77777777" w:rsidR="008F36AA" w:rsidRPr="007F06A8" w:rsidRDefault="008F36AA" w:rsidP="008F36AA">
      <w:pPr>
        <w:spacing w:after="0"/>
        <w:rPr>
          <w:lang w:val="en-US"/>
        </w:rPr>
      </w:pPr>
    </w:p>
    <w:p w14:paraId="3D12EB2C" w14:textId="77777777" w:rsidR="008F36AA" w:rsidRPr="008A2EAD" w:rsidRDefault="008F36AA" w:rsidP="008F36AA">
      <w:pPr>
        <w:spacing w:after="0"/>
        <w:rPr>
          <w:lang w:val="en-US"/>
        </w:rPr>
      </w:pPr>
      <w:r w:rsidRPr="007F06A8">
        <w:rPr>
          <w:lang w:val="en-US"/>
        </w:rPr>
        <w:t>Pannekoek, J., van Strien, A.J. (2001) TRIM 3 manual (TR</w:t>
      </w:r>
      <w:r w:rsidRPr="008A2EAD">
        <w:rPr>
          <w:lang w:val="en-US"/>
        </w:rPr>
        <w:t>ends and Indices for Monitoring data). Research paper no. 0102. Statistics Netherlands.</w:t>
      </w:r>
    </w:p>
    <w:p w14:paraId="2B0A68E1" w14:textId="77777777" w:rsidR="008F36AA" w:rsidRPr="008F36AA" w:rsidRDefault="008F36AA" w:rsidP="007C6A94">
      <w:pPr>
        <w:pStyle w:val="Brdtext"/>
        <w:rPr>
          <w:lang w:val="en-GB"/>
        </w:rPr>
      </w:pPr>
    </w:p>
    <w:sectPr w:rsidR="008F36AA" w:rsidRPr="008F36AA" w:rsidSect="001F5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9883" w14:textId="77777777" w:rsidR="00BB41C3" w:rsidRDefault="00BB41C3" w:rsidP="00D846CA">
      <w:r>
        <w:separator/>
      </w:r>
    </w:p>
  </w:endnote>
  <w:endnote w:type="continuationSeparator" w:id="0">
    <w:p w14:paraId="11C61578" w14:textId="77777777" w:rsidR="00BB41C3" w:rsidRDefault="00BB41C3"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71061"/>
      <w:docPartObj>
        <w:docPartGallery w:val="Page Numbers (Bottom of Page)"/>
        <w:docPartUnique/>
      </w:docPartObj>
    </w:sdtPr>
    <w:sdtContent>
      <w:p w14:paraId="2A303D1B" w14:textId="691B3FDE" w:rsidR="00BB41C3" w:rsidRDefault="00BB41C3">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CF4E67">
          <w:rPr>
            <w:sz w:val="18"/>
            <w:szCs w:val="18"/>
          </w:rPr>
          <w:t>7</w:t>
        </w:r>
        <w:r w:rsidRPr="00D403D0">
          <w:rPr>
            <w:sz w:val="18"/>
            <w:szCs w:val="18"/>
          </w:rPr>
          <w:fldChar w:fldCharType="end"/>
        </w:r>
      </w:p>
    </w:sdtContent>
  </w:sdt>
  <w:p w14:paraId="17A4F22D" w14:textId="77777777" w:rsidR="00BB41C3" w:rsidRPr="00356C54" w:rsidRDefault="00BB41C3" w:rsidP="0035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D17F" w14:textId="77777777" w:rsidR="00BB41C3" w:rsidRDefault="00BB41C3" w:rsidP="00D846CA">
      <w:r>
        <w:separator/>
      </w:r>
    </w:p>
  </w:footnote>
  <w:footnote w:type="continuationSeparator" w:id="0">
    <w:p w14:paraId="556E96F0" w14:textId="77777777" w:rsidR="00BB41C3" w:rsidRDefault="00BB41C3" w:rsidP="00D846CA">
      <w:r>
        <w:continuationSeparator/>
      </w:r>
    </w:p>
  </w:footnote>
  <w:footnote w:id="1">
    <w:p w14:paraId="50346A75" w14:textId="7FB0A42C" w:rsidR="00BD52B7" w:rsidRPr="00BD52B7" w:rsidRDefault="00BD52B7">
      <w:pPr>
        <w:pStyle w:val="Fotnotstext"/>
        <w:rPr>
          <w:lang w:val="sv-SE"/>
        </w:rPr>
      </w:pPr>
      <w:r>
        <w:rPr>
          <w:rStyle w:val="Fotnotsreferens"/>
        </w:rPr>
        <w:footnoteRef/>
      </w:r>
      <w:r>
        <w:t xml:space="preserve"> </w:t>
      </w:r>
      <w:r>
        <w:rPr>
          <w:lang w:val="sv-SE"/>
        </w:rPr>
        <w:t>Ej analyserbar på nationell nivå, därför redovisas resultat från hela Helcom området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2D9D" w14:textId="77777777" w:rsidR="00BB41C3" w:rsidRDefault="00BB41C3">
    <w:pPr>
      <w:pStyle w:val="Sidhuvud"/>
    </w:pPr>
    <w:bookmarkStart w:id="1" w:name="bmLogga"/>
    <w:r>
      <w:rPr>
        <w:lang w:eastAsia="sv-SE"/>
      </w:rPr>
      <w:drawing>
        <wp:inline distT="0" distB="0" distL="0" distR="0" wp14:anchorId="356327CB" wp14:editId="37FA5E01">
          <wp:extent cx="1443231" cy="583693"/>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1"/>
  </w:p>
  <w:p w14:paraId="20E7CD82" w14:textId="77777777" w:rsidR="00BB41C3" w:rsidRPr="005A4563" w:rsidRDefault="00BB41C3" w:rsidP="005A45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30311E"/>
    <w:multiLevelType w:val="hybridMultilevel"/>
    <w:tmpl w:val="1EAC25BC"/>
    <w:lvl w:ilvl="0" w:tplc="E376D126">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9"/>
  </w:num>
  <w:num w:numId="13">
    <w:abstractNumId w:val="15"/>
  </w:num>
  <w:num w:numId="14">
    <w:abstractNumId w:val="2"/>
  </w:num>
  <w:num w:numId="15">
    <w:abstractNumId w:val="16"/>
  </w:num>
  <w:num w:numId="16">
    <w:abstractNumId w:val="4"/>
  </w:num>
  <w:num w:numId="17">
    <w:abstractNumId w:val="3"/>
  </w:num>
  <w:num w:numId="18">
    <w:abstractNumId w:val="18"/>
  </w:num>
  <w:num w:numId="19">
    <w:abstractNumId w:val="17"/>
  </w:num>
  <w:num w:numId="20">
    <w:abstractNumId w:val="12"/>
  </w:num>
  <w:num w:numId="21">
    <w:abstractNumId w:val="6"/>
  </w:num>
  <w:num w:numId="22">
    <w:abstractNumId w:val="10"/>
  </w:num>
  <w:num w:numId="23">
    <w:abstractNumId w:val="11"/>
  </w:num>
  <w:num w:numId="24">
    <w:abstractNumId w:val="5"/>
  </w:num>
  <w:num w:numId="25">
    <w:abstractNumId w:val="13"/>
  </w:num>
  <w:num w:numId="26">
    <w:abstractNumId w:val="8"/>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3"/>
    <w:rsid w:val="00013EF4"/>
    <w:rsid w:val="00017F8E"/>
    <w:rsid w:val="000373D5"/>
    <w:rsid w:val="000537AF"/>
    <w:rsid w:val="00053F95"/>
    <w:rsid w:val="0008257F"/>
    <w:rsid w:val="0008484B"/>
    <w:rsid w:val="0009349B"/>
    <w:rsid w:val="00096F5B"/>
    <w:rsid w:val="000A598D"/>
    <w:rsid w:val="000B2C75"/>
    <w:rsid w:val="0011411D"/>
    <w:rsid w:val="001319EF"/>
    <w:rsid w:val="00134617"/>
    <w:rsid w:val="00151EF7"/>
    <w:rsid w:val="00170F06"/>
    <w:rsid w:val="00192AF0"/>
    <w:rsid w:val="001A460F"/>
    <w:rsid w:val="001B300A"/>
    <w:rsid w:val="001B602A"/>
    <w:rsid w:val="001B6F45"/>
    <w:rsid w:val="001C2CEC"/>
    <w:rsid w:val="001C677F"/>
    <w:rsid w:val="001E6610"/>
    <w:rsid w:val="001F5670"/>
    <w:rsid w:val="002047A7"/>
    <w:rsid w:val="002110E2"/>
    <w:rsid w:val="00215646"/>
    <w:rsid w:val="00261373"/>
    <w:rsid w:val="00266B3C"/>
    <w:rsid w:val="0028242D"/>
    <w:rsid w:val="002A1915"/>
    <w:rsid w:val="002A24A2"/>
    <w:rsid w:val="002A75E8"/>
    <w:rsid w:val="002E7F02"/>
    <w:rsid w:val="002F35E1"/>
    <w:rsid w:val="0034175C"/>
    <w:rsid w:val="003523FF"/>
    <w:rsid w:val="00353866"/>
    <w:rsid w:val="00354126"/>
    <w:rsid w:val="00356C54"/>
    <w:rsid w:val="003771FE"/>
    <w:rsid w:val="00397D26"/>
    <w:rsid w:val="003B4CD1"/>
    <w:rsid w:val="003B718B"/>
    <w:rsid w:val="003C1776"/>
    <w:rsid w:val="003C4075"/>
    <w:rsid w:val="003D08BF"/>
    <w:rsid w:val="003D6906"/>
    <w:rsid w:val="003D70BF"/>
    <w:rsid w:val="00414CE6"/>
    <w:rsid w:val="00427C7F"/>
    <w:rsid w:val="0045136E"/>
    <w:rsid w:val="004705C4"/>
    <w:rsid w:val="00472353"/>
    <w:rsid w:val="00473D1A"/>
    <w:rsid w:val="00475B09"/>
    <w:rsid w:val="00477D2E"/>
    <w:rsid w:val="004823C7"/>
    <w:rsid w:val="00494C42"/>
    <w:rsid w:val="004B7657"/>
    <w:rsid w:val="004E2DF2"/>
    <w:rsid w:val="004E35C5"/>
    <w:rsid w:val="00504259"/>
    <w:rsid w:val="00507177"/>
    <w:rsid w:val="0051473D"/>
    <w:rsid w:val="005201F8"/>
    <w:rsid w:val="005215C9"/>
    <w:rsid w:val="00533574"/>
    <w:rsid w:val="00544886"/>
    <w:rsid w:val="00546A93"/>
    <w:rsid w:val="00565E25"/>
    <w:rsid w:val="0057175A"/>
    <w:rsid w:val="005A4400"/>
    <w:rsid w:val="005A4563"/>
    <w:rsid w:val="005B126E"/>
    <w:rsid w:val="005B76FC"/>
    <w:rsid w:val="005B7929"/>
    <w:rsid w:val="005C417C"/>
    <w:rsid w:val="005C5024"/>
    <w:rsid w:val="005D132C"/>
    <w:rsid w:val="005D439F"/>
    <w:rsid w:val="006024F8"/>
    <w:rsid w:val="00610375"/>
    <w:rsid w:val="006122F7"/>
    <w:rsid w:val="00616EF0"/>
    <w:rsid w:val="0062144B"/>
    <w:rsid w:val="00665204"/>
    <w:rsid w:val="00680367"/>
    <w:rsid w:val="006944D5"/>
    <w:rsid w:val="006A1C72"/>
    <w:rsid w:val="006A1DC9"/>
    <w:rsid w:val="006B793D"/>
    <w:rsid w:val="006E3BFE"/>
    <w:rsid w:val="006E53FF"/>
    <w:rsid w:val="006F648D"/>
    <w:rsid w:val="0070387B"/>
    <w:rsid w:val="0071500A"/>
    <w:rsid w:val="00744D37"/>
    <w:rsid w:val="0074555C"/>
    <w:rsid w:val="00754000"/>
    <w:rsid w:val="007605D9"/>
    <w:rsid w:val="007620E9"/>
    <w:rsid w:val="0076326F"/>
    <w:rsid w:val="00764336"/>
    <w:rsid w:val="00773B4E"/>
    <w:rsid w:val="00785BB5"/>
    <w:rsid w:val="00796C21"/>
    <w:rsid w:val="007A0C77"/>
    <w:rsid w:val="007A1EFA"/>
    <w:rsid w:val="007A39EC"/>
    <w:rsid w:val="007A4DC2"/>
    <w:rsid w:val="007C0D98"/>
    <w:rsid w:val="007C6A94"/>
    <w:rsid w:val="007C7C4A"/>
    <w:rsid w:val="007D0B24"/>
    <w:rsid w:val="007E2CB3"/>
    <w:rsid w:val="007F2BA8"/>
    <w:rsid w:val="00804043"/>
    <w:rsid w:val="00804DBE"/>
    <w:rsid w:val="00831FA3"/>
    <w:rsid w:val="00837216"/>
    <w:rsid w:val="0083775B"/>
    <w:rsid w:val="00871A86"/>
    <w:rsid w:val="00871A93"/>
    <w:rsid w:val="00871B13"/>
    <w:rsid w:val="00884E7A"/>
    <w:rsid w:val="00884FCF"/>
    <w:rsid w:val="008879D8"/>
    <w:rsid w:val="008A483A"/>
    <w:rsid w:val="008B1796"/>
    <w:rsid w:val="008B5020"/>
    <w:rsid w:val="008C3A39"/>
    <w:rsid w:val="008C4950"/>
    <w:rsid w:val="008D1CB2"/>
    <w:rsid w:val="008D4006"/>
    <w:rsid w:val="008E759E"/>
    <w:rsid w:val="008F36AA"/>
    <w:rsid w:val="009030C6"/>
    <w:rsid w:val="00931192"/>
    <w:rsid w:val="009344CC"/>
    <w:rsid w:val="00936E12"/>
    <w:rsid w:val="0094035B"/>
    <w:rsid w:val="009510BE"/>
    <w:rsid w:val="00963995"/>
    <w:rsid w:val="009737DB"/>
    <w:rsid w:val="00976CD1"/>
    <w:rsid w:val="00983754"/>
    <w:rsid w:val="0099593C"/>
    <w:rsid w:val="009A768D"/>
    <w:rsid w:val="009B4BAE"/>
    <w:rsid w:val="009D5271"/>
    <w:rsid w:val="009E1C01"/>
    <w:rsid w:val="009E23BB"/>
    <w:rsid w:val="00A03643"/>
    <w:rsid w:val="00A126B2"/>
    <w:rsid w:val="00A1284B"/>
    <w:rsid w:val="00A14805"/>
    <w:rsid w:val="00A410B2"/>
    <w:rsid w:val="00A82AAC"/>
    <w:rsid w:val="00A84F48"/>
    <w:rsid w:val="00AA0079"/>
    <w:rsid w:val="00AA30A2"/>
    <w:rsid w:val="00AC2496"/>
    <w:rsid w:val="00AC2815"/>
    <w:rsid w:val="00AC3B7F"/>
    <w:rsid w:val="00B0348F"/>
    <w:rsid w:val="00B13809"/>
    <w:rsid w:val="00B22B22"/>
    <w:rsid w:val="00B41CBA"/>
    <w:rsid w:val="00B45879"/>
    <w:rsid w:val="00B54F8E"/>
    <w:rsid w:val="00B63A59"/>
    <w:rsid w:val="00B7632E"/>
    <w:rsid w:val="00B83C7B"/>
    <w:rsid w:val="00B94615"/>
    <w:rsid w:val="00B94E43"/>
    <w:rsid w:val="00B966B8"/>
    <w:rsid w:val="00BB41C3"/>
    <w:rsid w:val="00BC1B8A"/>
    <w:rsid w:val="00BC4AC5"/>
    <w:rsid w:val="00BC5D3C"/>
    <w:rsid w:val="00BC6F9E"/>
    <w:rsid w:val="00BD52B7"/>
    <w:rsid w:val="00BE3240"/>
    <w:rsid w:val="00C00D60"/>
    <w:rsid w:val="00C075F4"/>
    <w:rsid w:val="00C336D1"/>
    <w:rsid w:val="00C35FDA"/>
    <w:rsid w:val="00C368A7"/>
    <w:rsid w:val="00C412F0"/>
    <w:rsid w:val="00C5124C"/>
    <w:rsid w:val="00C65497"/>
    <w:rsid w:val="00C76A0C"/>
    <w:rsid w:val="00C76BC1"/>
    <w:rsid w:val="00C8208C"/>
    <w:rsid w:val="00C92DEA"/>
    <w:rsid w:val="00CA526E"/>
    <w:rsid w:val="00CA7B54"/>
    <w:rsid w:val="00CB57D2"/>
    <w:rsid w:val="00CB6DA4"/>
    <w:rsid w:val="00CD0774"/>
    <w:rsid w:val="00CE379C"/>
    <w:rsid w:val="00CE44D5"/>
    <w:rsid w:val="00CE6559"/>
    <w:rsid w:val="00CE71D2"/>
    <w:rsid w:val="00CF2AEF"/>
    <w:rsid w:val="00CF363B"/>
    <w:rsid w:val="00CF4E67"/>
    <w:rsid w:val="00CF517E"/>
    <w:rsid w:val="00CF63E2"/>
    <w:rsid w:val="00CF6615"/>
    <w:rsid w:val="00D00924"/>
    <w:rsid w:val="00D0220B"/>
    <w:rsid w:val="00D05BBE"/>
    <w:rsid w:val="00D07703"/>
    <w:rsid w:val="00D110E3"/>
    <w:rsid w:val="00D12C1B"/>
    <w:rsid w:val="00D403D0"/>
    <w:rsid w:val="00D44830"/>
    <w:rsid w:val="00D607A5"/>
    <w:rsid w:val="00D60C47"/>
    <w:rsid w:val="00D80C15"/>
    <w:rsid w:val="00D846CA"/>
    <w:rsid w:val="00DA66D1"/>
    <w:rsid w:val="00DB34D6"/>
    <w:rsid w:val="00DB5432"/>
    <w:rsid w:val="00DD2099"/>
    <w:rsid w:val="00DD2762"/>
    <w:rsid w:val="00DE67DC"/>
    <w:rsid w:val="00DF56BE"/>
    <w:rsid w:val="00E05C07"/>
    <w:rsid w:val="00E13817"/>
    <w:rsid w:val="00E233A0"/>
    <w:rsid w:val="00E34D20"/>
    <w:rsid w:val="00E369ED"/>
    <w:rsid w:val="00E373B3"/>
    <w:rsid w:val="00EA4CE3"/>
    <w:rsid w:val="00EC352B"/>
    <w:rsid w:val="00EF0761"/>
    <w:rsid w:val="00EF2BC0"/>
    <w:rsid w:val="00F0270F"/>
    <w:rsid w:val="00F0386D"/>
    <w:rsid w:val="00F10452"/>
    <w:rsid w:val="00F159CF"/>
    <w:rsid w:val="00F161CF"/>
    <w:rsid w:val="00F21AC7"/>
    <w:rsid w:val="00F23544"/>
    <w:rsid w:val="00F265B9"/>
    <w:rsid w:val="00F33717"/>
    <w:rsid w:val="00F45946"/>
    <w:rsid w:val="00F45A1B"/>
    <w:rsid w:val="00F525BE"/>
    <w:rsid w:val="00F61D18"/>
    <w:rsid w:val="00F87720"/>
    <w:rsid w:val="00F87DD4"/>
    <w:rsid w:val="00F93C0F"/>
    <w:rsid w:val="00F96362"/>
    <w:rsid w:val="00FC5460"/>
    <w:rsid w:val="00FD5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C7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3"/>
    <w:pPr>
      <w:tabs>
        <w:tab w:val="left" w:pos="5041"/>
      </w:tabs>
      <w:spacing w:after="120"/>
    </w:pPr>
    <w:rPr>
      <w:rFonts w:ascii="Times New Roman" w:eastAsia="Times New Roman" w:hAnsi="Times New Roman" w:cs="Times New Roman"/>
      <w:sz w:val="24"/>
      <w:szCs w:val="24"/>
      <w:lang w:eastAsia="sv-SE"/>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9"/>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suppressAutoHyphens/>
      <w:spacing w:after="40"/>
      <w:outlineLvl w:val="0"/>
    </w:pPr>
    <w:rPr>
      <w:b/>
      <w:sz w:val="28"/>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tabs>
        <w:tab w:val="clear" w:pos="5041"/>
      </w:tabs>
      <w:spacing w:after="200" w:line="276" w:lineRule="auto"/>
      <w:ind w:left="720"/>
      <w:contextualSpacing/>
    </w:pPr>
    <w:rPr>
      <w:rFonts w:ascii="Calibri" w:eastAsia="Calibri" w:hAnsi="Calibri"/>
      <w:sz w:val="22"/>
      <w:szCs w:val="22"/>
      <w:lang w:eastAsia="en-US"/>
    </w:rPr>
  </w:style>
  <w:style w:type="character" w:customStyle="1" w:styleId="ListstyckeChar">
    <w:name w:val="Liststycke Char"/>
    <w:basedOn w:val="Standardstycketeckensnitt"/>
    <w:link w:val="Liststycke"/>
    <w:uiPriority w:val="34"/>
    <w:rsid w:val="005A4563"/>
    <w:rPr>
      <w:rFonts w:ascii="Calibri" w:eastAsia="Calibri" w:hAnsi="Calibri" w:cs="Times New Roman"/>
    </w:rPr>
  </w:style>
  <w:style w:type="paragraph" w:customStyle="1" w:styleId="brevhuvud">
    <w:name w:val="brevhuvud"/>
    <w:basedOn w:val="Normal"/>
    <w:rsid w:val="005A4563"/>
    <w:pPr>
      <w:tabs>
        <w:tab w:val="clear" w:pos="5041"/>
      </w:tabs>
      <w:overflowPunct w:val="0"/>
      <w:autoSpaceDE w:val="0"/>
      <w:autoSpaceDN w:val="0"/>
      <w:adjustRightInd w:val="0"/>
      <w:spacing w:after="0"/>
      <w:textAlignment w:val="baseline"/>
    </w:pPr>
    <w:rPr>
      <w:szCs w:val="20"/>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tabs>
        <w:tab w:val="clear" w:pos="5041"/>
      </w:tabs>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tabs>
        <w:tab w:val="clear" w:pos="5041"/>
      </w:tabs>
      <w:spacing w:line="480" w:lineRule="auto"/>
    </w:pPr>
    <w:rPr>
      <w:color w:val="000000"/>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spacing w:after="0"/>
    </w:pPr>
  </w:style>
  <w:style w:type="paragraph" w:customStyle="1" w:styleId="Datum-Beslut">
    <w:name w:val="Datum-Beslut"/>
    <w:basedOn w:val="Normal"/>
    <w:next w:val="Normal"/>
    <w:rsid w:val="005A4563"/>
    <w:pPr>
      <w:spacing w:after="0"/>
    </w:pPr>
  </w:style>
  <w:style w:type="paragraph" w:customStyle="1" w:styleId="Diarienr-Ert">
    <w:name w:val="Diarienr-Ert"/>
    <w:basedOn w:val="Normal"/>
    <w:next w:val="Normal"/>
    <w:rsid w:val="005A4563"/>
    <w:pPr>
      <w:spacing w:after="0"/>
    </w:pPr>
  </w:style>
  <w:style w:type="paragraph" w:customStyle="1" w:styleId="Logo-Namn">
    <w:name w:val="Logo-Namn"/>
    <w:basedOn w:val="Normal"/>
    <w:next w:val="Normal"/>
    <w:rsid w:val="005A4563"/>
    <w:pPr>
      <w:spacing w:after="0"/>
    </w:pPr>
  </w:style>
  <w:style w:type="paragraph" w:customStyle="1" w:styleId="Sidnumering-Frstasida">
    <w:name w:val="Sidnumering-Förstasida"/>
    <w:basedOn w:val="Normal"/>
    <w:next w:val="Normal"/>
    <w:rsid w:val="005A4563"/>
    <w:pPr>
      <w:spacing w:after="0"/>
      <w:jc w:val="right"/>
    </w:pPr>
  </w:style>
  <w:style w:type="paragraph" w:styleId="Ballongtext">
    <w:name w:val="Balloon Text"/>
    <w:basedOn w:val="Normal"/>
    <w:link w:val="BallongtextChar"/>
    <w:uiPriority w:val="99"/>
    <w:semiHidden/>
    <w:unhideWhenUsed/>
    <w:rsid w:val="005A45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clear" w:pos="5041"/>
        <w:tab w:val="left" w:pos="567"/>
      </w:tabs>
    </w:pPr>
    <w:rPr>
      <w:color w:val="000000"/>
    </w:rPr>
  </w:style>
  <w:style w:type="paragraph" w:styleId="Fotnotstext">
    <w:name w:val="footnote text"/>
    <w:basedOn w:val="Normal"/>
    <w:link w:val="FotnotstextChar"/>
    <w:uiPriority w:val="99"/>
    <w:unhideWhenUsed/>
    <w:qFormat/>
    <w:rsid w:val="00610375"/>
    <w:pPr>
      <w:tabs>
        <w:tab w:val="clear" w:pos="5041"/>
      </w:tabs>
      <w:suppressAutoHyphens/>
      <w:spacing w:after="0"/>
    </w:pPr>
    <w:rPr>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semiHidden/>
    <w:unhideWhenUsed/>
    <w:rsid w:val="00DB34D6"/>
    <w:rPr>
      <w:sz w:val="20"/>
      <w:szCs w:val="20"/>
    </w:rPr>
  </w:style>
  <w:style w:type="character" w:customStyle="1" w:styleId="KommentarerChar">
    <w:name w:val="Kommentarer Char"/>
    <w:basedOn w:val="Standardstycketeckensnitt"/>
    <w:link w:val="Kommentarer"/>
    <w:uiPriority w:val="99"/>
    <w:semiHidden/>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pPr>
      <w:tabs>
        <w:tab w:val="clear" w:pos="5041"/>
      </w:tabs>
      <w:spacing w:after="0"/>
    </w:pPr>
    <w:rPr>
      <w:rFonts w:eastAsiaTheme="minorHAnsi"/>
      <w:color w:val="000000"/>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paragraph" w:styleId="Beskrivning">
    <w:name w:val="caption"/>
    <w:basedOn w:val="Normal"/>
    <w:next w:val="Normal"/>
    <w:uiPriority w:val="35"/>
    <w:unhideWhenUsed/>
    <w:qFormat/>
    <w:rsid w:val="00BB41C3"/>
    <w:pPr>
      <w:spacing w:after="200"/>
    </w:pPr>
    <w:rPr>
      <w:i/>
      <w:iCs/>
      <w:color w:val="000000" w:themeColor="text2"/>
      <w:sz w:val="18"/>
      <w:szCs w:val="18"/>
    </w:rPr>
  </w:style>
  <w:style w:type="character" w:styleId="Fotnotsreferens">
    <w:name w:val="footnote reference"/>
    <w:basedOn w:val="Standardstycketeckensnitt"/>
    <w:uiPriority w:val="99"/>
    <w:semiHidden/>
    <w:unhideWhenUsed/>
    <w:rsid w:val="00BD5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40066">
      <w:bodyDiv w:val="1"/>
      <w:marLeft w:val="0"/>
      <w:marRight w:val="0"/>
      <w:marTop w:val="0"/>
      <w:marBottom w:val="0"/>
      <w:divBdr>
        <w:top w:val="none" w:sz="0" w:space="0" w:color="auto"/>
        <w:left w:val="none" w:sz="0" w:space="0" w:color="auto"/>
        <w:bottom w:val="none" w:sz="0" w:space="0" w:color="auto"/>
        <w:right w:val="none" w:sz="0" w:space="0" w:color="auto"/>
      </w:divBdr>
    </w:div>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lcom.fi/baltic-sea-trends/indicators/abundance-of-waterbirds-in-the-breeding-sea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7291-49E5-4A6F-A002-27966BB7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1776</Words>
  <Characters>9416</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Normal - HaV</cp:keywords>
  <cp:lastModifiedBy/>
  <cp:revision>1</cp:revision>
  <dcterms:created xsi:type="dcterms:W3CDTF">2017-11-22T12:43:00Z</dcterms:created>
  <dcterms:modified xsi:type="dcterms:W3CDTF">2017-11-22T14:12:00Z</dcterms:modified>
</cp:coreProperties>
</file>