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92F83E" w14:textId="77777777" w:rsidR="00C412F0" w:rsidRDefault="00C412F0" w:rsidP="00C412F0">
      <w:pPr>
        <w:pStyle w:val="Rubrik1"/>
      </w:pPr>
      <w:r>
        <w:t>Havsmiljödirektivets inledande bedömning</w:t>
      </w:r>
    </w:p>
    <w:p w14:paraId="0F4A3DDD" w14:textId="77777777" w:rsidR="00434F93" w:rsidRPr="00434F93" w:rsidRDefault="0062144B" w:rsidP="00434F93">
      <w:pPr>
        <w:pStyle w:val="Rubrik2"/>
      </w:pPr>
      <w:r>
        <w:t>Titel på faktablad</w:t>
      </w:r>
      <w:r w:rsidR="00C412F0">
        <w:t>:</w:t>
      </w:r>
      <w:r w:rsidR="00434F93">
        <w:t xml:space="preserve"> </w:t>
      </w:r>
      <w:r w:rsidR="00434F93" w:rsidRPr="00434F93">
        <w:rPr>
          <w:rFonts w:ascii="Georgia" w:eastAsiaTheme="minorHAnsi" w:hAnsi="Georgia" w:cstheme="minorBidi"/>
          <w:sz w:val="22"/>
          <w:szCs w:val="22"/>
        </w:rPr>
        <w:t>Andel stor</w:t>
      </w:r>
      <w:r w:rsidR="00A1192B">
        <w:rPr>
          <w:rFonts w:ascii="Georgia" w:eastAsiaTheme="minorHAnsi" w:hAnsi="Georgia" w:cstheme="minorBidi"/>
          <w:sz w:val="22"/>
          <w:szCs w:val="22"/>
        </w:rPr>
        <w:t xml:space="preserve"> bottenlevande</w:t>
      </w:r>
      <w:r w:rsidR="00434F93" w:rsidRPr="00434F93">
        <w:rPr>
          <w:rFonts w:ascii="Georgia" w:eastAsiaTheme="minorHAnsi" w:hAnsi="Georgia" w:cstheme="minorBidi"/>
          <w:sz w:val="22"/>
          <w:szCs w:val="22"/>
        </w:rPr>
        <w:t xml:space="preserve"> fisk (LFI) i </w:t>
      </w:r>
      <w:r w:rsidR="00C844EE">
        <w:rPr>
          <w:rFonts w:ascii="Georgia" w:eastAsiaTheme="minorHAnsi" w:hAnsi="Georgia" w:cstheme="minorBidi"/>
          <w:sz w:val="22"/>
          <w:szCs w:val="22"/>
        </w:rPr>
        <w:t xml:space="preserve">Västerhavets </w:t>
      </w:r>
      <w:r w:rsidR="001B3FF5">
        <w:rPr>
          <w:rFonts w:ascii="Georgia" w:eastAsiaTheme="minorHAnsi" w:hAnsi="Georgia" w:cstheme="minorBidi"/>
          <w:sz w:val="22"/>
          <w:szCs w:val="22"/>
        </w:rPr>
        <w:t>fjord- och skärgårdsområden</w:t>
      </w:r>
    </w:p>
    <w:p w14:paraId="2E340ADF" w14:textId="77777777" w:rsidR="00434F93" w:rsidRPr="00434F93" w:rsidRDefault="00434F93" w:rsidP="00434F93">
      <w:pPr>
        <w:pStyle w:val="Brdtext"/>
      </w:pPr>
    </w:p>
    <w:p w14:paraId="1D91E0B6" w14:textId="77777777" w:rsidR="00C412F0" w:rsidRDefault="00FD3278" w:rsidP="00C412F0">
      <w:pPr>
        <w:pStyle w:val="Brdtext"/>
      </w:pPr>
      <w:r>
        <w:rPr>
          <w:noProof/>
          <w:lang w:eastAsia="sv-SE"/>
        </w:rPr>
        <w:drawing>
          <wp:inline distT="0" distB="0" distL="0" distR="0" wp14:anchorId="2096E06E" wp14:editId="572CAB4F">
            <wp:extent cx="2324100" cy="460057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4600575"/>
                    </a:xfrm>
                    <a:prstGeom prst="rect">
                      <a:avLst/>
                    </a:prstGeom>
                    <a:noFill/>
                    <a:ln>
                      <a:noFill/>
                    </a:ln>
                  </pic:spPr>
                </pic:pic>
              </a:graphicData>
            </a:graphic>
          </wp:inline>
        </w:drawing>
      </w:r>
    </w:p>
    <w:p w14:paraId="0066557A" w14:textId="77777777" w:rsidR="00B63A59" w:rsidRPr="0062144B" w:rsidRDefault="0062144B" w:rsidP="0062144B">
      <w:pPr>
        <w:rPr>
          <w:i/>
        </w:rPr>
      </w:pPr>
      <w:r>
        <w:rPr>
          <w:i/>
        </w:rPr>
        <w:t>bildtext</w:t>
      </w:r>
      <w:r w:rsidR="00B079C1">
        <w:rPr>
          <w:i/>
        </w:rPr>
        <w:t xml:space="preserve">: hämtad från OSPAR </w:t>
      </w:r>
      <w:r w:rsidR="004E4A90">
        <w:rPr>
          <w:i/>
        </w:rPr>
        <w:t>Quality Status Report 2010</w:t>
      </w:r>
    </w:p>
    <w:p w14:paraId="70E9D500" w14:textId="77777777" w:rsidR="0062144B" w:rsidRDefault="0062144B" w:rsidP="00D05BBE">
      <w:pPr>
        <w:pStyle w:val="Brdtext"/>
      </w:pPr>
    </w:p>
    <w:p w14:paraId="522FFBA9" w14:textId="2E015DB4" w:rsidR="00A732CC" w:rsidRDefault="00764336" w:rsidP="00D05BBE">
      <w:pPr>
        <w:pStyle w:val="Brdtext"/>
      </w:pPr>
      <w:r>
        <w:t xml:space="preserve">Havsmiljödirektivet syftar till </w:t>
      </w:r>
      <w:r w:rsidR="00F10452">
        <w:t xml:space="preserve">uppnå ett hållbart nyttjande av EUs havsområden, samtidigt som biologisk mångfald bevaras och ekosystemen hålls friska och fria från föroreningar. Som en del av </w:t>
      </w:r>
      <w:r w:rsidR="006944D5">
        <w:t>förvaltningen av havet genomförs vart 6</w:t>
      </w:r>
      <w:r w:rsidR="00B00436">
        <w:t>:</w:t>
      </w:r>
      <w:r w:rsidR="006944D5">
        <w:t xml:space="preserve">e år en bedömning av havsmiljöns tillstånd, i relation till ett definierat önskvärt tillstånd som karaktäriserar en god miljöstatus. </w:t>
      </w:r>
      <w:r w:rsidR="00C336D1">
        <w:t>Som underlag</w:t>
      </w:r>
      <w:r w:rsidR="006944D5">
        <w:t xml:space="preserve"> </w:t>
      </w:r>
      <w:r w:rsidR="00354126">
        <w:t xml:space="preserve">till bedömningen </w:t>
      </w:r>
      <w:r w:rsidR="006944D5">
        <w:t xml:space="preserve">publicerar Havs- och vattenmyndigheten faktablad </w:t>
      </w:r>
      <w:r w:rsidR="0062144B">
        <w:t xml:space="preserve">eller liknande rapporter </w:t>
      </w:r>
      <w:r w:rsidR="006944D5">
        <w:t xml:space="preserve">som i </w:t>
      </w:r>
      <w:r w:rsidR="0062144B">
        <w:t xml:space="preserve">högre </w:t>
      </w:r>
      <w:r w:rsidR="006944D5">
        <w:t xml:space="preserve">detalj redovisar de metoder och observationer som </w:t>
      </w:r>
      <w:r w:rsidR="00354126">
        <w:t>används</w:t>
      </w:r>
      <w:r w:rsidR="006944D5">
        <w:t xml:space="preserve">. Den samlade bedömningen som görs på en mer sammanfattande nivå finns publicerad i Havs- och vattenmyndighetens </w:t>
      </w:r>
      <w:r w:rsidR="006944D5" w:rsidRPr="00B00436">
        <w:rPr>
          <w:highlight w:val="yellow"/>
        </w:rPr>
        <w:t>rapport xxxx-xx</w:t>
      </w:r>
      <w:r w:rsidR="006944D5">
        <w:t>.</w:t>
      </w:r>
      <w:r w:rsidR="00CF517E">
        <w:t xml:space="preserve"> Vad som kännetecknar en god miljöstatus, samt </w:t>
      </w:r>
      <w:r w:rsidR="00CF517E" w:rsidRPr="00CF517E">
        <w:t>miljökvalitetsnormer med indikatorer för Nordsjön och Östersjön</w:t>
      </w:r>
      <w:r w:rsidR="00CF517E">
        <w:t>, fastställs i Havs- och vattenmyndighetens föreskrifter 2012:18.</w:t>
      </w:r>
    </w:p>
    <w:p w14:paraId="76893DAA" w14:textId="26EA1AD0" w:rsidR="00B63A59" w:rsidRPr="0062144B" w:rsidRDefault="00D44830" w:rsidP="00D05BBE">
      <w:pPr>
        <w:pStyle w:val="Brdtext"/>
      </w:pPr>
      <w:r w:rsidRPr="00B00436">
        <w:rPr>
          <w:highlight w:val="yellow"/>
        </w:rPr>
        <w:t xml:space="preserve">Version Nr., </w:t>
      </w:r>
      <w:r w:rsidR="001319EF" w:rsidRPr="00B00436">
        <w:rPr>
          <w:highlight w:val="yellow"/>
        </w:rPr>
        <w:t>Publiceringsdatum</w:t>
      </w:r>
      <w:r w:rsidR="001319EF">
        <w:t>.</w:t>
      </w:r>
      <w:r w:rsidR="00B154C1">
        <w:t xml:space="preserve"> </w:t>
      </w:r>
      <w:r w:rsidR="00D0220B" w:rsidRPr="00B154C1">
        <w:rPr>
          <w:highlight w:val="yellow"/>
        </w:rPr>
        <w:t>Citeras som</w:t>
      </w:r>
      <w:r w:rsidR="0062144B" w:rsidRPr="00B154C1">
        <w:rPr>
          <w:highlight w:val="yellow"/>
        </w:rPr>
        <w:t>:</w:t>
      </w:r>
      <w:r w:rsidR="00D05BBE">
        <w:rPr>
          <w:sz w:val="24"/>
          <w:szCs w:val="24"/>
        </w:rPr>
        <w:br w:type="page"/>
      </w:r>
      <w:r w:rsidR="00E13817" w:rsidRPr="000537AF">
        <w:rPr>
          <w:rStyle w:val="Rubrik3Char"/>
          <w:rFonts w:asciiTheme="majorHAnsi" w:hAnsiTheme="majorHAnsi" w:cstheme="majorHAnsi"/>
          <w:sz w:val="24"/>
          <w:szCs w:val="24"/>
        </w:rPr>
        <w:lastRenderedPageBreak/>
        <w:t xml:space="preserve">Sektion </w:t>
      </w:r>
      <w:r w:rsidR="0070387B" w:rsidRPr="000537AF">
        <w:rPr>
          <w:rStyle w:val="Rubrik3Char"/>
          <w:rFonts w:asciiTheme="majorHAnsi" w:hAnsiTheme="majorHAnsi" w:cstheme="majorHAnsi"/>
          <w:sz w:val="24"/>
          <w:szCs w:val="24"/>
        </w:rPr>
        <w:t>1</w:t>
      </w:r>
      <w:r w:rsidR="003B4CD1" w:rsidRPr="000537AF">
        <w:rPr>
          <w:rStyle w:val="Rubrik3Char"/>
          <w:rFonts w:asciiTheme="majorHAnsi" w:hAnsiTheme="majorHAnsi" w:cstheme="majorHAnsi"/>
          <w:sz w:val="24"/>
          <w:szCs w:val="24"/>
        </w:rPr>
        <w:t xml:space="preserve"> </w:t>
      </w:r>
      <w:r w:rsidR="0070387B" w:rsidRPr="000537AF">
        <w:rPr>
          <w:rStyle w:val="Rubrik3Char"/>
          <w:rFonts w:asciiTheme="majorHAnsi" w:hAnsiTheme="majorHAnsi" w:cstheme="majorHAnsi"/>
          <w:sz w:val="24"/>
          <w:szCs w:val="24"/>
        </w:rPr>
        <w:t xml:space="preserve">Del 1. </w:t>
      </w:r>
      <w:r w:rsidR="0009349B" w:rsidRPr="000537AF">
        <w:rPr>
          <w:rStyle w:val="Rubrik3Char"/>
          <w:rFonts w:asciiTheme="majorHAnsi" w:hAnsiTheme="majorHAnsi" w:cstheme="majorHAnsi"/>
          <w:sz w:val="24"/>
          <w:szCs w:val="24"/>
        </w:rPr>
        <w:t>S</w:t>
      </w:r>
      <w:r w:rsidR="00B63A59" w:rsidRPr="000537AF">
        <w:rPr>
          <w:rStyle w:val="Rubrik3Char"/>
          <w:rFonts w:asciiTheme="majorHAnsi" w:hAnsiTheme="majorHAnsi" w:cstheme="majorHAnsi"/>
          <w:sz w:val="24"/>
          <w:szCs w:val="24"/>
        </w:rPr>
        <w:t>ammanfattning</w:t>
      </w:r>
    </w:p>
    <w:p w14:paraId="0A0F91E1" w14:textId="77777777" w:rsidR="005D132C" w:rsidRDefault="005B7929" w:rsidP="0009349B">
      <w:pPr>
        <w:pStyle w:val="Brdtext"/>
        <w:rPr>
          <w:i/>
        </w:rPr>
      </w:pPr>
      <w:r>
        <w:rPr>
          <w:i/>
        </w:rPr>
        <w:t xml:space="preserve">Text riktad till bred publik. </w:t>
      </w:r>
      <w:r w:rsidR="005D132C" w:rsidRPr="005D132C">
        <w:rPr>
          <w:i/>
        </w:rPr>
        <w:t xml:space="preserve">Ska </w:t>
      </w:r>
      <w:r w:rsidR="00CD0774">
        <w:rPr>
          <w:i/>
        </w:rPr>
        <w:t xml:space="preserve">minst </w:t>
      </w:r>
      <w:r w:rsidR="005D132C" w:rsidRPr="005D132C">
        <w:rPr>
          <w:i/>
        </w:rPr>
        <w:t>beröra följande</w:t>
      </w:r>
      <w:r w:rsidR="00CD0774">
        <w:rPr>
          <w:i/>
        </w:rPr>
        <w:t xml:space="preserve"> teman. Max ca. 500 ord för de första punkterna och max ca. 500 ord för den sista</w:t>
      </w:r>
      <w:r w:rsidR="005D132C" w:rsidRPr="005D132C">
        <w:rPr>
          <w:i/>
        </w:rPr>
        <w:t>:</w:t>
      </w:r>
    </w:p>
    <w:p w14:paraId="75D55050" w14:textId="77777777" w:rsidR="005F79DE" w:rsidRDefault="005F79DE" w:rsidP="0009349B">
      <w:pPr>
        <w:pStyle w:val="Brdtext"/>
        <w:rPr>
          <w:i/>
        </w:rPr>
      </w:pPr>
    </w:p>
    <w:p w14:paraId="4695A485" w14:textId="626CD9B4" w:rsidR="005F79DE" w:rsidRPr="00B00436" w:rsidRDefault="00080323" w:rsidP="00C83BE3">
      <w:pPr>
        <w:pStyle w:val="Liststycke"/>
        <w:numPr>
          <w:ilvl w:val="0"/>
          <w:numId w:val="40"/>
        </w:numPr>
        <w:spacing w:line="240" w:lineRule="auto"/>
        <w:rPr>
          <w:rFonts w:asciiTheme="minorHAnsi" w:hAnsiTheme="minorHAnsi"/>
          <w:i/>
        </w:rPr>
      </w:pPr>
      <w:r w:rsidRPr="00B00436">
        <w:rPr>
          <w:rFonts w:asciiTheme="minorHAnsi" w:hAnsiTheme="minorHAnsi"/>
        </w:rPr>
        <w:t>Sto</w:t>
      </w:r>
      <w:r w:rsidR="00DA4751" w:rsidRPr="00B00436">
        <w:rPr>
          <w:rFonts w:asciiTheme="minorHAnsi" w:hAnsiTheme="minorHAnsi"/>
        </w:rPr>
        <w:t>r</w:t>
      </w:r>
      <w:r w:rsidRPr="00B00436">
        <w:rPr>
          <w:rFonts w:asciiTheme="minorHAnsi" w:hAnsiTheme="minorHAnsi"/>
        </w:rPr>
        <w:t xml:space="preserve"> fisk </w:t>
      </w:r>
      <w:r w:rsidR="00F26E56" w:rsidRPr="00B00436">
        <w:rPr>
          <w:rFonts w:asciiTheme="minorHAnsi" w:hAnsiTheme="minorHAnsi"/>
        </w:rPr>
        <w:t xml:space="preserve">har i ett ekosystem en kontrollerande effekt på underliggande näringsnivåer. En minskning av andelen stor fisk högt upp i näringskedjan kan </w:t>
      </w:r>
      <w:r w:rsidR="00F3546E" w:rsidRPr="00B00436">
        <w:rPr>
          <w:rFonts w:asciiTheme="minorHAnsi" w:hAnsiTheme="minorHAnsi"/>
        </w:rPr>
        <w:t xml:space="preserve">därför </w:t>
      </w:r>
      <w:r w:rsidR="00F26E56" w:rsidRPr="00B00436">
        <w:rPr>
          <w:rFonts w:asciiTheme="minorHAnsi" w:hAnsiTheme="minorHAnsi"/>
        </w:rPr>
        <w:t xml:space="preserve">ge mer eller mindre förutsägbara kaskadeffekter </w:t>
      </w:r>
      <w:r w:rsidR="00B00436" w:rsidRPr="00B00436">
        <w:rPr>
          <w:rFonts w:asciiTheme="minorHAnsi" w:hAnsiTheme="minorHAnsi"/>
        </w:rPr>
        <w:t>för</w:t>
      </w:r>
      <w:r w:rsidR="00F26E56" w:rsidRPr="00B00436">
        <w:rPr>
          <w:rFonts w:asciiTheme="minorHAnsi" w:hAnsiTheme="minorHAnsi"/>
        </w:rPr>
        <w:t xml:space="preserve"> andra delar av det marina ekosystemet (Frank m fl 2005</w:t>
      </w:r>
      <w:r w:rsidR="00F3546E" w:rsidRPr="00B00436">
        <w:rPr>
          <w:rFonts w:asciiTheme="minorHAnsi" w:hAnsiTheme="minorHAnsi"/>
        </w:rPr>
        <w:t>; Scheffer m fl 2005</w:t>
      </w:r>
      <w:r w:rsidR="00F26E56" w:rsidRPr="00B00436">
        <w:rPr>
          <w:rFonts w:asciiTheme="minorHAnsi" w:hAnsiTheme="minorHAnsi"/>
        </w:rPr>
        <w:t xml:space="preserve">). </w:t>
      </w:r>
    </w:p>
    <w:p w14:paraId="7F97CE10" w14:textId="77777777" w:rsidR="000D7ADC" w:rsidRPr="000D7ADC" w:rsidRDefault="000D7ADC" w:rsidP="000D7ADC">
      <w:pPr>
        <w:pStyle w:val="Liststycke"/>
        <w:rPr>
          <w:rFonts w:asciiTheme="minorHAnsi" w:hAnsiTheme="minorHAnsi"/>
          <w:i/>
        </w:rPr>
      </w:pPr>
    </w:p>
    <w:p w14:paraId="7441AED2" w14:textId="191C109E" w:rsidR="00B56F8B" w:rsidRPr="000D7ADC" w:rsidRDefault="0059289C" w:rsidP="00C83BE3">
      <w:pPr>
        <w:pStyle w:val="Liststycke"/>
        <w:numPr>
          <w:ilvl w:val="0"/>
          <w:numId w:val="40"/>
        </w:numPr>
        <w:spacing w:line="240" w:lineRule="auto"/>
        <w:rPr>
          <w:rFonts w:asciiTheme="minorHAnsi" w:hAnsiTheme="minorHAnsi"/>
        </w:rPr>
      </w:pPr>
      <w:r w:rsidRPr="000D7ADC">
        <w:rPr>
          <w:rFonts w:asciiTheme="minorHAnsi" w:hAnsiTheme="minorHAnsi"/>
        </w:rPr>
        <w:t>Andel stor fisk (</w:t>
      </w:r>
      <w:r w:rsidR="00F3546E" w:rsidRPr="000D7ADC">
        <w:rPr>
          <w:rFonts w:asciiTheme="minorHAnsi" w:hAnsiTheme="minorHAnsi"/>
        </w:rPr>
        <w:t>Large Fish Index, [</w:t>
      </w:r>
      <w:r w:rsidRPr="000D7ADC">
        <w:rPr>
          <w:rFonts w:asciiTheme="minorHAnsi" w:hAnsiTheme="minorHAnsi"/>
        </w:rPr>
        <w:t>LFI</w:t>
      </w:r>
      <w:r w:rsidR="00F3546E" w:rsidRPr="000D7ADC">
        <w:rPr>
          <w:rFonts w:asciiTheme="minorHAnsi" w:hAnsiTheme="minorHAnsi"/>
        </w:rPr>
        <w:t>]</w:t>
      </w:r>
      <w:r w:rsidRPr="000D7ADC">
        <w:rPr>
          <w:rFonts w:asciiTheme="minorHAnsi" w:hAnsiTheme="minorHAnsi"/>
        </w:rPr>
        <w:t>) större än 50 cm i kustvatten används här som en indikator för miljöstatus i det bottenlevande fisksamhället på mjukbottnar inom västkusten</w:t>
      </w:r>
      <w:r w:rsidR="00564817" w:rsidRPr="000D7ADC">
        <w:rPr>
          <w:rFonts w:asciiTheme="minorHAnsi" w:hAnsiTheme="minorHAnsi"/>
        </w:rPr>
        <w:t>s</w:t>
      </w:r>
      <w:r w:rsidRPr="000D7ADC">
        <w:rPr>
          <w:rFonts w:asciiTheme="minorHAnsi" w:hAnsiTheme="minorHAnsi"/>
        </w:rPr>
        <w:t xml:space="preserve"> skärgårdsområde. Eftersom fiske inriktat mot bottenlevande (s.k. demersala) arter proportionellt sett fångar fler stora fiskar innebär ett högt fisketryck att storlekstrukturen av fisk förskjuts mot mindre storlekar som en första observerbar störning på samhällsnivå (Pauly </w:t>
      </w:r>
      <w:r w:rsidR="000034E3" w:rsidRPr="000D7ADC">
        <w:rPr>
          <w:rFonts w:asciiTheme="minorHAnsi" w:hAnsiTheme="minorHAnsi"/>
        </w:rPr>
        <w:t>m fl</w:t>
      </w:r>
      <w:r w:rsidRPr="000D7ADC">
        <w:rPr>
          <w:rFonts w:asciiTheme="minorHAnsi" w:hAnsiTheme="minorHAnsi"/>
        </w:rPr>
        <w:t xml:space="preserve"> 1998; Bianchi </w:t>
      </w:r>
      <w:r w:rsidR="000034E3" w:rsidRPr="000D7ADC">
        <w:rPr>
          <w:rFonts w:asciiTheme="minorHAnsi" w:hAnsiTheme="minorHAnsi"/>
        </w:rPr>
        <w:t>m fl</w:t>
      </w:r>
      <w:r w:rsidRPr="000D7ADC">
        <w:rPr>
          <w:rFonts w:asciiTheme="minorHAnsi" w:hAnsiTheme="minorHAnsi"/>
        </w:rPr>
        <w:t xml:space="preserve"> 2000; Jackson </w:t>
      </w:r>
      <w:r w:rsidR="000034E3" w:rsidRPr="000D7ADC">
        <w:rPr>
          <w:rFonts w:asciiTheme="minorHAnsi" w:hAnsiTheme="minorHAnsi"/>
        </w:rPr>
        <w:t>m fl</w:t>
      </w:r>
      <w:r w:rsidR="00E14BA4" w:rsidRPr="000D7ADC">
        <w:rPr>
          <w:rFonts w:asciiTheme="minorHAnsi" w:hAnsiTheme="minorHAnsi"/>
        </w:rPr>
        <w:t xml:space="preserve"> 2005).</w:t>
      </w:r>
    </w:p>
    <w:p w14:paraId="16DC9611" w14:textId="77777777" w:rsidR="00B56F8B" w:rsidRDefault="00B56F8B" w:rsidP="00B56F8B">
      <w:pPr>
        <w:pStyle w:val="Liststycke"/>
        <w:spacing w:after="0" w:line="240" w:lineRule="auto"/>
        <w:rPr>
          <w:rFonts w:asciiTheme="minorHAnsi" w:hAnsiTheme="minorHAnsi"/>
        </w:rPr>
      </w:pPr>
    </w:p>
    <w:p w14:paraId="2775D3AF" w14:textId="005ECB74" w:rsidR="00B56F8B" w:rsidRPr="00B96D3D" w:rsidRDefault="00B56F8B" w:rsidP="00B56F8B">
      <w:pPr>
        <w:pStyle w:val="Liststycke"/>
        <w:numPr>
          <w:ilvl w:val="0"/>
          <w:numId w:val="30"/>
        </w:numPr>
        <w:spacing w:after="0" w:line="240" w:lineRule="auto"/>
        <w:rPr>
          <w:rFonts w:asciiTheme="minorHAnsi" w:hAnsiTheme="minorHAnsi"/>
        </w:rPr>
      </w:pPr>
      <w:r w:rsidRPr="00B96D3D">
        <w:rPr>
          <w:rFonts w:asciiTheme="minorHAnsi" w:hAnsiTheme="minorHAnsi"/>
        </w:rPr>
        <w:t>LFI har utvecklats inom OSPAR och används för bedömningen av god miljöstatus för samtliga havsområden inom OSPAR-området. Den bedömningsmetod vi använder här följer den standard OSPAR har satt för indikatorns utveckling</w:t>
      </w:r>
      <w:r>
        <w:rPr>
          <w:rFonts w:asciiTheme="minorHAnsi" w:hAnsiTheme="minorHAnsi"/>
        </w:rPr>
        <w:t>, men använder en annan datakälla från kustområdet</w:t>
      </w:r>
      <w:r w:rsidR="000C5D2A">
        <w:rPr>
          <w:rFonts w:asciiTheme="minorHAnsi" w:hAnsiTheme="minorHAnsi"/>
        </w:rPr>
        <w:t>.</w:t>
      </w:r>
    </w:p>
    <w:p w14:paraId="6E469B51" w14:textId="77777777" w:rsidR="00564817" w:rsidRPr="00564817" w:rsidRDefault="00564817" w:rsidP="00B56F8B">
      <w:pPr>
        <w:spacing w:after="0"/>
      </w:pPr>
    </w:p>
    <w:p w14:paraId="05ED838E" w14:textId="73D96556" w:rsidR="0059289C" w:rsidRPr="00FD639B" w:rsidRDefault="0059289C" w:rsidP="0009349B">
      <w:pPr>
        <w:pStyle w:val="Liststycke"/>
        <w:numPr>
          <w:ilvl w:val="0"/>
          <w:numId w:val="29"/>
        </w:numPr>
        <w:spacing w:after="0" w:line="240" w:lineRule="auto"/>
        <w:rPr>
          <w:rFonts w:asciiTheme="minorHAnsi" w:hAnsiTheme="minorHAnsi"/>
        </w:rPr>
      </w:pPr>
      <w:r w:rsidRPr="00FD639B">
        <w:rPr>
          <w:rFonts w:asciiTheme="minorHAnsi" w:hAnsiTheme="minorHAnsi"/>
        </w:rPr>
        <w:t xml:space="preserve">Som gräns för ”god miljöstatus” (GES) </w:t>
      </w:r>
      <w:r w:rsidR="00564817" w:rsidRPr="00FD639B">
        <w:rPr>
          <w:rFonts w:asciiTheme="minorHAnsi" w:hAnsiTheme="minorHAnsi"/>
        </w:rPr>
        <w:t xml:space="preserve">av </w:t>
      </w:r>
      <w:r w:rsidRPr="00FD639B">
        <w:rPr>
          <w:rFonts w:asciiTheme="minorHAnsi" w:hAnsiTheme="minorHAnsi"/>
        </w:rPr>
        <w:t xml:space="preserve">andelen stor fisk </w:t>
      </w:r>
      <w:r w:rsidR="007E5376" w:rsidRPr="00FD639B">
        <w:rPr>
          <w:rFonts w:asciiTheme="minorHAnsi" w:hAnsiTheme="minorHAnsi"/>
        </w:rPr>
        <w:t>anges 0,2</w:t>
      </w:r>
      <w:r w:rsidR="00564817" w:rsidRPr="00FD639B">
        <w:rPr>
          <w:rFonts w:asciiTheme="minorHAnsi" w:hAnsiTheme="minorHAnsi"/>
        </w:rPr>
        <w:t>,</w:t>
      </w:r>
      <w:r w:rsidRPr="00FD639B">
        <w:rPr>
          <w:rFonts w:asciiTheme="minorHAnsi" w:hAnsiTheme="minorHAnsi"/>
        </w:rPr>
        <w:t xml:space="preserve"> d.v.s. </w:t>
      </w:r>
      <w:r w:rsidR="00E274F8" w:rsidRPr="00FD639B">
        <w:rPr>
          <w:rFonts w:asciiTheme="minorHAnsi" w:hAnsiTheme="minorHAnsi"/>
        </w:rPr>
        <w:t xml:space="preserve">att </w:t>
      </w:r>
      <w:r w:rsidRPr="00FD639B">
        <w:rPr>
          <w:rFonts w:asciiTheme="minorHAnsi" w:hAnsiTheme="minorHAnsi"/>
        </w:rPr>
        <w:t xml:space="preserve">biomassan av stor fisk </w:t>
      </w:r>
      <w:r w:rsidR="00E274F8" w:rsidRPr="00FD639B">
        <w:rPr>
          <w:rFonts w:asciiTheme="minorHAnsi" w:hAnsiTheme="minorHAnsi"/>
        </w:rPr>
        <w:t xml:space="preserve">utgör </w:t>
      </w:r>
      <w:r w:rsidRPr="00FD639B">
        <w:rPr>
          <w:rFonts w:asciiTheme="minorHAnsi" w:hAnsiTheme="minorHAnsi"/>
        </w:rPr>
        <w:t xml:space="preserve">20 % eller mer av den totala biomassan fisk </w:t>
      </w:r>
      <w:r w:rsidR="00075D07" w:rsidRPr="00FD639B">
        <w:rPr>
          <w:rFonts w:asciiTheme="minorHAnsi" w:hAnsiTheme="minorHAnsi"/>
        </w:rPr>
        <w:t xml:space="preserve">med 95% konfidensintervall </w:t>
      </w:r>
      <w:r w:rsidRPr="00FD639B">
        <w:rPr>
          <w:rFonts w:asciiTheme="minorHAnsi" w:hAnsiTheme="minorHAnsi"/>
        </w:rPr>
        <w:t>så har kustvattnet god miljöstatus (GES).</w:t>
      </w:r>
      <w:r w:rsidRPr="00B96D3D">
        <w:rPr>
          <w:rFonts w:asciiTheme="minorHAnsi" w:hAnsiTheme="minorHAnsi"/>
        </w:rPr>
        <w:t xml:space="preserve"> Detta gränsvärde kommer från analyser av hela Nordsjöns trålundersökningar genomförda inom OSPAR-</w:t>
      </w:r>
      <w:r w:rsidRPr="00FD639B">
        <w:rPr>
          <w:rFonts w:asciiTheme="minorHAnsi" w:hAnsiTheme="minorHAnsi"/>
        </w:rPr>
        <w:t>samarbetet och är baserat på hur fisksamhället såg ut i början på 1980-talet när det ansetts att en större andel av fiskbestånden fiskades uthålligt</w:t>
      </w:r>
      <w:r w:rsidR="000D7ADC" w:rsidRPr="00FD639B">
        <w:rPr>
          <w:rFonts w:asciiTheme="minorHAnsi" w:hAnsiTheme="minorHAnsi"/>
        </w:rPr>
        <w:t xml:space="preserve"> (</w:t>
      </w:r>
      <w:r w:rsidR="00320540" w:rsidRPr="00FD639B">
        <w:rPr>
          <w:rFonts w:asciiTheme="minorHAnsi" w:hAnsiTheme="minorHAnsi"/>
        </w:rPr>
        <w:t xml:space="preserve">ICES 2007; </w:t>
      </w:r>
      <w:r w:rsidR="000D7ADC" w:rsidRPr="00FD639B">
        <w:rPr>
          <w:rFonts w:asciiTheme="minorHAnsi" w:hAnsiTheme="minorHAnsi"/>
        </w:rPr>
        <w:t>Greenstreet m fl 2010)</w:t>
      </w:r>
      <w:r w:rsidRPr="00FD639B">
        <w:rPr>
          <w:rFonts w:asciiTheme="minorHAnsi" w:hAnsiTheme="minorHAnsi"/>
        </w:rPr>
        <w:t>. Är andelen stor fisk mindre än 20 % av den totala biomassan fisk så har kustvattnet ”icke god statu</w:t>
      </w:r>
      <w:r w:rsidR="00C83BE3" w:rsidRPr="00FD639B">
        <w:rPr>
          <w:rFonts w:asciiTheme="minorHAnsi" w:hAnsiTheme="minorHAnsi"/>
        </w:rPr>
        <w:t>s” (subGES) för indikatorn LFI.</w:t>
      </w:r>
    </w:p>
    <w:p w14:paraId="6080F910" w14:textId="77777777" w:rsidR="00C83BE3" w:rsidRPr="00C83BE3" w:rsidRDefault="00C83BE3" w:rsidP="00C83BE3">
      <w:pPr>
        <w:pStyle w:val="Liststycke"/>
        <w:spacing w:after="0" w:line="240" w:lineRule="auto"/>
        <w:rPr>
          <w:rFonts w:asciiTheme="minorHAnsi" w:hAnsiTheme="minorHAnsi"/>
        </w:rPr>
      </w:pPr>
    </w:p>
    <w:p w14:paraId="03DC8B66" w14:textId="29231010" w:rsidR="0059289C" w:rsidRPr="00B96D3D" w:rsidRDefault="001543DF" w:rsidP="0009349B">
      <w:pPr>
        <w:pStyle w:val="Liststycke"/>
        <w:numPr>
          <w:ilvl w:val="0"/>
          <w:numId w:val="29"/>
        </w:numPr>
        <w:spacing w:after="0" w:line="240" w:lineRule="auto"/>
        <w:rPr>
          <w:rFonts w:asciiTheme="minorHAnsi" w:hAnsiTheme="minorHAnsi"/>
        </w:rPr>
      </w:pPr>
      <w:r w:rsidRPr="00B96D3D">
        <w:rPr>
          <w:rFonts w:asciiTheme="minorHAnsi" w:hAnsiTheme="minorHAnsi"/>
        </w:rPr>
        <w:t xml:space="preserve">Fiske leder till ökad dödlighet </w:t>
      </w:r>
      <w:r w:rsidR="00564817">
        <w:rPr>
          <w:rFonts w:asciiTheme="minorHAnsi" w:hAnsiTheme="minorHAnsi"/>
        </w:rPr>
        <w:t>i</w:t>
      </w:r>
      <w:r w:rsidR="00564817" w:rsidRPr="00B96D3D">
        <w:rPr>
          <w:rFonts w:asciiTheme="minorHAnsi" w:hAnsiTheme="minorHAnsi"/>
        </w:rPr>
        <w:t xml:space="preserve"> </w:t>
      </w:r>
      <w:r w:rsidRPr="00B96D3D">
        <w:rPr>
          <w:rFonts w:asciiTheme="minorHAnsi" w:hAnsiTheme="minorHAnsi"/>
        </w:rPr>
        <w:t xml:space="preserve">fisksamhället och därmed till att fiskarna </w:t>
      </w:r>
      <w:r w:rsidR="00E07A16">
        <w:rPr>
          <w:rFonts w:asciiTheme="minorHAnsi" w:hAnsiTheme="minorHAnsi"/>
        </w:rPr>
        <w:t>i</w:t>
      </w:r>
      <w:r w:rsidRPr="00B96D3D">
        <w:rPr>
          <w:rFonts w:asciiTheme="minorHAnsi" w:hAnsiTheme="minorHAnsi"/>
        </w:rPr>
        <w:t xml:space="preserve"> medeltal inte hinner uppnå samma ålder och storlek längre</w:t>
      </w:r>
      <w:r w:rsidR="00564817">
        <w:rPr>
          <w:rFonts w:asciiTheme="minorHAnsi" w:hAnsiTheme="minorHAnsi"/>
        </w:rPr>
        <w:t xml:space="preserve"> innan de fiskas upp</w:t>
      </w:r>
      <w:r w:rsidRPr="00B96D3D">
        <w:rPr>
          <w:rFonts w:asciiTheme="minorHAnsi" w:hAnsiTheme="minorHAnsi"/>
        </w:rPr>
        <w:t xml:space="preserve">. Fiske är dessutom storleksselektivt så att i huvudsak större och därmed äldre fiskar fiskas upp. Storleksfördelningen i fisksamhället kommer därför att förskjutas mot en lägre andel stor fisk och indikatorn för andel stor fisk (LFI) har goda förutsättningar att fånga upp denna förändring </w:t>
      </w:r>
      <w:r w:rsidR="008141A7">
        <w:rPr>
          <w:rFonts w:asciiTheme="minorHAnsi" w:hAnsiTheme="minorHAnsi"/>
        </w:rPr>
        <w:t xml:space="preserve">av fisksamhället </w:t>
      </w:r>
      <w:r w:rsidRPr="00B96D3D">
        <w:rPr>
          <w:rFonts w:asciiTheme="minorHAnsi" w:hAnsiTheme="minorHAnsi"/>
        </w:rPr>
        <w:t xml:space="preserve">i relation till påverkan från </w:t>
      </w:r>
      <w:r w:rsidR="000C5D2A">
        <w:rPr>
          <w:rFonts w:asciiTheme="minorHAnsi" w:hAnsiTheme="minorHAnsi"/>
        </w:rPr>
        <w:t>fiske.</w:t>
      </w:r>
    </w:p>
    <w:p w14:paraId="3EDC6CFF" w14:textId="77777777" w:rsidR="00E13817" w:rsidRDefault="00E13817" w:rsidP="00BC37A8">
      <w:pPr>
        <w:pStyle w:val="Liststycke"/>
        <w:spacing w:after="0" w:line="240" w:lineRule="auto"/>
      </w:pPr>
    </w:p>
    <w:p w14:paraId="26EF69AB" w14:textId="3BF5BB60" w:rsidR="00C83BE3" w:rsidRDefault="00B56F8B" w:rsidP="00C83BE3">
      <w:pPr>
        <w:pStyle w:val="Liststycke"/>
        <w:numPr>
          <w:ilvl w:val="0"/>
          <w:numId w:val="30"/>
        </w:numPr>
        <w:spacing w:after="0" w:line="240" w:lineRule="auto"/>
        <w:rPr>
          <w:rFonts w:asciiTheme="minorHAnsi" w:hAnsiTheme="minorHAnsi"/>
        </w:rPr>
      </w:pPr>
      <w:r>
        <w:rPr>
          <w:rFonts w:asciiTheme="minorHAnsi" w:hAnsiTheme="minorHAnsi"/>
        </w:rPr>
        <w:t xml:space="preserve">För att beräkna </w:t>
      </w:r>
      <w:r w:rsidR="00F36D1A" w:rsidRPr="00B96D3D">
        <w:rPr>
          <w:rFonts w:asciiTheme="minorHAnsi" w:hAnsiTheme="minorHAnsi"/>
        </w:rPr>
        <w:t xml:space="preserve">LFI </w:t>
      </w:r>
      <w:r w:rsidRPr="00B96D3D">
        <w:rPr>
          <w:rFonts w:asciiTheme="minorHAnsi" w:hAnsiTheme="minorHAnsi"/>
        </w:rPr>
        <w:t>använd</w:t>
      </w:r>
      <w:r>
        <w:rPr>
          <w:rFonts w:asciiTheme="minorHAnsi" w:hAnsiTheme="minorHAnsi"/>
        </w:rPr>
        <w:t>s</w:t>
      </w:r>
      <w:r w:rsidRPr="00B96D3D">
        <w:rPr>
          <w:rFonts w:asciiTheme="minorHAnsi" w:hAnsiTheme="minorHAnsi"/>
        </w:rPr>
        <w:t xml:space="preserve"> </w:t>
      </w:r>
      <w:r w:rsidR="00F36D1A" w:rsidRPr="00B96D3D">
        <w:rPr>
          <w:rFonts w:asciiTheme="minorHAnsi" w:hAnsiTheme="minorHAnsi"/>
        </w:rPr>
        <w:t xml:space="preserve">storleksfördelning </w:t>
      </w:r>
      <w:r>
        <w:rPr>
          <w:rFonts w:asciiTheme="minorHAnsi" w:hAnsiTheme="minorHAnsi"/>
        </w:rPr>
        <w:t>i</w:t>
      </w:r>
      <w:r w:rsidRPr="00B96D3D">
        <w:rPr>
          <w:rFonts w:asciiTheme="minorHAnsi" w:hAnsiTheme="minorHAnsi"/>
        </w:rPr>
        <w:t xml:space="preserve"> </w:t>
      </w:r>
      <w:r w:rsidR="00F36D1A" w:rsidRPr="00B96D3D">
        <w:rPr>
          <w:rFonts w:asciiTheme="minorHAnsi" w:hAnsiTheme="minorHAnsi"/>
        </w:rPr>
        <w:t>fisksamhället baserat på bottentrålsundersökningar. För varje tråldrag beräknas andelen av den sammanlagda biomassan av fisk som</w:t>
      </w:r>
      <w:r w:rsidR="00EC37DC">
        <w:rPr>
          <w:rFonts w:asciiTheme="minorHAnsi" w:hAnsiTheme="minorHAnsi"/>
        </w:rPr>
        <w:t xml:space="preserve"> härstammar från individer </w:t>
      </w:r>
      <w:r w:rsidR="00A9271D">
        <w:rPr>
          <w:rFonts w:asciiTheme="minorHAnsi" w:hAnsiTheme="minorHAnsi"/>
        </w:rPr>
        <w:t>som</w:t>
      </w:r>
      <w:r w:rsidR="00F36D1A" w:rsidRPr="00B96D3D">
        <w:rPr>
          <w:rFonts w:asciiTheme="minorHAnsi" w:hAnsiTheme="minorHAnsi"/>
        </w:rPr>
        <w:t xml:space="preserve"> överstiger 50 cm i längd. Endast bottenlevande arter inkluderas vilket gör att exempelvis enstaka stora fångster av sill eller skarpsill inte påverkar resultaten. Viktigt att notera är att de individuella fiskarna inte vägts utan att vikten kommer från en artspecifik standardnyckel för vikt givet längd. LFI för enskilda tråldrag </w:t>
      </w:r>
      <w:r w:rsidRPr="00B96D3D">
        <w:rPr>
          <w:rFonts w:asciiTheme="minorHAnsi" w:hAnsiTheme="minorHAnsi"/>
        </w:rPr>
        <w:t>ha</w:t>
      </w:r>
      <w:r>
        <w:rPr>
          <w:rFonts w:asciiTheme="minorHAnsi" w:hAnsiTheme="minorHAnsi"/>
        </w:rPr>
        <w:t>r</w:t>
      </w:r>
      <w:r w:rsidRPr="00B96D3D">
        <w:rPr>
          <w:rFonts w:asciiTheme="minorHAnsi" w:hAnsiTheme="minorHAnsi"/>
        </w:rPr>
        <w:t xml:space="preserve"> </w:t>
      </w:r>
      <w:r w:rsidR="00F36D1A" w:rsidRPr="00B96D3D">
        <w:rPr>
          <w:rFonts w:asciiTheme="minorHAnsi" w:hAnsiTheme="minorHAnsi"/>
        </w:rPr>
        <w:t>sedan aggregerats till ett årsmedelvärde för de olika områdena. Figur 1 visar både medelvärden samt den statistiska osäkerheten</w:t>
      </w:r>
      <w:r>
        <w:rPr>
          <w:rFonts w:asciiTheme="minorHAnsi" w:hAnsiTheme="minorHAnsi"/>
        </w:rPr>
        <w:t xml:space="preserve"> för LFI</w:t>
      </w:r>
      <w:r w:rsidR="00F36D1A" w:rsidRPr="00B96D3D">
        <w:rPr>
          <w:rFonts w:asciiTheme="minorHAnsi" w:hAnsiTheme="minorHAnsi"/>
        </w:rPr>
        <w:t>, uttryckt i form av ett 95 % konfidensintervall</w:t>
      </w:r>
      <w:r>
        <w:rPr>
          <w:rFonts w:asciiTheme="minorHAnsi" w:hAnsiTheme="minorHAnsi"/>
        </w:rPr>
        <w:t xml:space="preserve"> för perioden 2001-2016</w:t>
      </w:r>
      <w:r w:rsidR="00C83BE3">
        <w:rPr>
          <w:rFonts w:asciiTheme="minorHAnsi" w:hAnsiTheme="minorHAnsi"/>
        </w:rPr>
        <w:t>.</w:t>
      </w:r>
    </w:p>
    <w:p w14:paraId="405AC709" w14:textId="77777777" w:rsidR="00C83BE3" w:rsidRPr="00C83BE3" w:rsidRDefault="00C83BE3" w:rsidP="00C83BE3">
      <w:pPr>
        <w:pStyle w:val="Liststycke"/>
        <w:spacing w:after="0" w:line="240" w:lineRule="auto"/>
        <w:rPr>
          <w:rFonts w:asciiTheme="minorHAnsi" w:hAnsiTheme="minorHAnsi"/>
        </w:rPr>
      </w:pPr>
    </w:p>
    <w:p w14:paraId="1B237E11" w14:textId="5FA54695" w:rsidR="00F36D1A" w:rsidRDefault="00F36D1A" w:rsidP="00F36D1A">
      <w:pPr>
        <w:pStyle w:val="Liststycke"/>
        <w:numPr>
          <w:ilvl w:val="0"/>
          <w:numId w:val="31"/>
        </w:numPr>
        <w:spacing w:after="0" w:line="240" w:lineRule="auto"/>
        <w:rPr>
          <w:rFonts w:asciiTheme="minorHAnsi" w:hAnsiTheme="minorHAnsi"/>
        </w:rPr>
      </w:pPr>
      <w:r w:rsidRPr="00B96D3D">
        <w:rPr>
          <w:rFonts w:asciiTheme="minorHAnsi" w:hAnsiTheme="minorHAnsi"/>
        </w:rPr>
        <w:t>De kustnära bestånden av bottenlevande fisk på mjukbottnar provtas i SLU Aquas årliga kusttrålning (Havs och Vattenmyndigheten 2014). Kusttrålningen har genomförts längs den svenska kusten i Västerhavet i standardiserad form sedan 200</w:t>
      </w:r>
      <w:r w:rsidR="00C83BE3">
        <w:rPr>
          <w:rFonts w:asciiTheme="minorHAnsi" w:hAnsiTheme="minorHAnsi"/>
        </w:rPr>
        <w:t>1</w:t>
      </w:r>
      <w:r w:rsidRPr="00B96D3D">
        <w:rPr>
          <w:rFonts w:asciiTheme="minorHAnsi" w:hAnsiTheme="minorHAnsi"/>
        </w:rPr>
        <w:t xml:space="preserve">, och är från 2009 fokuserad till kustavsnittet från Kungsbacka i söder till norska </w:t>
      </w:r>
      <w:r w:rsidRPr="00B96D3D">
        <w:rPr>
          <w:rFonts w:asciiTheme="minorHAnsi" w:hAnsiTheme="minorHAnsi"/>
        </w:rPr>
        <w:lastRenderedPageBreak/>
        <w:t>gränsen i norr</w:t>
      </w:r>
      <w:r w:rsidR="00F77DC3" w:rsidRPr="00B96D3D">
        <w:rPr>
          <w:rFonts w:asciiTheme="minorHAnsi" w:hAnsiTheme="minorHAnsi"/>
        </w:rPr>
        <w:t xml:space="preserve"> och inkluderar därmed den svenska delen av Västerhavets fjord- och skärgårdsområden</w:t>
      </w:r>
      <w:r w:rsidRPr="00B96D3D">
        <w:rPr>
          <w:rFonts w:asciiTheme="minorHAnsi" w:hAnsiTheme="minorHAnsi"/>
        </w:rPr>
        <w:t>.</w:t>
      </w:r>
    </w:p>
    <w:p w14:paraId="5B79900F" w14:textId="77777777" w:rsidR="009378C0" w:rsidRPr="00B96D3D" w:rsidRDefault="009378C0" w:rsidP="009378C0">
      <w:pPr>
        <w:pStyle w:val="Liststycke"/>
        <w:spacing w:after="0" w:line="240" w:lineRule="auto"/>
        <w:rPr>
          <w:rFonts w:asciiTheme="minorHAnsi" w:hAnsiTheme="minorHAnsi"/>
        </w:rPr>
      </w:pPr>
    </w:p>
    <w:p w14:paraId="31420C9D" w14:textId="052115E6" w:rsidR="00F36D1A" w:rsidRPr="00C83BE3" w:rsidRDefault="00F36D1A" w:rsidP="001A169A">
      <w:pPr>
        <w:pStyle w:val="Liststycke"/>
        <w:numPr>
          <w:ilvl w:val="0"/>
          <w:numId w:val="31"/>
        </w:numPr>
        <w:spacing w:after="0" w:line="240" w:lineRule="auto"/>
      </w:pPr>
      <w:r w:rsidRPr="00C83BE3">
        <w:rPr>
          <w:rFonts w:asciiTheme="minorHAnsi" w:hAnsiTheme="minorHAnsi"/>
        </w:rPr>
        <w:t>I kusttrålningarna trålas lokaler med mjukbotten i fjordar, skärgårdsområdet, och i utsjöområden närmast kusten. Huvudsakliga målsättningar är att övervaka utvecklingen av kustbestånd för ett urval av kommersiell</w:t>
      </w:r>
      <w:r w:rsidR="00136FAA" w:rsidRPr="00C83BE3">
        <w:rPr>
          <w:rFonts w:asciiTheme="minorHAnsi" w:hAnsiTheme="minorHAnsi"/>
        </w:rPr>
        <w:t>t nyttjade</w:t>
      </w:r>
      <w:r w:rsidRPr="00C83BE3">
        <w:rPr>
          <w:rFonts w:asciiTheme="minorHAnsi" w:hAnsiTheme="minorHAnsi"/>
        </w:rPr>
        <w:t xml:space="preserve"> fiskarter med </w:t>
      </w:r>
      <w:r w:rsidR="00BA53A9" w:rsidRPr="00C83BE3">
        <w:rPr>
          <w:rFonts w:asciiTheme="minorHAnsi" w:hAnsiTheme="minorHAnsi"/>
        </w:rPr>
        <w:t xml:space="preserve">särskilt </w:t>
      </w:r>
      <w:r w:rsidRPr="00C83BE3">
        <w:rPr>
          <w:rFonts w:asciiTheme="minorHAnsi" w:hAnsiTheme="minorHAnsi"/>
        </w:rPr>
        <w:t>fokus på torsk samt att övervaka biologisk mångfald för fisk inom Havsmiljödirektivets deskriptor 1 (biologisk mångfald) och 4 (marina ekosystem/näringsvävar). Eftersom IBTS och kusttrålningen provtar mjukbottnar i utsjöområdena respektive svenska västkustens fjord och skärgårdsområden kan man följa både tidsmässiga och rumsliga förändringar i storl</w:t>
      </w:r>
      <w:r w:rsidR="00C83BE3" w:rsidRPr="00C83BE3">
        <w:rPr>
          <w:rFonts w:asciiTheme="minorHAnsi" w:hAnsiTheme="minorHAnsi"/>
        </w:rPr>
        <w:t>eksstrukturen hos fisksamhället.</w:t>
      </w:r>
    </w:p>
    <w:p w14:paraId="755A02B4" w14:textId="77777777" w:rsidR="00C83BE3" w:rsidRPr="00C83BE3" w:rsidRDefault="00C83BE3" w:rsidP="00C83BE3">
      <w:pPr>
        <w:pStyle w:val="Liststycke"/>
        <w:spacing w:after="0" w:line="240" w:lineRule="auto"/>
      </w:pPr>
    </w:p>
    <w:p w14:paraId="4DEAA01A" w14:textId="5C283504" w:rsidR="007A2FB0" w:rsidRPr="00BC37A8" w:rsidRDefault="00F36D1A" w:rsidP="001A169A">
      <w:pPr>
        <w:pStyle w:val="Liststycke"/>
        <w:numPr>
          <w:ilvl w:val="0"/>
          <w:numId w:val="32"/>
        </w:numPr>
        <w:spacing w:after="0" w:line="240" w:lineRule="auto"/>
      </w:pPr>
      <w:r w:rsidRPr="00BC37A8">
        <w:rPr>
          <w:rFonts w:asciiTheme="minorHAnsi" w:hAnsiTheme="minorHAnsi"/>
        </w:rPr>
        <w:t>Andelen stor fisk (LFI) i Skagerraks kustvatten är mycket låg</w:t>
      </w:r>
      <w:r w:rsidR="00BC37A8">
        <w:rPr>
          <w:rFonts w:asciiTheme="minorHAnsi" w:hAnsiTheme="minorHAnsi"/>
        </w:rPr>
        <w:t xml:space="preserve"> (Figur 1)</w:t>
      </w:r>
      <w:r w:rsidR="00AD43C1">
        <w:rPr>
          <w:rFonts w:asciiTheme="minorHAnsi" w:hAnsiTheme="minorHAnsi"/>
        </w:rPr>
        <w:t xml:space="preserve"> och visar inga tecken på att vara på väg mot gränsen för god miljöstatus, LFI = 0,2.</w:t>
      </w:r>
    </w:p>
    <w:p w14:paraId="3D0CE0B5" w14:textId="77777777" w:rsidR="00BC37A8" w:rsidRDefault="00BC37A8" w:rsidP="00BC37A8">
      <w:pPr>
        <w:pStyle w:val="Liststycke"/>
        <w:spacing w:after="0" w:line="240" w:lineRule="auto"/>
      </w:pPr>
    </w:p>
    <w:tbl>
      <w:tblPr>
        <w:tblStyle w:val="Tabellrutnt"/>
        <w:tblW w:w="0" w:type="auto"/>
        <w:tblInd w:w="-7" w:type="dxa"/>
        <w:tblLook w:val="04A0" w:firstRow="1" w:lastRow="0" w:firstColumn="1" w:lastColumn="0" w:noHBand="0" w:noVBand="1"/>
      </w:tblPr>
      <w:tblGrid>
        <w:gridCol w:w="3404"/>
        <w:gridCol w:w="5619"/>
      </w:tblGrid>
      <w:tr w:rsidR="007A2FB0" w14:paraId="49B393E1" w14:textId="77777777" w:rsidTr="00014DBF">
        <w:tc>
          <w:tcPr>
            <w:tcW w:w="3404" w:type="dxa"/>
          </w:tcPr>
          <w:p w14:paraId="321562BC" w14:textId="70DFA824" w:rsidR="007A2FB0" w:rsidRPr="00960377" w:rsidRDefault="007A2FB0" w:rsidP="00833901">
            <w:r w:rsidRPr="00960377">
              <w:t xml:space="preserve">Fig </w:t>
            </w:r>
            <w:r>
              <w:t>1</w:t>
            </w:r>
            <w:r w:rsidRPr="00960377">
              <w:t xml:space="preserve">. </w:t>
            </w:r>
            <w:r>
              <w:t>Andelen stor fisk (</w:t>
            </w:r>
            <w:r w:rsidRPr="00960377">
              <w:t>LFI</w:t>
            </w:r>
            <w:r>
              <w:t>)</w:t>
            </w:r>
            <w:r w:rsidR="00E62EF9">
              <w:t>, med 95 %-igt konfidensintervall</w:t>
            </w:r>
            <w:r w:rsidR="00833901">
              <w:t xml:space="preserve"> (</w:t>
            </w:r>
            <w:r w:rsidR="00833901" w:rsidRPr="00833901">
              <w:t xml:space="preserve">baserat på </w:t>
            </w:r>
            <w:r w:rsidR="00833901">
              <w:t>b</w:t>
            </w:r>
            <w:r w:rsidR="00833901" w:rsidRPr="00833901">
              <w:t>ootstrapping</w:t>
            </w:r>
            <w:r w:rsidR="00833901">
              <w:t>)</w:t>
            </w:r>
            <w:r w:rsidRPr="00960377">
              <w:t xml:space="preserve"> </w:t>
            </w:r>
            <w:r>
              <w:t>i</w:t>
            </w:r>
            <w:r w:rsidRPr="00960377">
              <w:t xml:space="preserve"> </w:t>
            </w:r>
            <w:r>
              <w:t>Västerhavets</w:t>
            </w:r>
            <w:r w:rsidRPr="00960377">
              <w:t xml:space="preserve"> </w:t>
            </w:r>
            <w:r>
              <w:t>skärgårds</w:t>
            </w:r>
            <w:r w:rsidR="00DE61F2">
              <w:t>-</w:t>
            </w:r>
            <w:r>
              <w:t xml:space="preserve"> och fjordområden under perioden </w:t>
            </w:r>
            <w:r w:rsidR="00B56F8B">
              <w:t>2001</w:t>
            </w:r>
            <w:r>
              <w:t>-2016</w:t>
            </w:r>
            <w:r w:rsidR="00DE61F2">
              <w:t>, där perioden 2011 till 2016 utgör bedömnings-perioden</w:t>
            </w:r>
            <w:r w:rsidR="00EF4F54">
              <w:t>. Gränsen för god miljöstatus ligger på LFI=0,2.</w:t>
            </w:r>
            <w:r w:rsidR="00E62EF9">
              <w:t xml:space="preserve"> Den nedre gränsen för det 95 %-iga konfidensintervallet </w:t>
            </w:r>
            <w:r w:rsidR="005D3F1D">
              <w:t xml:space="preserve">över bedömningsperioden </w:t>
            </w:r>
            <w:r w:rsidR="00E62EF9">
              <w:t>måste ligga högre än den</w:t>
            </w:r>
            <w:r w:rsidR="00E05291">
              <w:t>na gräns för att god miljöstatus ska</w:t>
            </w:r>
            <w:r w:rsidR="00014DBF">
              <w:t xml:space="preserve"> anses</w:t>
            </w:r>
            <w:r w:rsidR="00E05291">
              <w:t xml:space="preserve"> råda.</w:t>
            </w:r>
          </w:p>
        </w:tc>
        <w:tc>
          <w:tcPr>
            <w:tcW w:w="5619" w:type="dxa"/>
          </w:tcPr>
          <w:p w14:paraId="79799E1C" w14:textId="77777777" w:rsidR="007A2FB0" w:rsidRDefault="007A2FB0" w:rsidP="001A169A">
            <w:pPr>
              <w:pStyle w:val="Liststycke"/>
              <w:ind w:left="0"/>
            </w:pPr>
            <w:r>
              <w:rPr>
                <w:noProof/>
                <w:lang w:eastAsia="sv-SE"/>
              </w:rPr>
              <w:drawing>
                <wp:inline distT="0" distB="0" distL="0" distR="0" wp14:anchorId="67B4DD3F" wp14:editId="0A305784">
                  <wp:extent cx="3377235" cy="2251364"/>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agKustLFI.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4920" cy="2283152"/>
                          </a:xfrm>
                          <a:prstGeom prst="rect">
                            <a:avLst/>
                          </a:prstGeom>
                        </pic:spPr>
                      </pic:pic>
                    </a:graphicData>
                  </a:graphic>
                </wp:inline>
              </w:drawing>
            </w:r>
          </w:p>
        </w:tc>
      </w:tr>
    </w:tbl>
    <w:p w14:paraId="093CF463" w14:textId="77777777" w:rsidR="007A2FB0" w:rsidRDefault="007A2FB0" w:rsidP="0009349B">
      <w:pPr>
        <w:pStyle w:val="Brdtext"/>
      </w:pPr>
    </w:p>
    <w:p w14:paraId="02781EAF" w14:textId="77777777" w:rsidR="003B4CD1" w:rsidRDefault="003B4CD1" w:rsidP="0009349B">
      <w:pPr>
        <w:pStyle w:val="Brdtext"/>
      </w:pPr>
    </w:p>
    <w:p w14:paraId="553DD333" w14:textId="77777777" w:rsidR="00E13817" w:rsidRDefault="00E13817">
      <w:pPr>
        <w:tabs>
          <w:tab w:val="clear" w:pos="5041"/>
        </w:tabs>
        <w:spacing w:after="0"/>
        <w:rPr>
          <w:rFonts w:asciiTheme="majorHAnsi" w:eastAsiaTheme="minorHAnsi" w:hAnsiTheme="majorHAnsi" w:cstheme="majorHAnsi"/>
          <w:b/>
          <w:sz w:val="22"/>
          <w:szCs w:val="22"/>
          <w:lang w:eastAsia="en-US"/>
        </w:rPr>
      </w:pPr>
    </w:p>
    <w:p w14:paraId="3FDC2B23" w14:textId="77777777" w:rsidR="00E13817" w:rsidRPr="004B7657" w:rsidRDefault="0070387B" w:rsidP="0009349B">
      <w:pPr>
        <w:pStyle w:val="Brdtext"/>
        <w:rPr>
          <w:rFonts w:asciiTheme="majorHAnsi" w:hAnsiTheme="majorHAnsi" w:cstheme="majorHAnsi"/>
          <w:b/>
          <w:sz w:val="24"/>
          <w:szCs w:val="24"/>
        </w:rPr>
      </w:pPr>
      <w:r w:rsidRPr="004B7657">
        <w:rPr>
          <w:rFonts w:asciiTheme="majorHAnsi" w:hAnsiTheme="majorHAnsi" w:cstheme="majorHAnsi"/>
          <w:b/>
          <w:sz w:val="24"/>
          <w:szCs w:val="24"/>
        </w:rPr>
        <w:t>Sektion 1 Del 2</w:t>
      </w:r>
      <w:r w:rsidR="001A460F" w:rsidRPr="004B7657">
        <w:rPr>
          <w:rFonts w:asciiTheme="majorHAnsi" w:hAnsiTheme="majorHAnsi" w:cstheme="majorHAnsi"/>
          <w:b/>
          <w:sz w:val="24"/>
          <w:szCs w:val="24"/>
        </w:rPr>
        <w:t xml:space="preserve">. </w:t>
      </w:r>
      <w:r w:rsidR="00D44830" w:rsidRPr="004B7657">
        <w:rPr>
          <w:rFonts w:asciiTheme="majorHAnsi" w:hAnsiTheme="majorHAnsi" w:cstheme="majorHAnsi"/>
          <w:b/>
          <w:sz w:val="24"/>
          <w:szCs w:val="24"/>
        </w:rPr>
        <w:t>D</w:t>
      </w:r>
      <w:r w:rsidR="001A460F" w:rsidRPr="004B7657">
        <w:rPr>
          <w:rFonts w:asciiTheme="majorHAnsi" w:hAnsiTheme="majorHAnsi" w:cstheme="majorHAnsi"/>
          <w:b/>
          <w:sz w:val="24"/>
          <w:szCs w:val="24"/>
        </w:rPr>
        <w:t>etaljerad info</w:t>
      </w:r>
      <w:r w:rsidR="00D44830" w:rsidRPr="004B7657">
        <w:rPr>
          <w:rFonts w:asciiTheme="majorHAnsi" w:hAnsiTheme="majorHAnsi" w:cstheme="majorHAnsi"/>
          <w:b/>
          <w:sz w:val="24"/>
          <w:szCs w:val="24"/>
        </w:rPr>
        <w:t>rmation</w:t>
      </w:r>
    </w:p>
    <w:p w14:paraId="7C6FC5DD" w14:textId="77777777" w:rsidR="00E13817" w:rsidRDefault="001A460F" w:rsidP="0009349B">
      <w:pPr>
        <w:pStyle w:val="Brdtext"/>
        <w:rPr>
          <w:rFonts w:asciiTheme="minorHAnsi" w:hAnsiTheme="minorHAnsi" w:cstheme="majorHAnsi"/>
        </w:rPr>
      </w:pPr>
      <w:r w:rsidRPr="004B7657">
        <w:rPr>
          <w:rFonts w:asciiTheme="minorHAnsi" w:hAnsiTheme="minorHAnsi" w:cstheme="majorHAnsi"/>
        </w:rPr>
        <w:t>A.</w:t>
      </w:r>
      <w:r>
        <w:rPr>
          <w:rFonts w:asciiTheme="minorHAnsi" w:hAnsiTheme="minorHAnsi" w:cstheme="majorHAnsi"/>
        </w:rPr>
        <w:t xml:space="preserve"> Policyrelevans.</w:t>
      </w:r>
    </w:p>
    <w:tbl>
      <w:tblPr>
        <w:tblStyle w:val="Tabellrutnt"/>
        <w:tblW w:w="9067" w:type="dxa"/>
        <w:tblLook w:val="04A0" w:firstRow="1" w:lastRow="0" w:firstColumn="1" w:lastColumn="0" w:noHBand="0" w:noVBand="1"/>
      </w:tblPr>
      <w:tblGrid>
        <w:gridCol w:w="1129"/>
        <w:gridCol w:w="1477"/>
        <w:gridCol w:w="3343"/>
        <w:gridCol w:w="3118"/>
      </w:tblGrid>
      <w:tr w:rsidR="00C76203" w14:paraId="77C469DA" w14:textId="77777777" w:rsidTr="00C76203">
        <w:tc>
          <w:tcPr>
            <w:tcW w:w="1129" w:type="dxa"/>
          </w:tcPr>
          <w:p w14:paraId="67069B8E" w14:textId="77777777" w:rsidR="00C76203" w:rsidRDefault="00C76203" w:rsidP="0009349B">
            <w:pPr>
              <w:pStyle w:val="Brdtext"/>
              <w:rPr>
                <w:rFonts w:asciiTheme="minorHAnsi" w:hAnsiTheme="minorHAnsi" w:cstheme="majorHAnsi"/>
              </w:rPr>
            </w:pPr>
            <w:r>
              <w:rPr>
                <w:rFonts w:asciiTheme="minorHAnsi" w:hAnsiTheme="minorHAnsi" w:cstheme="majorHAnsi"/>
              </w:rPr>
              <w:t>MSFD</w:t>
            </w:r>
          </w:p>
        </w:tc>
        <w:tc>
          <w:tcPr>
            <w:tcW w:w="1477" w:type="dxa"/>
          </w:tcPr>
          <w:p w14:paraId="038A8290" w14:textId="77777777" w:rsidR="00C76203" w:rsidRDefault="00C76203" w:rsidP="0009349B">
            <w:pPr>
              <w:pStyle w:val="Brdtext"/>
              <w:rPr>
                <w:rFonts w:asciiTheme="minorHAnsi" w:hAnsiTheme="minorHAnsi" w:cstheme="majorHAnsi"/>
              </w:rPr>
            </w:pPr>
            <w:r>
              <w:rPr>
                <w:rFonts w:asciiTheme="minorHAnsi" w:hAnsiTheme="minorHAnsi" w:cstheme="majorHAnsi"/>
              </w:rPr>
              <w:t>WFD</w:t>
            </w:r>
          </w:p>
        </w:tc>
        <w:tc>
          <w:tcPr>
            <w:tcW w:w="3343" w:type="dxa"/>
          </w:tcPr>
          <w:p w14:paraId="73BF77F8" w14:textId="77777777" w:rsidR="00C76203" w:rsidRDefault="00C76203" w:rsidP="0009349B">
            <w:pPr>
              <w:pStyle w:val="Brdtext"/>
              <w:rPr>
                <w:rFonts w:asciiTheme="minorHAnsi" w:hAnsiTheme="minorHAnsi" w:cstheme="majorHAnsi"/>
              </w:rPr>
            </w:pPr>
            <w:r>
              <w:rPr>
                <w:rFonts w:asciiTheme="minorHAnsi" w:hAnsiTheme="minorHAnsi" w:cstheme="majorHAnsi"/>
              </w:rPr>
              <w:t>Miljömål</w:t>
            </w:r>
          </w:p>
        </w:tc>
        <w:tc>
          <w:tcPr>
            <w:tcW w:w="3118" w:type="dxa"/>
          </w:tcPr>
          <w:p w14:paraId="136A6500" w14:textId="77777777" w:rsidR="00C76203" w:rsidRDefault="00C76203" w:rsidP="0009349B">
            <w:pPr>
              <w:pStyle w:val="Brdtext"/>
              <w:rPr>
                <w:rFonts w:asciiTheme="minorHAnsi" w:hAnsiTheme="minorHAnsi" w:cstheme="majorHAnsi"/>
              </w:rPr>
            </w:pPr>
            <w:r>
              <w:rPr>
                <w:rFonts w:asciiTheme="minorHAnsi" w:hAnsiTheme="minorHAnsi" w:cstheme="majorHAnsi"/>
              </w:rPr>
              <w:t>BSAP</w:t>
            </w:r>
          </w:p>
        </w:tc>
      </w:tr>
      <w:tr w:rsidR="00C76203" w14:paraId="55E20C22" w14:textId="77777777" w:rsidTr="00C76203">
        <w:tc>
          <w:tcPr>
            <w:tcW w:w="1129" w:type="dxa"/>
          </w:tcPr>
          <w:p w14:paraId="451DBF50" w14:textId="6ABBB610" w:rsidR="00C76203" w:rsidRDefault="00C76203" w:rsidP="0009349B">
            <w:pPr>
              <w:pStyle w:val="Brdtext"/>
              <w:rPr>
                <w:rFonts w:asciiTheme="minorHAnsi" w:hAnsiTheme="minorHAnsi" w:cstheme="majorHAnsi"/>
              </w:rPr>
            </w:pPr>
            <w:r>
              <w:rPr>
                <w:rFonts w:asciiTheme="minorHAnsi" w:hAnsiTheme="minorHAnsi" w:cstheme="majorHAnsi"/>
              </w:rPr>
              <w:t>Kriterium</w:t>
            </w:r>
          </w:p>
        </w:tc>
        <w:tc>
          <w:tcPr>
            <w:tcW w:w="1477" w:type="dxa"/>
          </w:tcPr>
          <w:p w14:paraId="2141484A" w14:textId="77777777" w:rsidR="00C76203" w:rsidRDefault="00C76203" w:rsidP="0009349B">
            <w:pPr>
              <w:pStyle w:val="Brdtext"/>
              <w:rPr>
                <w:rFonts w:asciiTheme="minorHAnsi" w:hAnsiTheme="minorHAnsi" w:cstheme="majorHAnsi"/>
              </w:rPr>
            </w:pPr>
            <w:r>
              <w:rPr>
                <w:rFonts w:asciiTheme="minorHAnsi" w:hAnsiTheme="minorHAnsi" w:cstheme="majorHAnsi"/>
              </w:rPr>
              <w:t>Kvalitetsnorm</w:t>
            </w:r>
          </w:p>
        </w:tc>
        <w:tc>
          <w:tcPr>
            <w:tcW w:w="3343" w:type="dxa"/>
          </w:tcPr>
          <w:p w14:paraId="607F0BC2" w14:textId="77777777" w:rsidR="00C76203" w:rsidRDefault="00C76203" w:rsidP="00D44830">
            <w:pPr>
              <w:pStyle w:val="Brdtext"/>
              <w:rPr>
                <w:rFonts w:asciiTheme="minorHAnsi" w:hAnsiTheme="minorHAnsi" w:cstheme="majorHAnsi"/>
              </w:rPr>
            </w:pPr>
            <w:r>
              <w:rPr>
                <w:rFonts w:asciiTheme="minorHAnsi" w:hAnsiTheme="minorHAnsi" w:cstheme="majorHAnsi"/>
              </w:rPr>
              <w:t>Miljömål m. spec.</w:t>
            </w:r>
          </w:p>
        </w:tc>
        <w:tc>
          <w:tcPr>
            <w:tcW w:w="3118" w:type="dxa"/>
          </w:tcPr>
          <w:p w14:paraId="04F2F942" w14:textId="77777777" w:rsidR="00C76203" w:rsidRDefault="00C76203" w:rsidP="0009349B">
            <w:pPr>
              <w:pStyle w:val="Brdtext"/>
              <w:rPr>
                <w:rFonts w:asciiTheme="minorHAnsi" w:hAnsiTheme="minorHAnsi" w:cstheme="majorHAnsi"/>
              </w:rPr>
            </w:pPr>
            <w:r>
              <w:rPr>
                <w:rFonts w:asciiTheme="minorHAnsi" w:hAnsiTheme="minorHAnsi" w:cstheme="majorHAnsi"/>
              </w:rPr>
              <w:t>Mål i BSAP</w:t>
            </w:r>
          </w:p>
        </w:tc>
      </w:tr>
      <w:tr w:rsidR="00C76203" w14:paraId="1B6B53AC" w14:textId="77777777" w:rsidTr="00C76203">
        <w:tc>
          <w:tcPr>
            <w:tcW w:w="1129" w:type="dxa"/>
          </w:tcPr>
          <w:p w14:paraId="7289745F" w14:textId="77777777" w:rsidR="00C76203" w:rsidRDefault="00C76203" w:rsidP="004D6EF6">
            <w:pPr>
              <w:pStyle w:val="Brdtext"/>
              <w:rPr>
                <w:rFonts w:asciiTheme="minorHAnsi" w:hAnsiTheme="minorHAnsi" w:cstheme="majorHAnsi"/>
              </w:rPr>
            </w:pPr>
            <w:r>
              <w:rPr>
                <w:rFonts w:asciiTheme="minorHAnsi" w:hAnsiTheme="minorHAnsi" w:cstheme="majorHAnsi"/>
              </w:rPr>
              <w:t>D4C3</w:t>
            </w:r>
          </w:p>
          <w:p w14:paraId="5BF861F8" w14:textId="60C14DC9" w:rsidR="00C76203" w:rsidRDefault="00C76203" w:rsidP="004D6EF6">
            <w:pPr>
              <w:pStyle w:val="Brdtext"/>
              <w:rPr>
                <w:rFonts w:asciiTheme="minorHAnsi" w:hAnsiTheme="minorHAnsi" w:cstheme="majorHAnsi"/>
              </w:rPr>
            </w:pPr>
            <w:r>
              <w:rPr>
                <w:rFonts w:asciiTheme="minorHAnsi" w:hAnsiTheme="minorHAnsi" w:cstheme="majorHAnsi"/>
              </w:rPr>
              <w:t>D1C3</w:t>
            </w:r>
          </w:p>
        </w:tc>
        <w:tc>
          <w:tcPr>
            <w:tcW w:w="1477" w:type="dxa"/>
          </w:tcPr>
          <w:p w14:paraId="62D35D54" w14:textId="6DF97B63" w:rsidR="00C76203" w:rsidRDefault="00C76203" w:rsidP="0009349B">
            <w:pPr>
              <w:pStyle w:val="Brdtext"/>
              <w:rPr>
                <w:rFonts w:asciiTheme="minorHAnsi" w:hAnsiTheme="minorHAnsi" w:cstheme="majorHAnsi"/>
              </w:rPr>
            </w:pPr>
            <w:r>
              <w:rPr>
                <w:rFonts w:asciiTheme="minorHAnsi" w:hAnsiTheme="minorHAnsi" w:cstheme="majorHAnsi"/>
              </w:rPr>
              <w:t>Saknas</w:t>
            </w:r>
          </w:p>
        </w:tc>
        <w:tc>
          <w:tcPr>
            <w:tcW w:w="3343" w:type="dxa"/>
          </w:tcPr>
          <w:p w14:paraId="149D6366" w14:textId="77777777" w:rsidR="00C76203" w:rsidRDefault="00C76203" w:rsidP="0009349B">
            <w:pPr>
              <w:pStyle w:val="Brdtext"/>
              <w:rPr>
                <w:rFonts w:asciiTheme="minorHAnsi" w:hAnsiTheme="minorHAnsi" w:cstheme="majorHAnsi"/>
              </w:rPr>
            </w:pPr>
            <w:r>
              <w:rPr>
                <w:rFonts w:asciiTheme="minorHAnsi" w:hAnsiTheme="minorHAnsi" w:cstheme="majorHAnsi"/>
              </w:rPr>
              <w:t>Hav i balans och levande skärgård</w:t>
            </w:r>
          </w:p>
          <w:p w14:paraId="61B0517B" w14:textId="546F3630" w:rsidR="00C76203" w:rsidRDefault="009A4A67" w:rsidP="0009349B">
            <w:pPr>
              <w:pStyle w:val="Brdtext"/>
              <w:rPr>
                <w:rFonts w:asciiTheme="minorHAnsi" w:hAnsiTheme="minorHAnsi" w:cstheme="majorHAnsi"/>
              </w:rPr>
            </w:pPr>
            <w:r>
              <w:rPr>
                <w:rFonts w:asciiTheme="minorHAnsi" w:hAnsiTheme="minorHAnsi" w:cstheme="majorHAnsi"/>
              </w:rPr>
              <w:t>Ett rikt växt- och djurliv</w:t>
            </w:r>
          </w:p>
        </w:tc>
        <w:tc>
          <w:tcPr>
            <w:tcW w:w="3118" w:type="dxa"/>
          </w:tcPr>
          <w:p w14:paraId="4432C016" w14:textId="15570112" w:rsidR="00C76203" w:rsidRDefault="00C76203" w:rsidP="0009349B">
            <w:pPr>
              <w:pStyle w:val="Brdtext"/>
              <w:rPr>
                <w:rFonts w:asciiTheme="minorHAnsi" w:hAnsiTheme="minorHAnsi" w:cstheme="majorHAnsi"/>
              </w:rPr>
            </w:pPr>
          </w:p>
        </w:tc>
      </w:tr>
    </w:tbl>
    <w:p w14:paraId="7F75A3CE" w14:textId="77777777" w:rsidR="001A460F" w:rsidRPr="00E13817" w:rsidRDefault="001A460F" w:rsidP="0009349B">
      <w:pPr>
        <w:pStyle w:val="Brdtext"/>
        <w:rPr>
          <w:rFonts w:asciiTheme="minorHAnsi" w:hAnsiTheme="minorHAnsi" w:cstheme="majorHAnsi"/>
        </w:rPr>
      </w:pPr>
    </w:p>
    <w:p w14:paraId="5F1A0A20" w14:textId="77777777" w:rsidR="00E13817" w:rsidRPr="004B7657" w:rsidRDefault="001A460F" w:rsidP="0009349B">
      <w:pPr>
        <w:pStyle w:val="Brdtext"/>
      </w:pPr>
      <w:r w:rsidRPr="004B7657">
        <w:t xml:space="preserve">B. </w:t>
      </w:r>
      <w:r w:rsidR="006F648D" w:rsidRPr="004B7657">
        <w:t>K</w:t>
      </w:r>
      <w:r w:rsidR="008C3A39" w:rsidRPr="004B7657">
        <w:t>oppling till</w:t>
      </w:r>
      <w:r w:rsidRPr="004B7657">
        <w:t xml:space="preserve"> MSFD Bilaga III</w:t>
      </w:r>
    </w:p>
    <w:tbl>
      <w:tblPr>
        <w:tblStyle w:val="Tabellrutnt"/>
        <w:tblW w:w="0" w:type="auto"/>
        <w:tblLook w:val="04A0" w:firstRow="1" w:lastRow="0" w:firstColumn="1" w:lastColumn="0" w:noHBand="0" w:noVBand="1"/>
      </w:tblPr>
      <w:tblGrid>
        <w:gridCol w:w="4526"/>
        <w:gridCol w:w="4536"/>
      </w:tblGrid>
      <w:tr w:rsidR="00773B4E" w14:paraId="694F781C" w14:textId="77777777" w:rsidTr="001A169A">
        <w:tc>
          <w:tcPr>
            <w:tcW w:w="9212" w:type="dxa"/>
            <w:gridSpan w:val="2"/>
          </w:tcPr>
          <w:p w14:paraId="050343DF" w14:textId="77777777" w:rsidR="00773B4E" w:rsidRDefault="00773B4E">
            <w:pPr>
              <w:tabs>
                <w:tab w:val="clear" w:pos="5041"/>
              </w:tabs>
              <w:spacing w:after="0"/>
            </w:pPr>
            <w:r>
              <w:t>Grundläggande förhållanden</w:t>
            </w:r>
            <w:r w:rsidR="00CB57D2">
              <w:t xml:space="preserve"> (Bilaga III, Tabell 1)</w:t>
            </w:r>
          </w:p>
        </w:tc>
      </w:tr>
      <w:tr w:rsidR="00773B4E" w14:paraId="2095F6AA" w14:textId="77777777" w:rsidTr="00773B4E">
        <w:tc>
          <w:tcPr>
            <w:tcW w:w="4606" w:type="dxa"/>
          </w:tcPr>
          <w:p w14:paraId="28BFA98F" w14:textId="3977220C" w:rsidR="00773B4E" w:rsidRPr="00DF3B55" w:rsidRDefault="00DF3B55" w:rsidP="00773B4E">
            <w:pPr>
              <w:tabs>
                <w:tab w:val="clear" w:pos="5041"/>
              </w:tabs>
              <w:spacing w:after="0"/>
            </w:pPr>
            <w:r w:rsidRPr="00DF3B55">
              <w:t>Marina ekosystems struktur, funktion och processer</w:t>
            </w:r>
            <w:r>
              <w:t xml:space="preserve"> - Arter</w:t>
            </w:r>
          </w:p>
        </w:tc>
        <w:tc>
          <w:tcPr>
            <w:tcW w:w="4606" w:type="dxa"/>
          </w:tcPr>
          <w:p w14:paraId="1DFA2624" w14:textId="698B0E90" w:rsidR="00773B4E" w:rsidRDefault="00DF3B55" w:rsidP="00773B4E">
            <w:pPr>
              <w:tabs>
                <w:tab w:val="clear" w:pos="5041"/>
              </w:tabs>
              <w:spacing w:after="0"/>
            </w:pPr>
            <w:r>
              <w:t>Uppgifter om geografiskt och tidsmässig variation per art eller population – storleks, ålders och könsfördelning</w:t>
            </w:r>
          </w:p>
        </w:tc>
      </w:tr>
      <w:tr w:rsidR="00773B4E" w14:paraId="7DD256DB" w14:textId="77777777" w:rsidTr="001A169A">
        <w:tc>
          <w:tcPr>
            <w:tcW w:w="9212" w:type="dxa"/>
            <w:gridSpan w:val="2"/>
          </w:tcPr>
          <w:p w14:paraId="3424AB74" w14:textId="77777777" w:rsidR="00773B4E" w:rsidRDefault="00773B4E">
            <w:pPr>
              <w:tabs>
                <w:tab w:val="clear" w:pos="5041"/>
              </w:tabs>
              <w:spacing w:after="0"/>
            </w:pPr>
            <w:r>
              <w:lastRenderedPageBreak/>
              <w:t>Belastning och påverkan</w:t>
            </w:r>
            <w:r w:rsidR="00CB57D2">
              <w:t xml:space="preserve"> (Bilaga III, Tabell 2)</w:t>
            </w:r>
          </w:p>
        </w:tc>
      </w:tr>
      <w:tr w:rsidR="00773B4E" w14:paraId="6243B736" w14:textId="77777777" w:rsidTr="00773B4E">
        <w:tc>
          <w:tcPr>
            <w:tcW w:w="4606" w:type="dxa"/>
          </w:tcPr>
          <w:p w14:paraId="095B07F9" w14:textId="77777777" w:rsidR="00A84F48" w:rsidRPr="005D132C" w:rsidRDefault="00020FB2" w:rsidP="00A84F48">
            <w:pPr>
              <w:tabs>
                <w:tab w:val="clear" w:pos="5041"/>
              </w:tabs>
              <w:autoSpaceDE w:val="0"/>
              <w:autoSpaceDN w:val="0"/>
              <w:adjustRightInd w:val="0"/>
              <w:spacing w:after="0"/>
              <w:rPr>
                <w:i/>
              </w:rPr>
            </w:pPr>
            <w:r>
              <w:t>Biologisk störning</w:t>
            </w:r>
          </w:p>
          <w:p w14:paraId="044D8B0A" w14:textId="77777777" w:rsidR="00773B4E" w:rsidRDefault="00773B4E" w:rsidP="00A84F48">
            <w:pPr>
              <w:tabs>
                <w:tab w:val="clear" w:pos="5041"/>
              </w:tabs>
              <w:spacing w:after="0"/>
            </w:pPr>
          </w:p>
        </w:tc>
        <w:tc>
          <w:tcPr>
            <w:tcW w:w="4606" w:type="dxa"/>
          </w:tcPr>
          <w:p w14:paraId="2DDBBF39" w14:textId="1832B346" w:rsidR="00773B4E" w:rsidRDefault="002F7D9B">
            <w:pPr>
              <w:tabs>
                <w:tab w:val="clear" w:pos="5041"/>
              </w:tabs>
              <w:spacing w:after="0"/>
            </w:pPr>
            <w:r w:rsidRPr="002F7D9B">
              <w:t>Uttag av, eller dödlighet/skada hos, vilda arter, däribland mål- och icke-målarter (genom yrkes- och fritidsfiske och annan verksamhet)</w:t>
            </w:r>
          </w:p>
        </w:tc>
      </w:tr>
      <w:tr w:rsidR="002F7D9B" w14:paraId="51D1FEF2" w14:textId="77777777" w:rsidTr="00773B4E">
        <w:tc>
          <w:tcPr>
            <w:tcW w:w="4606" w:type="dxa"/>
          </w:tcPr>
          <w:p w14:paraId="78398E75" w14:textId="37A99B41" w:rsidR="002F7D9B" w:rsidRDefault="002F7D9B" w:rsidP="00A84F48">
            <w:pPr>
              <w:tabs>
                <w:tab w:val="clear" w:pos="5041"/>
              </w:tabs>
              <w:autoSpaceDE w:val="0"/>
              <w:autoSpaceDN w:val="0"/>
              <w:adjustRightInd w:val="0"/>
              <w:spacing w:after="0"/>
            </w:pPr>
            <w:r>
              <w:t>Utvinning av levande resurser</w:t>
            </w:r>
          </w:p>
        </w:tc>
        <w:tc>
          <w:tcPr>
            <w:tcW w:w="4606" w:type="dxa"/>
          </w:tcPr>
          <w:p w14:paraId="531B1A6F" w14:textId="651AC2CD" w:rsidR="002F7D9B" w:rsidRPr="002F7D9B" w:rsidRDefault="002F7D9B">
            <w:pPr>
              <w:tabs>
                <w:tab w:val="clear" w:pos="5041"/>
              </w:tabs>
              <w:spacing w:after="0"/>
            </w:pPr>
            <w:r w:rsidRPr="007066EB">
              <w:rPr>
                <w:sz w:val="20"/>
              </w:rPr>
              <w:t>Fångst av fisk och skaldjur (yrkesfiske, fritidsfiske)</w:t>
            </w:r>
          </w:p>
        </w:tc>
      </w:tr>
    </w:tbl>
    <w:p w14:paraId="5AD873B9" w14:textId="77777777" w:rsidR="00A84F48" w:rsidRDefault="00A84F48">
      <w:pPr>
        <w:tabs>
          <w:tab w:val="clear" w:pos="5041"/>
        </w:tabs>
        <w:spacing w:after="0"/>
      </w:pPr>
    </w:p>
    <w:p w14:paraId="3CDC69A2" w14:textId="77777777" w:rsidR="00A84F48" w:rsidRDefault="00A84F48">
      <w:pPr>
        <w:tabs>
          <w:tab w:val="clear" w:pos="5041"/>
        </w:tabs>
        <w:spacing w:after="0"/>
      </w:pPr>
    </w:p>
    <w:p w14:paraId="6ECD3521" w14:textId="77777777" w:rsidR="005D132C" w:rsidRDefault="005D132C">
      <w:pPr>
        <w:tabs>
          <w:tab w:val="clear" w:pos="5041"/>
        </w:tabs>
        <w:spacing w:after="0"/>
      </w:pPr>
      <w:r>
        <w:t>C. Ingående parametrar, övervakning och dataägare</w:t>
      </w:r>
    </w:p>
    <w:tbl>
      <w:tblPr>
        <w:tblStyle w:val="Tabellrutnt"/>
        <w:tblW w:w="0" w:type="auto"/>
        <w:tblLayout w:type="fixed"/>
        <w:tblLook w:val="04A0" w:firstRow="1" w:lastRow="0" w:firstColumn="1" w:lastColumn="0" w:noHBand="0" w:noVBand="1"/>
      </w:tblPr>
      <w:tblGrid>
        <w:gridCol w:w="2376"/>
        <w:gridCol w:w="2114"/>
        <w:gridCol w:w="2293"/>
        <w:gridCol w:w="2293"/>
      </w:tblGrid>
      <w:tr w:rsidR="00544886" w14:paraId="02E603C0" w14:textId="77777777" w:rsidTr="0061488F">
        <w:trPr>
          <w:trHeight w:val="1717"/>
        </w:trPr>
        <w:tc>
          <w:tcPr>
            <w:tcW w:w="2376" w:type="dxa"/>
          </w:tcPr>
          <w:p w14:paraId="517C258E" w14:textId="77777777" w:rsidR="00544886" w:rsidRDefault="00544886">
            <w:pPr>
              <w:tabs>
                <w:tab w:val="clear" w:pos="5041"/>
              </w:tabs>
              <w:spacing w:after="0"/>
            </w:pPr>
            <w:r>
              <w:t>Parameter</w:t>
            </w:r>
          </w:p>
        </w:tc>
        <w:tc>
          <w:tcPr>
            <w:tcW w:w="2114" w:type="dxa"/>
          </w:tcPr>
          <w:p w14:paraId="22B98816" w14:textId="77777777" w:rsidR="00544886" w:rsidRDefault="00544886">
            <w:pPr>
              <w:tabs>
                <w:tab w:val="clear" w:pos="5041"/>
              </w:tabs>
              <w:spacing w:after="0"/>
            </w:pPr>
            <w:r>
              <w:t>Program resp. underprogram i HaVs övervakningsprogram</w:t>
            </w:r>
          </w:p>
        </w:tc>
        <w:tc>
          <w:tcPr>
            <w:tcW w:w="2293" w:type="dxa"/>
          </w:tcPr>
          <w:p w14:paraId="42A6831E" w14:textId="77777777" w:rsidR="00544886" w:rsidRDefault="00544886" w:rsidP="00544886">
            <w:pPr>
              <w:tabs>
                <w:tab w:val="clear" w:pos="5041"/>
              </w:tabs>
              <w:spacing w:after="0"/>
            </w:pPr>
            <w:r>
              <w:t>Dataägare samt databas med hyperlänk</w:t>
            </w:r>
          </w:p>
        </w:tc>
        <w:tc>
          <w:tcPr>
            <w:tcW w:w="2293" w:type="dxa"/>
          </w:tcPr>
          <w:p w14:paraId="0900E88C" w14:textId="77777777" w:rsidR="00544886" w:rsidRDefault="00544886" w:rsidP="00544886">
            <w:pPr>
              <w:tabs>
                <w:tab w:val="clear" w:pos="5041"/>
              </w:tabs>
              <w:spacing w:after="0"/>
            </w:pPr>
            <w:r>
              <w:t>Hyperlänk till rådata-snapshot</w:t>
            </w:r>
          </w:p>
        </w:tc>
      </w:tr>
      <w:tr w:rsidR="00544886" w14:paraId="2FB23432" w14:textId="77777777" w:rsidTr="001A169A">
        <w:trPr>
          <w:trHeight w:val="277"/>
        </w:trPr>
        <w:tc>
          <w:tcPr>
            <w:tcW w:w="2376" w:type="dxa"/>
          </w:tcPr>
          <w:p w14:paraId="4D2A9BC4" w14:textId="77777777" w:rsidR="00544886" w:rsidRPr="006502C2" w:rsidRDefault="0092204A">
            <w:pPr>
              <w:tabs>
                <w:tab w:val="clear" w:pos="5041"/>
              </w:tabs>
              <w:spacing w:after="0"/>
            </w:pPr>
            <w:r w:rsidRPr="006502C2">
              <w:t>Art</w:t>
            </w:r>
            <w:r w:rsidR="006502C2" w:rsidRPr="006502C2">
              <w:t>- och storlekssamansättning i bottenfisksamhället</w:t>
            </w:r>
          </w:p>
        </w:tc>
        <w:tc>
          <w:tcPr>
            <w:tcW w:w="2114" w:type="dxa"/>
          </w:tcPr>
          <w:p w14:paraId="76A67ED3" w14:textId="77777777" w:rsidR="0061488F" w:rsidRPr="0061488F" w:rsidRDefault="0061488F" w:rsidP="0061488F">
            <w:pPr>
              <w:tabs>
                <w:tab w:val="clear" w:pos="5041"/>
              </w:tabs>
              <w:spacing w:after="0"/>
              <w:rPr>
                <w:lang w:val="en-US"/>
              </w:rPr>
            </w:pPr>
            <w:r w:rsidRPr="0061488F">
              <w:rPr>
                <w:lang w:val="en-US"/>
              </w:rPr>
              <w:t>ANSSE-Fish-D14-</w:t>
            </w:r>
          </w:p>
          <w:p w14:paraId="6C5C6693" w14:textId="77777777" w:rsidR="00544886" w:rsidRPr="0061488F" w:rsidRDefault="0061488F">
            <w:pPr>
              <w:tabs>
                <w:tab w:val="clear" w:pos="5041"/>
              </w:tabs>
              <w:spacing w:after="0"/>
              <w:rPr>
                <w:lang w:val="en-US"/>
              </w:rPr>
            </w:pPr>
            <w:r w:rsidRPr="0061488F">
              <w:rPr>
                <w:lang w:val="en-US"/>
              </w:rPr>
              <w:t>Tral</w:t>
            </w:r>
          </w:p>
        </w:tc>
        <w:tc>
          <w:tcPr>
            <w:tcW w:w="2293" w:type="dxa"/>
          </w:tcPr>
          <w:p w14:paraId="2FD81468" w14:textId="77777777" w:rsidR="00544886" w:rsidRDefault="00DE61F2">
            <w:pPr>
              <w:tabs>
                <w:tab w:val="clear" w:pos="5041"/>
              </w:tabs>
              <w:spacing w:after="0"/>
            </w:pPr>
            <w:r>
              <w:t>FISKDATA2</w:t>
            </w:r>
          </w:p>
        </w:tc>
        <w:tc>
          <w:tcPr>
            <w:tcW w:w="2293" w:type="dxa"/>
          </w:tcPr>
          <w:p w14:paraId="0F93AF21" w14:textId="77777777" w:rsidR="00544886" w:rsidRDefault="0061488F">
            <w:pPr>
              <w:tabs>
                <w:tab w:val="clear" w:pos="5041"/>
              </w:tabs>
              <w:spacing w:after="0"/>
            </w:pPr>
            <w:r>
              <w:t>Ej tillgängligt</w:t>
            </w:r>
          </w:p>
        </w:tc>
      </w:tr>
      <w:tr w:rsidR="00544886" w14:paraId="5FEEB981" w14:textId="77777777" w:rsidTr="001A169A">
        <w:trPr>
          <w:trHeight w:val="293"/>
        </w:trPr>
        <w:tc>
          <w:tcPr>
            <w:tcW w:w="2376" w:type="dxa"/>
          </w:tcPr>
          <w:p w14:paraId="62892646" w14:textId="77777777" w:rsidR="00544886" w:rsidRDefault="00544886">
            <w:pPr>
              <w:tabs>
                <w:tab w:val="clear" w:pos="5041"/>
              </w:tabs>
              <w:spacing w:after="0"/>
            </w:pPr>
            <w:r>
              <w:t>…</w:t>
            </w:r>
          </w:p>
        </w:tc>
        <w:tc>
          <w:tcPr>
            <w:tcW w:w="2114" w:type="dxa"/>
          </w:tcPr>
          <w:p w14:paraId="428E298A" w14:textId="77777777" w:rsidR="00544886" w:rsidRDefault="00544886">
            <w:pPr>
              <w:tabs>
                <w:tab w:val="clear" w:pos="5041"/>
              </w:tabs>
              <w:spacing w:after="0"/>
            </w:pPr>
          </w:p>
        </w:tc>
        <w:tc>
          <w:tcPr>
            <w:tcW w:w="2293" w:type="dxa"/>
          </w:tcPr>
          <w:p w14:paraId="62DC725D" w14:textId="77777777" w:rsidR="00544886" w:rsidRDefault="00544886">
            <w:pPr>
              <w:tabs>
                <w:tab w:val="clear" w:pos="5041"/>
              </w:tabs>
              <w:spacing w:after="0"/>
            </w:pPr>
          </w:p>
        </w:tc>
        <w:tc>
          <w:tcPr>
            <w:tcW w:w="2293" w:type="dxa"/>
          </w:tcPr>
          <w:p w14:paraId="3E1C54D1" w14:textId="77777777" w:rsidR="00544886" w:rsidRDefault="00544886">
            <w:pPr>
              <w:tabs>
                <w:tab w:val="clear" w:pos="5041"/>
              </w:tabs>
              <w:spacing w:after="0"/>
            </w:pPr>
          </w:p>
        </w:tc>
      </w:tr>
    </w:tbl>
    <w:p w14:paraId="644F7310" w14:textId="77777777" w:rsidR="005D132C" w:rsidRDefault="005D132C">
      <w:pPr>
        <w:tabs>
          <w:tab w:val="clear" w:pos="5041"/>
        </w:tabs>
        <w:spacing w:after="0"/>
      </w:pPr>
    </w:p>
    <w:p w14:paraId="56FE078D" w14:textId="77777777" w:rsidR="005D132C" w:rsidRDefault="005D132C">
      <w:pPr>
        <w:tabs>
          <w:tab w:val="clear" w:pos="5041"/>
        </w:tabs>
        <w:spacing w:after="0"/>
      </w:pPr>
    </w:p>
    <w:p w14:paraId="6A7484C9" w14:textId="77777777" w:rsidR="005D132C" w:rsidRDefault="005D132C">
      <w:pPr>
        <w:tabs>
          <w:tab w:val="clear" w:pos="5041"/>
        </w:tabs>
        <w:spacing w:after="0"/>
      </w:pPr>
    </w:p>
    <w:p w14:paraId="131707B0" w14:textId="77777777" w:rsidR="00804DBE" w:rsidRDefault="00804DBE">
      <w:pPr>
        <w:tabs>
          <w:tab w:val="clear" w:pos="5041"/>
        </w:tabs>
        <w:spacing w:after="0"/>
      </w:pPr>
      <w:r>
        <w:br w:type="page"/>
      </w:r>
    </w:p>
    <w:p w14:paraId="758E974B" w14:textId="77777777" w:rsidR="00A84F48" w:rsidRDefault="0070387B" w:rsidP="004B7657">
      <w:pPr>
        <w:tabs>
          <w:tab w:val="clear" w:pos="5041"/>
        </w:tabs>
      </w:pPr>
      <w:r>
        <w:lastRenderedPageBreak/>
        <w:t>D</w:t>
      </w:r>
      <w:r w:rsidR="00A84F48">
        <w:t>. Bedömningsområden</w:t>
      </w:r>
      <w:r w:rsidR="00804DBE">
        <w:t xml:space="preserve">, </w:t>
      </w:r>
      <w:r w:rsidR="00B7632E">
        <w:t xml:space="preserve">med </w:t>
      </w:r>
      <w:r w:rsidR="008B1796">
        <w:t>tröskel</w:t>
      </w:r>
      <w:r w:rsidR="00804DBE">
        <w:t>värde</w:t>
      </w:r>
      <w:r>
        <w:t>(</w:t>
      </w:r>
      <w:r w:rsidR="00804DBE">
        <w:t>n</w:t>
      </w:r>
      <w:r>
        <w:t>)</w:t>
      </w:r>
      <w:r w:rsidR="00B7632E">
        <w:t>,</w:t>
      </w:r>
      <w:r w:rsidR="008B1796">
        <w:t xml:space="preserve"> observerade värden</w:t>
      </w:r>
      <w:r w:rsidR="00A84F48">
        <w:t xml:space="preserve"> och bedömning</w:t>
      </w:r>
    </w:p>
    <w:p w14:paraId="7A4F0676" w14:textId="77777777" w:rsidR="00976CD1" w:rsidRDefault="00976CD1" w:rsidP="004B7657">
      <w:pPr>
        <w:tabs>
          <w:tab w:val="clear" w:pos="5041"/>
        </w:tabs>
      </w:pPr>
      <w:r>
        <w:t>Tabell 1</w:t>
      </w:r>
      <w:r w:rsidR="00B13809">
        <w:t>.</w:t>
      </w:r>
      <w:r>
        <w:t xml:space="preserve"> </w:t>
      </w:r>
      <w:r w:rsidR="00B13809">
        <w:t xml:space="preserve">Förvaltningsområde </w:t>
      </w:r>
      <w:r>
        <w:t>Nordsjön</w:t>
      </w:r>
    </w:p>
    <w:p w14:paraId="44B7E490" w14:textId="09982213" w:rsidR="004B7657" w:rsidRPr="004B7657" w:rsidRDefault="00280C8B">
      <w:pPr>
        <w:tabs>
          <w:tab w:val="clear" w:pos="5041"/>
        </w:tabs>
        <w:spacing w:after="0"/>
        <w:rPr>
          <w:i/>
        </w:rPr>
      </w:pPr>
      <w:r>
        <w:rPr>
          <w:i/>
        </w:rPr>
        <w:t>Bedömning för indikatorn andel stor fisk (LFI) i Västerhavets fjord- och skärgårdsområden</w:t>
      </w:r>
      <w:r w:rsidR="00E05291">
        <w:rPr>
          <w:i/>
        </w:rPr>
        <w:t xml:space="preserve"> som medelvärde för åren </w:t>
      </w:r>
      <w:r w:rsidR="007B2CD2">
        <w:rPr>
          <w:i/>
        </w:rPr>
        <w:t>2011</w:t>
      </w:r>
      <w:r w:rsidR="00E05291">
        <w:rPr>
          <w:i/>
        </w:rPr>
        <w:t>-2016</w:t>
      </w:r>
      <w:r>
        <w:rPr>
          <w:i/>
        </w:rPr>
        <w:t>. Bedömningen relaterar till tröskelvärdet för LFI i Nordsjön som satts till 0,2 och där det observerade värde</w:t>
      </w:r>
      <w:r w:rsidR="00EF4F54">
        <w:rPr>
          <w:i/>
        </w:rPr>
        <w:t>t</w:t>
      </w:r>
      <w:r>
        <w:rPr>
          <w:i/>
        </w:rPr>
        <w:t xml:space="preserve"> </w:t>
      </w:r>
      <w:r w:rsidR="00E62EF9">
        <w:rPr>
          <w:i/>
        </w:rPr>
        <w:t xml:space="preserve">med 97,5 % sannolikhet </w:t>
      </w:r>
      <w:r>
        <w:rPr>
          <w:i/>
        </w:rPr>
        <w:t>ska vara högre för att god miljöstatus ska indikeras. Bedömningen för Skagerrak och Kattegatt på havsbassängsnivå görs i faktabladet för LFI i Nordsjön enligt OSPARS bedömning</w:t>
      </w:r>
      <w:r w:rsidR="00893BC8">
        <w:rPr>
          <w:i/>
        </w:rPr>
        <w:t>.</w:t>
      </w:r>
      <w:r>
        <w:rPr>
          <w:i/>
        </w:rPr>
        <w:t xml:space="preserve"> </w:t>
      </w:r>
    </w:p>
    <w:p w14:paraId="5DC8405A" w14:textId="77777777" w:rsidR="00CB57D2" w:rsidRDefault="00CB57D2">
      <w:pPr>
        <w:tabs>
          <w:tab w:val="clear" w:pos="5041"/>
        </w:tabs>
        <w:spacing w:after="0"/>
      </w:pPr>
    </w:p>
    <w:p w14:paraId="6659A6F1" w14:textId="77777777" w:rsidR="00CB57D2" w:rsidRDefault="00CB57D2" w:rsidP="00CB57D2">
      <w:pPr>
        <w:pStyle w:val="Brdtext"/>
      </w:pPr>
    </w:p>
    <w:tbl>
      <w:tblPr>
        <w:tblStyle w:val="Tabellrutnt"/>
        <w:tblW w:w="0" w:type="auto"/>
        <w:tblCellMar>
          <w:top w:w="28" w:type="dxa"/>
          <w:bottom w:w="28" w:type="dxa"/>
        </w:tblCellMar>
        <w:tblLook w:val="04A0" w:firstRow="1" w:lastRow="0" w:firstColumn="1" w:lastColumn="0" w:noHBand="0" w:noVBand="1"/>
      </w:tblPr>
      <w:tblGrid>
        <w:gridCol w:w="2151"/>
        <w:gridCol w:w="1533"/>
        <w:gridCol w:w="1407"/>
        <w:gridCol w:w="1784"/>
        <w:gridCol w:w="2187"/>
      </w:tblGrid>
      <w:tr w:rsidR="005215C9" w14:paraId="20CF6D74" w14:textId="77777777" w:rsidTr="005215C9">
        <w:tc>
          <w:tcPr>
            <w:tcW w:w="2150" w:type="dxa"/>
          </w:tcPr>
          <w:p w14:paraId="18665B1F" w14:textId="77777777" w:rsidR="005215C9" w:rsidRPr="00D44830" w:rsidRDefault="005215C9" w:rsidP="001A169A">
            <w:pPr>
              <w:tabs>
                <w:tab w:val="clear" w:pos="5041"/>
              </w:tabs>
              <w:spacing w:after="0"/>
              <w:rPr>
                <w:rFonts w:asciiTheme="majorHAnsi" w:hAnsiTheme="majorHAnsi" w:cstheme="majorHAnsi"/>
                <w:b/>
                <w:sz w:val="20"/>
                <w:szCs w:val="20"/>
              </w:rPr>
            </w:pPr>
            <w:r w:rsidRPr="00D44830">
              <w:rPr>
                <w:rFonts w:asciiTheme="majorHAnsi" w:hAnsiTheme="majorHAnsi" w:cstheme="majorHAnsi"/>
                <w:b/>
                <w:sz w:val="20"/>
                <w:szCs w:val="20"/>
              </w:rPr>
              <w:t>Bedömningsområde</w:t>
            </w:r>
            <w:r>
              <w:rPr>
                <w:rFonts w:asciiTheme="majorHAnsi" w:hAnsiTheme="majorHAnsi" w:cstheme="majorHAnsi"/>
                <w:b/>
                <w:sz w:val="20"/>
                <w:szCs w:val="20"/>
              </w:rPr>
              <w:t xml:space="preserve"> Havsbassänger</w:t>
            </w:r>
          </w:p>
        </w:tc>
        <w:tc>
          <w:tcPr>
            <w:tcW w:w="1545" w:type="dxa"/>
          </w:tcPr>
          <w:p w14:paraId="29C2797F" w14:textId="77777777" w:rsidR="005215C9" w:rsidRPr="00D44830" w:rsidRDefault="005215C9" w:rsidP="001A169A">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429" w:type="dxa"/>
          </w:tcPr>
          <w:p w14:paraId="24BBD0AF" w14:textId="77777777" w:rsidR="005215C9" w:rsidRPr="00D44830" w:rsidRDefault="005215C9" w:rsidP="001A169A">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Observerat v</w:t>
            </w:r>
            <w:r w:rsidRPr="00D44830">
              <w:rPr>
                <w:rFonts w:asciiTheme="majorHAnsi" w:hAnsiTheme="majorHAnsi" w:cstheme="majorHAnsi"/>
                <w:b/>
                <w:sz w:val="20"/>
                <w:szCs w:val="20"/>
              </w:rPr>
              <w:t>ärde</w:t>
            </w:r>
          </w:p>
        </w:tc>
        <w:tc>
          <w:tcPr>
            <w:tcW w:w="1861" w:type="dxa"/>
          </w:tcPr>
          <w:p w14:paraId="5441915B" w14:textId="77777777" w:rsidR="005215C9" w:rsidRDefault="005215C9" w:rsidP="001A169A">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2303" w:type="dxa"/>
          </w:tcPr>
          <w:p w14:paraId="72722A58" w14:textId="77777777" w:rsidR="005215C9" w:rsidRDefault="005215C9" w:rsidP="001A169A">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5215C9" w14:paraId="0399A4D1" w14:textId="77777777" w:rsidTr="005215C9">
        <w:trPr>
          <w:trHeight w:val="549"/>
        </w:trPr>
        <w:tc>
          <w:tcPr>
            <w:tcW w:w="2150" w:type="dxa"/>
            <w:vAlign w:val="center"/>
          </w:tcPr>
          <w:p w14:paraId="50A6BBCE" w14:textId="1A94D7A7" w:rsidR="005215C9" w:rsidRPr="00AB22B4" w:rsidRDefault="005215C9" w:rsidP="001A169A">
            <w:pPr>
              <w:tabs>
                <w:tab w:val="clear" w:pos="5041"/>
              </w:tabs>
              <w:spacing w:after="0"/>
              <w:rPr>
                <w:rFonts w:asciiTheme="minorHAnsi" w:hAnsiTheme="minorHAnsi"/>
                <w:sz w:val="18"/>
                <w:szCs w:val="18"/>
              </w:rPr>
            </w:pPr>
            <w:r w:rsidRPr="00AB22B4">
              <w:rPr>
                <w:rFonts w:asciiTheme="minorHAnsi" w:hAnsiTheme="minorHAnsi"/>
                <w:sz w:val="18"/>
                <w:szCs w:val="18"/>
              </w:rPr>
              <w:t>Skagerrack</w:t>
            </w:r>
            <w:r w:rsidR="00CF44DA" w:rsidRPr="00AB22B4">
              <w:rPr>
                <w:rFonts w:asciiTheme="minorHAnsi" w:hAnsiTheme="minorHAnsi"/>
                <w:sz w:val="18"/>
                <w:szCs w:val="18"/>
              </w:rPr>
              <w:t xml:space="preserve"> utsjön</w:t>
            </w:r>
          </w:p>
        </w:tc>
        <w:tc>
          <w:tcPr>
            <w:tcW w:w="1545" w:type="dxa"/>
            <w:vAlign w:val="center"/>
          </w:tcPr>
          <w:p w14:paraId="277F9E50" w14:textId="7F9D1E92" w:rsidR="00893BC8" w:rsidRPr="00893BC8" w:rsidRDefault="00893BC8" w:rsidP="001A169A">
            <w:pPr>
              <w:tabs>
                <w:tab w:val="clear" w:pos="5041"/>
              </w:tabs>
              <w:spacing w:after="0"/>
              <w:rPr>
                <w:rFonts w:ascii="Georgia" w:hAnsi="Georgia"/>
                <w:i/>
                <w:sz w:val="18"/>
                <w:szCs w:val="18"/>
              </w:rPr>
            </w:pPr>
            <w:r w:rsidRPr="00893BC8">
              <w:rPr>
                <w:rFonts w:ascii="Georgia" w:hAnsi="Georgia"/>
                <w:i/>
                <w:sz w:val="18"/>
                <w:szCs w:val="18"/>
              </w:rPr>
              <w:t>0,2</w:t>
            </w:r>
          </w:p>
        </w:tc>
        <w:tc>
          <w:tcPr>
            <w:tcW w:w="1429" w:type="dxa"/>
            <w:shd w:val="clear" w:color="auto" w:fill="auto"/>
            <w:vAlign w:val="center"/>
          </w:tcPr>
          <w:p w14:paraId="277C2B6F" w14:textId="77777777" w:rsidR="000E47A1" w:rsidRPr="00AB22B4" w:rsidRDefault="00AD43C1" w:rsidP="009C4377">
            <w:pPr>
              <w:tabs>
                <w:tab w:val="clear" w:pos="5041"/>
              </w:tabs>
              <w:spacing w:after="0"/>
              <w:rPr>
                <w:i/>
                <w:sz w:val="18"/>
                <w:szCs w:val="18"/>
              </w:rPr>
            </w:pPr>
            <w:r w:rsidRPr="00AB22B4">
              <w:rPr>
                <w:i/>
                <w:sz w:val="18"/>
                <w:szCs w:val="18"/>
              </w:rPr>
              <w:t>Prelimnärt värde</w:t>
            </w:r>
            <w:r w:rsidR="009D5ECF" w:rsidRPr="00AB22B4">
              <w:rPr>
                <w:i/>
                <w:sz w:val="18"/>
                <w:szCs w:val="18"/>
              </w:rPr>
              <w:t>:</w:t>
            </w:r>
          </w:p>
          <w:p w14:paraId="65E919AF" w14:textId="143DE833" w:rsidR="005215C9" w:rsidRPr="00AB22B4" w:rsidRDefault="000E47A1" w:rsidP="009C4377">
            <w:pPr>
              <w:tabs>
                <w:tab w:val="clear" w:pos="5041"/>
              </w:tabs>
              <w:spacing w:after="0"/>
              <w:rPr>
                <w:i/>
                <w:sz w:val="18"/>
                <w:szCs w:val="18"/>
              </w:rPr>
            </w:pPr>
            <w:r w:rsidRPr="00AB22B4">
              <w:rPr>
                <w:i/>
                <w:sz w:val="18"/>
                <w:szCs w:val="18"/>
              </w:rPr>
              <w:t>0,24 (±0,07)</w:t>
            </w:r>
          </w:p>
        </w:tc>
        <w:tc>
          <w:tcPr>
            <w:tcW w:w="1861" w:type="dxa"/>
          </w:tcPr>
          <w:p w14:paraId="3A8B3860" w14:textId="77777777" w:rsidR="005215C9" w:rsidRPr="00D05BBE" w:rsidRDefault="00B96D3D" w:rsidP="001A169A">
            <w:pPr>
              <w:tabs>
                <w:tab w:val="clear" w:pos="5041"/>
              </w:tabs>
              <w:spacing w:after="0"/>
              <w:rPr>
                <w:sz w:val="18"/>
                <w:szCs w:val="18"/>
              </w:rPr>
            </w:pPr>
            <w:r>
              <w:rPr>
                <w:rFonts w:asciiTheme="minorHAnsi" w:hAnsiTheme="minorHAnsi"/>
                <w:sz w:val="18"/>
                <w:szCs w:val="18"/>
              </w:rPr>
              <w:t>Bedöms i samband med Nordsjön (OSPAR)</w:t>
            </w:r>
          </w:p>
        </w:tc>
        <w:tc>
          <w:tcPr>
            <w:tcW w:w="2303" w:type="dxa"/>
            <w:shd w:val="clear" w:color="auto" w:fill="auto"/>
            <w:vAlign w:val="center"/>
          </w:tcPr>
          <w:p w14:paraId="09FE80A3" w14:textId="77777777" w:rsidR="005215C9" w:rsidRPr="00D05BBE" w:rsidRDefault="005215C9" w:rsidP="001A169A">
            <w:pPr>
              <w:tabs>
                <w:tab w:val="clear" w:pos="5041"/>
              </w:tabs>
              <w:spacing w:after="0"/>
              <w:rPr>
                <w:sz w:val="18"/>
                <w:szCs w:val="18"/>
              </w:rPr>
            </w:pPr>
          </w:p>
        </w:tc>
      </w:tr>
      <w:tr w:rsidR="005215C9" w14:paraId="51CDD206" w14:textId="77777777" w:rsidTr="005215C9">
        <w:trPr>
          <w:trHeight w:val="613"/>
        </w:trPr>
        <w:tc>
          <w:tcPr>
            <w:tcW w:w="2150" w:type="dxa"/>
            <w:vAlign w:val="center"/>
          </w:tcPr>
          <w:p w14:paraId="385490DC" w14:textId="707A301E" w:rsidR="005215C9" w:rsidRPr="00AB22B4" w:rsidRDefault="005215C9" w:rsidP="001A169A">
            <w:pPr>
              <w:tabs>
                <w:tab w:val="clear" w:pos="5041"/>
              </w:tabs>
              <w:spacing w:after="0"/>
              <w:rPr>
                <w:rFonts w:asciiTheme="minorHAnsi" w:hAnsiTheme="minorHAnsi"/>
                <w:sz w:val="18"/>
                <w:szCs w:val="18"/>
              </w:rPr>
            </w:pPr>
            <w:r w:rsidRPr="00AB22B4">
              <w:rPr>
                <w:rFonts w:asciiTheme="minorHAnsi" w:hAnsiTheme="minorHAnsi"/>
                <w:sz w:val="18"/>
                <w:szCs w:val="18"/>
              </w:rPr>
              <w:t>Kattegatt</w:t>
            </w:r>
            <w:r w:rsidR="00CF44DA" w:rsidRPr="00AB22B4">
              <w:rPr>
                <w:rFonts w:asciiTheme="minorHAnsi" w:hAnsiTheme="minorHAnsi"/>
                <w:sz w:val="18"/>
                <w:szCs w:val="18"/>
              </w:rPr>
              <w:t xml:space="preserve"> utsjön</w:t>
            </w:r>
          </w:p>
        </w:tc>
        <w:tc>
          <w:tcPr>
            <w:tcW w:w="1545" w:type="dxa"/>
            <w:vAlign w:val="center"/>
          </w:tcPr>
          <w:p w14:paraId="1F4624D6" w14:textId="49AAC3A5" w:rsidR="005215C9" w:rsidRPr="0034175C" w:rsidRDefault="00893BC8" w:rsidP="001A169A">
            <w:pPr>
              <w:tabs>
                <w:tab w:val="clear" w:pos="5041"/>
              </w:tabs>
              <w:spacing w:after="0"/>
              <w:rPr>
                <w:rFonts w:asciiTheme="minorHAnsi" w:hAnsiTheme="minorHAnsi"/>
                <w:i/>
                <w:sz w:val="18"/>
                <w:szCs w:val="18"/>
              </w:rPr>
            </w:pPr>
            <w:r>
              <w:rPr>
                <w:rFonts w:asciiTheme="minorHAnsi" w:hAnsiTheme="minorHAnsi"/>
                <w:i/>
                <w:sz w:val="18"/>
                <w:szCs w:val="18"/>
              </w:rPr>
              <w:t>0,2</w:t>
            </w:r>
          </w:p>
        </w:tc>
        <w:tc>
          <w:tcPr>
            <w:tcW w:w="1429" w:type="dxa"/>
            <w:shd w:val="clear" w:color="auto" w:fill="auto"/>
            <w:vAlign w:val="center"/>
          </w:tcPr>
          <w:p w14:paraId="126E99F9" w14:textId="77777777" w:rsidR="005215C9" w:rsidRPr="00AB22B4" w:rsidRDefault="00AD43C1" w:rsidP="009C4377">
            <w:pPr>
              <w:tabs>
                <w:tab w:val="clear" w:pos="5041"/>
              </w:tabs>
              <w:spacing w:after="0"/>
              <w:rPr>
                <w:i/>
                <w:sz w:val="18"/>
                <w:szCs w:val="18"/>
              </w:rPr>
            </w:pPr>
            <w:r w:rsidRPr="00AB22B4">
              <w:rPr>
                <w:i/>
                <w:sz w:val="18"/>
                <w:szCs w:val="18"/>
              </w:rPr>
              <w:t>Prelimnärt värde</w:t>
            </w:r>
            <w:r w:rsidR="009D5ECF" w:rsidRPr="00AB22B4">
              <w:rPr>
                <w:i/>
                <w:sz w:val="18"/>
                <w:szCs w:val="18"/>
              </w:rPr>
              <w:t>:</w:t>
            </w:r>
          </w:p>
          <w:p w14:paraId="60FFE235" w14:textId="2601985D" w:rsidR="000E47A1" w:rsidRPr="00AB22B4" w:rsidRDefault="000E47A1" w:rsidP="009C4377">
            <w:pPr>
              <w:tabs>
                <w:tab w:val="clear" w:pos="5041"/>
              </w:tabs>
              <w:spacing w:after="0"/>
              <w:rPr>
                <w:rFonts w:asciiTheme="minorHAnsi" w:hAnsiTheme="minorHAnsi"/>
                <w:sz w:val="18"/>
                <w:szCs w:val="18"/>
              </w:rPr>
            </w:pPr>
            <w:r w:rsidRPr="00AB22B4">
              <w:rPr>
                <w:i/>
                <w:sz w:val="18"/>
                <w:szCs w:val="18"/>
              </w:rPr>
              <w:t>0,1 (±0,06)</w:t>
            </w:r>
          </w:p>
        </w:tc>
        <w:tc>
          <w:tcPr>
            <w:tcW w:w="1861" w:type="dxa"/>
          </w:tcPr>
          <w:p w14:paraId="5395FB7F" w14:textId="77777777" w:rsidR="005215C9" w:rsidRPr="00D05BBE" w:rsidRDefault="00B96D3D" w:rsidP="001A169A">
            <w:pPr>
              <w:tabs>
                <w:tab w:val="clear" w:pos="5041"/>
              </w:tabs>
              <w:spacing w:after="0"/>
              <w:rPr>
                <w:rFonts w:asciiTheme="minorHAnsi" w:hAnsiTheme="minorHAnsi"/>
                <w:sz w:val="18"/>
                <w:szCs w:val="18"/>
              </w:rPr>
            </w:pPr>
            <w:r>
              <w:rPr>
                <w:rFonts w:asciiTheme="minorHAnsi" w:hAnsiTheme="minorHAnsi"/>
                <w:sz w:val="18"/>
                <w:szCs w:val="18"/>
              </w:rPr>
              <w:t>Bedöms i samband med Nordsjön (OSPAR)</w:t>
            </w:r>
          </w:p>
        </w:tc>
        <w:tc>
          <w:tcPr>
            <w:tcW w:w="2303" w:type="dxa"/>
            <w:shd w:val="clear" w:color="auto" w:fill="auto"/>
            <w:vAlign w:val="center"/>
          </w:tcPr>
          <w:p w14:paraId="3BDE14B9" w14:textId="77777777" w:rsidR="005215C9" w:rsidRPr="00D05BBE" w:rsidRDefault="005215C9" w:rsidP="001A169A">
            <w:pPr>
              <w:tabs>
                <w:tab w:val="clear" w:pos="5041"/>
              </w:tabs>
              <w:spacing w:after="0"/>
              <w:rPr>
                <w:rFonts w:asciiTheme="minorHAnsi" w:hAnsiTheme="minorHAnsi"/>
                <w:sz w:val="18"/>
                <w:szCs w:val="18"/>
              </w:rPr>
            </w:pPr>
          </w:p>
        </w:tc>
      </w:tr>
      <w:tr w:rsidR="005215C9" w14:paraId="7A747E11" w14:textId="77777777" w:rsidTr="005215C9">
        <w:trPr>
          <w:trHeight w:val="681"/>
        </w:trPr>
        <w:tc>
          <w:tcPr>
            <w:tcW w:w="2150" w:type="dxa"/>
            <w:vAlign w:val="center"/>
          </w:tcPr>
          <w:p w14:paraId="5FFF21B2" w14:textId="77777777" w:rsidR="005215C9" w:rsidRPr="00AB22B4" w:rsidRDefault="005215C9" w:rsidP="001A169A">
            <w:pPr>
              <w:tabs>
                <w:tab w:val="clear" w:pos="5041"/>
              </w:tabs>
              <w:spacing w:after="0"/>
              <w:rPr>
                <w:rFonts w:asciiTheme="minorHAnsi" w:hAnsiTheme="minorHAnsi"/>
                <w:sz w:val="18"/>
                <w:szCs w:val="18"/>
              </w:rPr>
            </w:pPr>
            <w:r w:rsidRPr="00AB22B4">
              <w:rPr>
                <w:rFonts w:asciiTheme="minorHAnsi" w:hAnsiTheme="minorHAnsi"/>
                <w:sz w:val="18"/>
                <w:szCs w:val="18"/>
              </w:rPr>
              <w:t>Öresund (norr om Öresundsbron)</w:t>
            </w:r>
          </w:p>
        </w:tc>
        <w:tc>
          <w:tcPr>
            <w:tcW w:w="1545" w:type="dxa"/>
            <w:vAlign w:val="center"/>
          </w:tcPr>
          <w:p w14:paraId="59BC8A9F" w14:textId="37206D7B" w:rsidR="005215C9" w:rsidRPr="0034175C" w:rsidRDefault="00893BC8" w:rsidP="001A169A">
            <w:pPr>
              <w:tabs>
                <w:tab w:val="clear" w:pos="5041"/>
              </w:tabs>
              <w:spacing w:after="0"/>
              <w:rPr>
                <w:rFonts w:asciiTheme="minorHAnsi" w:hAnsiTheme="minorHAnsi"/>
                <w:sz w:val="18"/>
                <w:szCs w:val="18"/>
              </w:rPr>
            </w:pPr>
            <w:r>
              <w:rPr>
                <w:rFonts w:asciiTheme="minorHAnsi" w:hAnsiTheme="minorHAnsi"/>
                <w:sz w:val="18"/>
                <w:szCs w:val="18"/>
              </w:rPr>
              <w:t>0,2</w:t>
            </w:r>
          </w:p>
        </w:tc>
        <w:tc>
          <w:tcPr>
            <w:tcW w:w="1429" w:type="dxa"/>
            <w:shd w:val="clear" w:color="auto" w:fill="auto"/>
            <w:vAlign w:val="center"/>
          </w:tcPr>
          <w:p w14:paraId="263EE53A" w14:textId="77777777" w:rsidR="005215C9" w:rsidRPr="00AB22B4" w:rsidRDefault="00AD43C1" w:rsidP="009C4377">
            <w:pPr>
              <w:tabs>
                <w:tab w:val="clear" w:pos="5041"/>
              </w:tabs>
              <w:spacing w:after="0"/>
              <w:rPr>
                <w:i/>
                <w:sz w:val="18"/>
                <w:szCs w:val="18"/>
              </w:rPr>
            </w:pPr>
            <w:r w:rsidRPr="00AB22B4">
              <w:rPr>
                <w:i/>
                <w:sz w:val="18"/>
                <w:szCs w:val="18"/>
              </w:rPr>
              <w:t>Prelimnärt värde</w:t>
            </w:r>
            <w:r w:rsidR="009D5ECF" w:rsidRPr="00AB22B4">
              <w:rPr>
                <w:i/>
                <w:sz w:val="18"/>
                <w:szCs w:val="18"/>
              </w:rPr>
              <w:t>:</w:t>
            </w:r>
          </w:p>
          <w:p w14:paraId="311ED140" w14:textId="197E79E5" w:rsidR="000E47A1" w:rsidRPr="00AB22B4" w:rsidRDefault="000E47A1" w:rsidP="009C4377">
            <w:pPr>
              <w:tabs>
                <w:tab w:val="clear" w:pos="5041"/>
              </w:tabs>
              <w:spacing w:after="0"/>
              <w:rPr>
                <w:rFonts w:asciiTheme="minorHAnsi" w:hAnsiTheme="minorHAnsi"/>
                <w:sz w:val="18"/>
                <w:szCs w:val="18"/>
              </w:rPr>
            </w:pPr>
            <w:r w:rsidRPr="00AB22B4">
              <w:rPr>
                <w:i/>
                <w:sz w:val="18"/>
                <w:szCs w:val="18"/>
              </w:rPr>
              <w:t>0,15</w:t>
            </w:r>
            <w:r w:rsidR="001E231A" w:rsidRPr="00AB22B4">
              <w:rPr>
                <w:i/>
                <w:sz w:val="18"/>
                <w:szCs w:val="18"/>
              </w:rPr>
              <w:t xml:space="preserve"> </w:t>
            </w:r>
            <w:r w:rsidRPr="00AB22B4">
              <w:rPr>
                <w:i/>
                <w:sz w:val="18"/>
                <w:szCs w:val="18"/>
              </w:rPr>
              <w:t>(±</w:t>
            </w:r>
            <w:r w:rsidR="001E231A" w:rsidRPr="00AB22B4">
              <w:rPr>
                <w:i/>
                <w:sz w:val="18"/>
                <w:szCs w:val="18"/>
              </w:rPr>
              <w:t>0,07)</w:t>
            </w:r>
          </w:p>
        </w:tc>
        <w:tc>
          <w:tcPr>
            <w:tcW w:w="1861" w:type="dxa"/>
          </w:tcPr>
          <w:p w14:paraId="064E55C7" w14:textId="77777777" w:rsidR="005215C9" w:rsidRPr="00B96D3D" w:rsidRDefault="00B96D3D" w:rsidP="001A169A">
            <w:pPr>
              <w:tabs>
                <w:tab w:val="clear" w:pos="5041"/>
              </w:tabs>
              <w:spacing w:after="0"/>
              <w:rPr>
                <w:rFonts w:asciiTheme="minorHAnsi" w:hAnsiTheme="minorHAnsi"/>
                <w:color w:val="000000" w:themeColor="text1"/>
                <w:sz w:val="18"/>
                <w:szCs w:val="18"/>
              </w:rPr>
            </w:pPr>
            <w:r>
              <w:rPr>
                <w:rFonts w:asciiTheme="minorHAnsi" w:hAnsiTheme="minorHAnsi"/>
                <w:color w:val="000000" w:themeColor="text1"/>
                <w:sz w:val="18"/>
                <w:szCs w:val="18"/>
              </w:rPr>
              <w:t>Bedömning ej gjord pga. begränsad replikering</w:t>
            </w:r>
          </w:p>
        </w:tc>
        <w:tc>
          <w:tcPr>
            <w:tcW w:w="2303" w:type="dxa"/>
            <w:shd w:val="clear" w:color="auto" w:fill="auto"/>
            <w:vAlign w:val="center"/>
          </w:tcPr>
          <w:p w14:paraId="063D5863" w14:textId="77777777" w:rsidR="005215C9" w:rsidRPr="002047A7" w:rsidRDefault="005215C9" w:rsidP="001A169A">
            <w:pPr>
              <w:tabs>
                <w:tab w:val="clear" w:pos="5041"/>
              </w:tabs>
              <w:spacing w:after="0"/>
              <w:rPr>
                <w:rFonts w:asciiTheme="minorHAnsi" w:hAnsiTheme="minorHAnsi"/>
                <w:color w:val="FFFFFF" w:themeColor="background1"/>
                <w:sz w:val="18"/>
                <w:szCs w:val="18"/>
              </w:rPr>
            </w:pPr>
          </w:p>
        </w:tc>
      </w:tr>
      <w:tr w:rsidR="00EF0761" w14:paraId="64CCFE97" w14:textId="77777777" w:rsidTr="001A169A">
        <w:trPr>
          <w:trHeight w:val="681"/>
        </w:trPr>
        <w:tc>
          <w:tcPr>
            <w:tcW w:w="9288" w:type="dxa"/>
            <w:gridSpan w:val="5"/>
            <w:vAlign w:val="center"/>
          </w:tcPr>
          <w:p w14:paraId="6215438A" w14:textId="643B6AAA" w:rsidR="00EF0761" w:rsidRPr="00AB22B4" w:rsidRDefault="00280C8B" w:rsidP="000E47A1">
            <w:pPr>
              <w:tabs>
                <w:tab w:val="clear" w:pos="5041"/>
              </w:tabs>
              <w:spacing w:after="0"/>
              <w:rPr>
                <w:rFonts w:asciiTheme="minorHAnsi" w:hAnsiTheme="minorHAnsi"/>
                <w:color w:val="FFFFFF" w:themeColor="background1"/>
                <w:sz w:val="18"/>
                <w:szCs w:val="18"/>
              </w:rPr>
            </w:pPr>
            <w:r w:rsidRPr="00AB22B4">
              <w:rPr>
                <w:sz w:val="18"/>
                <w:szCs w:val="18"/>
              </w:rPr>
              <w:t>Provtagningarna som ligger till grund för dessa bedömningar omfattar även de danska delarna av havsbassängerna men sträcker sig inte in i de fjord- och skärgårdsområden som föreliggande bedömning avser.</w:t>
            </w:r>
            <w:r w:rsidR="009D5ECF" w:rsidRPr="00AB22B4">
              <w:rPr>
                <w:sz w:val="18"/>
                <w:szCs w:val="18"/>
              </w:rPr>
              <w:t xml:space="preserve"> Observerade </w:t>
            </w:r>
            <w:r w:rsidR="000D6766" w:rsidRPr="00AB22B4">
              <w:rPr>
                <w:sz w:val="18"/>
                <w:szCs w:val="18"/>
              </w:rPr>
              <w:t xml:space="preserve">LFI </w:t>
            </w:r>
            <w:r w:rsidR="009D5ECF" w:rsidRPr="00AB22B4">
              <w:rPr>
                <w:sz w:val="18"/>
                <w:szCs w:val="18"/>
              </w:rPr>
              <w:t xml:space="preserve">värden för Skagerrak utsjö, Kattegatt utsjö och Öresund är endast prelimära beräkningar </w:t>
            </w:r>
            <w:r w:rsidR="009C4377" w:rsidRPr="00AB22B4">
              <w:rPr>
                <w:sz w:val="18"/>
                <w:szCs w:val="18"/>
              </w:rPr>
              <w:t>a</w:t>
            </w:r>
            <w:r w:rsidR="00D7415C" w:rsidRPr="00AB22B4">
              <w:rPr>
                <w:sz w:val="18"/>
                <w:szCs w:val="18"/>
              </w:rPr>
              <w:t>v medelvärdet för 201</w:t>
            </w:r>
            <w:r w:rsidR="009C4377" w:rsidRPr="00AB22B4">
              <w:rPr>
                <w:sz w:val="18"/>
                <w:szCs w:val="18"/>
              </w:rPr>
              <w:t xml:space="preserve">1-2016 </w:t>
            </w:r>
            <w:r w:rsidR="009D5ECF" w:rsidRPr="00AB22B4">
              <w:rPr>
                <w:sz w:val="18"/>
                <w:szCs w:val="18"/>
              </w:rPr>
              <w:t xml:space="preserve">som används för att jämföra med LFI-värdet för Skagerraks fjordar och kustvatten. Värdena inom parantes (±) anger </w:t>
            </w:r>
            <w:r w:rsidR="00D7415C" w:rsidRPr="00AB22B4">
              <w:rPr>
                <w:sz w:val="18"/>
                <w:szCs w:val="18"/>
              </w:rPr>
              <w:t xml:space="preserve">95% </w:t>
            </w:r>
            <w:r w:rsidR="009D5ECF" w:rsidRPr="00AB22B4">
              <w:rPr>
                <w:sz w:val="18"/>
                <w:szCs w:val="18"/>
              </w:rPr>
              <w:t>konfidensintervall runt beräknade medelvärde</w:t>
            </w:r>
            <w:r w:rsidR="000E47A1" w:rsidRPr="00AB22B4">
              <w:rPr>
                <w:sz w:val="18"/>
                <w:szCs w:val="18"/>
              </w:rPr>
              <w:t xml:space="preserve"> av LFI för de sex senaste åren (2011-2016) inom respektive bedömningsområde</w:t>
            </w:r>
            <w:r w:rsidR="009D5ECF" w:rsidRPr="00AB22B4">
              <w:rPr>
                <w:sz w:val="18"/>
                <w:szCs w:val="18"/>
              </w:rPr>
              <w:t>.</w:t>
            </w:r>
          </w:p>
        </w:tc>
      </w:tr>
    </w:tbl>
    <w:p w14:paraId="274FD18E" w14:textId="77777777" w:rsidR="00C76A0C" w:rsidRDefault="00C76A0C">
      <w:pPr>
        <w:tabs>
          <w:tab w:val="clear" w:pos="5041"/>
        </w:tabs>
        <w:spacing w:after="0"/>
      </w:pPr>
    </w:p>
    <w:p w14:paraId="3C27013D" w14:textId="77777777" w:rsidR="00C76A0C" w:rsidRDefault="00C76A0C">
      <w:pPr>
        <w:tabs>
          <w:tab w:val="clear" w:pos="5041"/>
        </w:tabs>
        <w:spacing w:after="0"/>
      </w:pPr>
    </w:p>
    <w:tbl>
      <w:tblPr>
        <w:tblStyle w:val="Tabellrutnt"/>
        <w:tblW w:w="9322" w:type="dxa"/>
        <w:tblCellMar>
          <w:top w:w="28" w:type="dxa"/>
          <w:bottom w:w="28" w:type="dxa"/>
        </w:tblCellMar>
        <w:tblLook w:val="04A0" w:firstRow="1" w:lastRow="0" w:firstColumn="1" w:lastColumn="0" w:noHBand="0" w:noVBand="1"/>
      </w:tblPr>
      <w:tblGrid>
        <w:gridCol w:w="2204"/>
        <w:gridCol w:w="1462"/>
        <w:gridCol w:w="1928"/>
        <w:gridCol w:w="1743"/>
        <w:gridCol w:w="1985"/>
      </w:tblGrid>
      <w:tr w:rsidR="005215C9" w14:paraId="67511CF4" w14:textId="77777777" w:rsidTr="004D6EF6">
        <w:tc>
          <w:tcPr>
            <w:tcW w:w="2235" w:type="dxa"/>
          </w:tcPr>
          <w:p w14:paraId="3F675408" w14:textId="77777777" w:rsidR="005215C9" w:rsidRDefault="005215C9" w:rsidP="001A169A">
            <w:pPr>
              <w:tabs>
                <w:tab w:val="clear" w:pos="5041"/>
              </w:tabs>
              <w:spacing w:after="0"/>
              <w:rPr>
                <w:rFonts w:asciiTheme="majorHAnsi" w:hAnsiTheme="majorHAnsi" w:cstheme="majorHAnsi"/>
                <w:b/>
                <w:sz w:val="20"/>
                <w:szCs w:val="20"/>
              </w:rPr>
            </w:pPr>
            <w:r w:rsidRPr="00D44830">
              <w:rPr>
                <w:rFonts w:asciiTheme="majorHAnsi" w:hAnsiTheme="majorHAnsi" w:cstheme="majorHAnsi"/>
                <w:b/>
                <w:sz w:val="20"/>
                <w:szCs w:val="20"/>
              </w:rPr>
              <w:t>Bedömningsområde</w:t>
            </w:r>
          </w:p>
          <w:p w14:paraId="7A0F8CB2" w14:textId="77777777" w:rsidR="005215C9" w:rsidRPr="00D44830" w:rsidRDefault="005215C9" w:rsidP="001A169A">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Kustvattentyper</w:t>
            </w:r>
          </w:p>
        </w:tc>
        <w:tc>
          <w:tcPr>
            <w:tcW w:w="1462" w:type="dxa"/>
          </w:tcPr>
          <w:p w14:paraId="4195880B" w14:textId="77777777" w:rsidR="005215C9" w:rsidRPr="00D44830" w:rsidRDefault="005215C9" w:rsidP="001A169A">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Tröskelvärde</w:t>
            </w:r>
          </w:p>
        </w:tc>
        <w:tc>
          <w:tcPr>
            <w:tcW w:w="1373" w:type="dxa"/>
          </w:tcPr>
          <w:p w14:paraId="2090DFBF" w14:textId="2C5FDD63" w:rsidR="005215C9" w:rsidRPr="00D44830" w:rsidRDefault="005215C9" w:rsidP="006A1D78">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 xml:space="preserve">Observerat </w:t>
            </w:r>
            <w:r w:rsidR="00852EEC">
              <w:rPr>
                <w:rFonts w:asciiTheme="majorHAnsi" w:hAnsiTheme="majorHAnsi" w:cstheme="majorHAnsi"/>
                <w:b/>
                <w:sz w:val="20"/>
                <w:szCs w:val="20"/>
              </w:rPr>
              <w:t>medel</w:t>
            </w:r>
            <w:r>
              <w:rPr>
                <w:rFonts w:asciiTheme="majorHAnsi" w:hAnsiTheme="majorHAnsi" w:cstheme="majorHAnsi"/>
                <w:b/>
                <w:sz w:val="20"/>
                <w:szCs w:val="20"/>
              </w:rPr>
              <w:t>v</w:t>
            </w:r>
            <w:r w:rsidRPr="00D44830">
              <w:rPr>
                <w:rFonts w:asciiTheme="majorHAnsi" w:hAnsiTheme="majorHAnsi" w:cstheme="majorHAnsi"/>
                <w:b/>
                <w:sz w:val="20"/>
                <w:szCs w:val="20"/>
              </w:rPr>
              <w:t>ärde</w:t>
            </w:r>
            <w:r w:rsidR="00E05291">
              <w:rPr>
                <w:rFonts w:asciiTheme="majorHAnsi" w:hAnsiTheme="majorHAnsi" w:cstheme="majorHAnsi"/>
                <w:b/>
                <w:sz w:val="20"/>
                <w:szCs w:val="20"/>
              </w:rPr>
              <w:t xml:space="preserve"> åren </w:t>
            </w:r>
            <w:r w:rsidR="006A1D78">
              <w:rPr>
                <w:rFonts w:asciiTheme="majorHAnsi" w:hAnsiTheme="majorHAnsi" w:cstheme="majorHAnsi"/>
                <w:b/>
                <w:sz w:val="20"/>
                <w:szCs w:val="20"/>
              </w:rPr>
              <w:t>2011</w:t>
            </w:r>
            <w:r w:rsidR="00E05291">
              <w:rPr>
                <w:rFonts w:asciiTheme="majorHAnsi" w:hAnsiTheme="majorHAnsi" w:cstheme="majorHAnsi"/>
                <w:b/>
                <w:sz w:val="20"/>
                <w:szCs w:val="20"/>
              </w:rPr>
              <w:t>-2016</w:t>
            </w:r>
            <w:r w:rsidR="00852EEC">
              <w:rPr>
                <w:rFonts w:asciiTheme="majorHAnsi" w:hAnsiTheme="majorHAnsi" w:cstheme="majorHAnsi"/>
                <w:b/>
                <w:sz w:val="20"/>
                <w:szCs w:val="20"/>
              </w:rPr>
              <w:t xml:space="preserve"> med 95 %-igt konfidensintervall</w:t>
            </w:r>
          </w:p>
        </w:tc>
        <w:tc>
          <w:tcPr>
            <w:tcW w:w="1984" w:type="dxa"/>
          </w:tcPr>
          <w:p w14:paraId="70E45C61" w14:textId="77777777" w:rsidR="005215C9" w:rsidRDefault="005215C9" w:rsidP="001A169A">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Bedömning</w:t>
            </w:r>
          </w:p>
        </w:tc>
        <w:tc>
          <w:tcPr>
            <w:tcW w:w="2268" w:type="dxa"/>
          </w:tcPr>
          <w:p w14:paraId="03B8E5B6" w14:textId="77777777" w:rsidR="005215C9" w:rsidRDefault="005215C9" w:rsidP="001A169A">
            <w:pPr>
              <w:tabs>
                <w:tab w:val="clear" w:pos="5041"/>
              </w:tabs>
              <w:spacing w:after="0"/>
              <w:rPr>
                <w:rFonts w:asciiTheme="majorHAnsi" w:hAnsiTheme="majorHAnsi" w:cstheme="majorHAnsi"/>
                <w:b/>
                <w:sz w:val="20"/>
                <w:szCs w:val="20"/>
              </w:rPr>
            </w:pPr>
            <w:r>
              <w:rPr>
                <w:rFonts w:asciiTheme="majorHAnsi" w:hAnsiTheme="majorHAnsi" w:cstheme="majorHAnsi"/>
                <w:b/>
                <w:sz w:val="20"/>
                <w:szCs w:val="20"/>
              </w:rPr>
              <w:t>Tillförlitlighet</w:t>
            </w:r>
          </w:p>
        </w:tc>
      </w:tr>
      <w:tr w:rsidR="005215C9" w14:paraId="38A797D8" w14:textId="77777777" w:rsidTr="009E23C1">
        <w:trPr>
          <w:trHeight w:val="962"/>
        </w:trPr>
        <w:tc>
          <w:tcPr>
            <w:tcW w:w="2235" w:type="dxa"/>
            <w:vAlign w:val="center"/>
          </w:tcPr>
          <w:p w14:paraId="2DD0B26E" w14:textId="320CD7C4" w:rsidR="005215C9" w:rsidRDefault="005215C9" w:rsidP="001A169A">
            <w:pPr>
              <w:tabs>
                <w:tab w:val="clear" w:pos="5041"/>
              </w:tabs>
              <w:spacing w:after="0"/>
              <w:rPr>
                <w:rFonts w:asciiTheme="minorHAnsi" w:hAnsiTheme="minorHAnsi"/>
                <w:sz w:val="18"/>
                <w:szCs w:val="18"/>
              </w:rPr>
            </w:pPr>
            <w:r w:rsidRPr="00CE6559">
              <w:rPr>
                <w:rFonts w:asciiTheme="minorHAnsi" w:hAnsiTheme="minorHAnsi"/>
                <w:sz w:val="18"/>
                <w:szCs w:val="18"/>
              </w:rPr>
              <w:t>Västkustens fjordar</w:t>
            </w:r>
          </w:p>
          <w:p w14:paraId="3A59EE1E" w14:textId="77777777" w:rsidR="009E23C1" w:rsidRDefault="009E23C1" w:rsidP="001A169A">
            <w:pPr>
              <w:tabs>
                <w:tab w:val="clear" w:pos="5041"/>
              </w:tabs>
              <w:spacing w:after="0"/>
              <w:rPr>
                <w:rFonts w:asciiTheme="minorHAnsi" w:hAnsiTheme="minorHAnsi"/>
                <w:sz w:val="18"/>
                <w:szCs w:val="18"/>
              </w:rPr>
            </w:pPr>
          </w:p>
          <w:p w14:paraId="2710CBAB" w14:textId="04E0DF1B" w:rsidR="009E23C1" w:rsidRDefault="009E23C1" w:rsidP="001A169A">
            <w:pPr>
              <w:tabs>
                <w:tab w:val="clear" w:pos="5041"/>
              </w:tabs>
              <w:spacing w:after="0"/>
              <w:rPr>
                <w:rFonts w:asciiTheme="minorHAnsi" w:hAnsiTheme="minorHAnsi"/>
                <w:sz w:val="18"/>
                <w:szCs w:val="18"/>
              </w:rPr>
            </w:pPr>
            <w:r w:rsidRPr="00CE6559">
              <w:rPr>
                <w:rFonts w:asciiTheme="minorHAnsi" w:hAnsiTheme="minorHAnsi"/>
                <w:sz w:val="18"/>
                <w:szCs w:val="18"/>
              </w:rPr>
              <w:t>Västkustens inre kustvatten (1s)</w:t>
            </w:r>
          </w:p>
          <w:p w14:paraId="4A621FA2" w14:textId="77777777" w:rsidR="00A24594" w:rsidRDefault="00A24594" w:rsidP="001A169A">
            <w:pPr>
              <w:tabs>
                <w:tab w:val="clear" w:pos="5041"/>
              </w:tabs>
              <w:spacing w:after="0"/>
              <w:rPr>
                <w:rFonts w:asciiTheme="minorHAnsi" w:hAnsiTheme="minorHAnsi"/>
                <w:sz w:val="18"/>
                <w:szCs w:val="18"/>
              </w:rPr>
            </w:pPr>
          </w:p>
          <w:p w14:paraId="316472C1" w14:textId="77777777" w:rsidR="00A24594" w:rsidRPr="00CE6559" w:rsidRDefault="00A24594" w:rsidP="001A169A">
            <w:pPr>
              <w:tabs>
                <w:tab w:val="clear" w:pos="5041"/>
              </w:tabs>
              <w:spacing w:after="0"/>
              <w:rPr>
                <w:rFonts w:asciiTheme="minorHAnsi" w:hAnsiTheme="minorHAnsi"/>
                <w:sz w:val="18"/>
                <w:szCs w:val="18"/>
              </w:rPr>
            </w:pPr>
            <w:r w:rsidRPr="00CE6559">
              <w:rPr>
                <w:rFonts w:asciiTheme="minorHAnsi" w:hAnsiTheme="minorHAnsi"/>
                <w:sz w:val="18"/>
                <w:szCs w:val="18"/>
              </w:rPr>
              <w:t>Västkustens yttre kustvatten, Kattegatt</w:t>
            </w:r>
          </w:p>
        </w:tc>
        <w:tc>
          <w:tcPr>
            <w:tcW w:w="1462" w:type="dxa"/>
            <w:vAlign w:val="center"/>
          </w:tcPr>
          <w:p w14:paraId="759314FA" w14:textId="77777777" w:rsidR="005215C9" w:rsidRPr="00CE6559" w:rsidRDefault="00B96D3D" w:rsidP="001A169A">
            <w:pPr>
              <w:tabs>
                <w:tab w:val="clear" w:pos="5041"/>
              </w:tabs>
              <w:spacing w:after="0"/>
              <w:rPr>
                <w:rFonts w:asciiTheme="minorHAnsi" w:hAnsiTheme="minorHAnsi"/>
                <w:sz w:val="18"/>
                <w:szCs w:val="18"/>
              </w:rPr>
            </w:pPr>
            <w:r>
              <w:rPr>
                <w:rFonts w:asciiTheme="minorHAnsi" w:hAnsiTheme="minorHAnsi"/>
                <w:sz w:val="18"/>
                <w:szCs w:val="18"/>
              </w:rPr>
              <w:t>0,2</w:t>
            </w:r>
          </w:p>
        </w:tc>
        <w:tc>
          <w:tcPr>
            <w:tcW w:w="1373" w:type="dxa"/>
            <w:vAlign w:val="center"/>
          </w:tcPr>
          <w:p w14:paraId="2698A3DF" w14:textId="050A62C8" w:rsidR="005215C9" w:rsidRPr="00CE6559" w:rsidRDefault="009E23C1" w:rsidP="001A169A">
            <w:pPr>
              <w:tabs>
                <w:tab w:val="clear" w:pos="5041"/>
              </w:tabs>
              <w:spacing w:after="0"/>
              <w:rPr>
                <w:rFonts w:asciiTheme="minorHAnsi" w:hAnsiTheme="minorHAnsi"/>
                <w:sz w:val="18"/>
                <w:szCs w:val="18"/>
              </w:rPr>
            </w:pPr>
            <w:r>
              <w:rPr>
                <w:rFonts w:asciiTheme="minorHAnsi" w:hAnsiTheme="minorHAnsi"/>
                <w:sz w:val="18"/>
                <w:szCs w:val="18"/>
              </w:rPr>
              <w:t>0</w:t>
            </w:r>
            <w:r w:rsidRPr="00AB22B4">
              <w:rPr>
                <w:rFonts w:asciiTheme="minorHAnsi" w:hAnsiTheme="minorHAnsi"/>
                <w:sz w:val="18"/>
                <w:szCs w:val="18"/>
              </w:rPr>
              <w:t>,0</w:t>
            </w:r>
            <w:r w:rsidR="00E5118F" w:rsidRPr="00AB22B4">
              <w:rPr>
                <w:rFonts w:asciiTheme="minorHAnsi" w:hAnsiTheme="minorHAnsi"/>
                <w:sz w:val="18"/>
                <w:szCs w:val="18"/>
              </w:rPr>
              <w:t>1</w:t>
            </w:r>
            <w:r w:rsidR="009C4377" w:rsidRPr="00AB22B4">
              <w:rPr>
                <w:rFonts w:asciiTheme="minorHAnsi" w:hAnsiTheme="minorHAnsi"/>
                <w:sz w:val="18"/>
                <w:szCs w:val="18"/>
              </w:rPr>
              <w:t xml:space="preserve"> </w:t>
            </w:r>
            <w:r w:rsidR="00AA3789" w:rsidRPr="00AB22B4">
              <w:rPr>
                <w:rFonts w:asciiTheme="minorHAnsi" w:hAnsiTheme="minorHAnsi"/>
                <w:sz w:val="18"/>
                <w:szCs w:val="18"/>
              </w:rPr>
              <w:t xml:space="preserve"> </w:t>
            </w:r>
            <w:r w:rsidR="009C4377" w:rsidRPr="00AB22B4">
              <w:rPr>
                <w:rFonts w:asciiTheme="minorHAnsi" w:hAnsiTheme="minorHAnsi"/>
                <w:sz w:val="18"/>
                <w:szCs w:val="18"/>
              </w:rPr>
              <w:t>(±</w:t>
            </w:r>
            <w:r w:rsidR="00AA3789" w:rsidRPr="00AB22B4">
              <w:rPr>
                <w:rFonts w:asciiTheme="minorHAnsi" w:hAnsiTheme="minorHAnsi"/>
                <w:sz w:val="18"/>
                <w:szCs w:val="18"/>
              </w:rPr>
              <w:t>0,008</w:t>
            </w:r>
            <w:r w:rsidR="009C4377" w:rsidRPr="00AB22B4">
              <w:rPr>
                <w:rFonts w:asciiTheme="minorHAnsi" w:hAnsiTheme="minorHAnsi"/>
                <w:sz w:val="18"/>
                <w:szCs w:val="18"/>
              </w:rPr>
              <w:t>)</w:t>
            </w:r>
          </w:p>
        </w:tc>
        <w:tc>
          <w:tcPr>
            <w:tcW w:w="1984" w:type="dxa"/>
            <w:vAlign w:val="center"/>
          </w:tcPr>
          <w:p w14:paraId="48D36EF6" w14:textId="77777777" w:rsidR="005215C9" w:rsidRPr="00CE6559" w:rsidRDefault="004D6EF6" w:rsidP="009E23C1">
            <w:pPr>
              <w:tabs>
                <w:tab w:val="clear" w:pos="5041"/>
              </w:tabs>
              <w:spacing w:after="0"/>
              <w:rPr>
                <w:rFonts w:asciiTheme="minorHAnsi" w:hAnsiTheme="minorHAnsi"/>
                <w:sz w:val="18"/>
                <w:szCs w:val="18"/>
              </w:rPr>
            </w:pPr>
            <w:r>
              <w:rPr>
                <w:rFonts w:asciiTheme="minorHAnsi" w:hAnsiTheme="minorHAnsi"/>
                <w:sz w:val="18"/>
                <w:szCs w:val="18"/>
              </w:rPr>
              <w:t>Uppfyller ej god status</w:t>
            </w:r>
          </w:p>
        </w:tc>
        <w:tc>
          <w:tcPr>
            <w:tcW w:w="2268" w:type="dxa"/>
            <w:vAlign w:val="center"/>
          </w:tcPr>
          <w:p w14:paraId="7254C21C" w14:textId="77777777" w:rsidR="005215C9" w:rsidRPr="00CE6559" w:rsidRDefault="00B96D3D" w:rsidP="001A169A">
            <w:pPr>
              <w:tabs>
                <w:tab w:val="clear" w:pos="5041"/>
              </w:tabs>
              <w:spacing w:after="0"/>
              <w:rPr>
                <w:rFonts w:asciiTheme="minorHAnsi" w:hAnsiTheme="minorHAnsi"/>
                <w:sz w:val="18"/>
                <w:szCs w:val="18"/>
              </w:rPr>
            </w:pPr>
            <w:r>
              <w:rPr>
                <w:rFonts w:asciiTheme="minorHAnsi" w:hAnsiTheme="minorHAnsi"/>
                <w:sz w:val="18"/>
                <w:szCs w:val="18"/>
              </w:rPr>
              <w:t>Medium</w:t>
            </w:r>
          </w:p>
        </w:tc>
      </w:tr>
      <w:tr w:rsidR="005215C9" w14:paraId="0A517649" w14:textId="77777777" w:rsidTr="004D6EF6">
        <w:tc>
          <w:tcPr>
            <w:tcW w:w="2235" w:type="dxa"/>
            <w:vAlign w:val="center"/>
          </w:tcPr>
          <w:p w14:paraId="1079140F" w14:textId="77777777" w:rsidR="005215C9" w:rsidRPr="00CE6559" w:rsidRDefault="005215C9" w:rsidP="001A169A">
            <w:pPr>
              <w:tabs>
                <w:tab w:val="clear" w:pos="5041"/>
              </w:tabs>
              <w:spacing w:after="0"/>
              <w:rPr>
                <w:rFonts w:asciiTheme="minorHAnsi" w:hAnsiTheme="minorHAnsi"/>
                <w:sz w:val="18"/>
                <w:szCs w:val="18"/>
              </w:rPr>
            </w:pPr>
            <w:r w:rsidRPr="00CE6559">
              <w:rPr>
                <w:rFonts w:asciiTheme="minorHAnsi" w:hAnsiTheme="minorHAnsi"/>
                <w:sz w:val="18"/>
                <w:szCs w:val="18"/>
              </w:rPr>
              <w:t>S. Hallands och N Öresunds kustvatten</w:t>
            </w:r>
          </w:p>
        </w:tc>
        <w:tc>
          <w:tcPr>
            <w:tcW w:w="1462" w:type="dxa"/>
            <w:vAlign w:val="center"/>
          </w:tcPr>
          <w:p w14:paraId="10034E15" w14:textId="77777777" w:rsidR="005215C9" w:rsidRPr="00CE6559" w:rsidRDefault="005215C9" w:rsidP="001A169A">
            <w:pPr>
              <w:tabs>
                <w:tab w:val="clear" w:pos="5041"/>
              </w:tabs>
              <w:spacing w:after="0"/>
              <w:rPr>
                <w:rFonts w:asciiTheme="minorHAnsi" w:hAnsiTheme="minorHAnsi"/>
                <w:sz w:val="18"/>
                <w:szCs w:val="18"/>
              </w:rPr>
            </w:pPr>
          </w:p>
        </w:tc>
        <w:tc>
          <w:tcPr>
            <w:tcW w:w="1373" w:type="dxa"/>
            <w:vAlign w:val="center"/>
          </w:tcPr>
          <w:p w14:paraId="69D72BCE" w14:textId="77777777" w:rsidR="005215C9" w:rsidRPr="00CE6559" w:rsidRDefault="005215C9" w:rsidP="001A169A">
            <w:pPr>
              <w:tabs>
                <w:tab w:val="clear" w:pos="5041"/>
              </w:tabs>
              <w:spacing w:after="0"/>
              <w:rPr>
                <w:rFonts w:asciiTheme="minorHAnsi" w:hAnsiTheme="minorHAnsi"/>
                <w:sz w:val="18"/>
                <w:szCs w:val="18"/>
              </w:rPr>
            </w:pPr>
          </w:p>
        </w:tc>
        <w:tc>
          <w:tcPr>
            <w:tcW w:w="1984" w:type="dxa"/>
          </w:tcPr>
          <w:p w14:paraId="7EB8762B" w14:textId="77777777" w:rsidR="005215C9" w:rsidRPr="00CE6559" w:rsidRDefault="00B96D3D" w:rsidP="001A169A">
            <w:pPr>
              <w:tabs>
                <w:tab w:val="clear" w:pos="5041"/>
              </w:tabs>
              <w:spacing w:after="0"/>
              <w:rPr>
                <w:rFonts w:asciiTheme="minorHAnsi" w:hAnsiTheme="minorHAnsi"/>
                <w:sz w:val="18"/>
                <w:szCs w:val="18"/>
              </w:rPr>
            </w:pPr>
            <w:r>
              <w:rPr>
                <w:rFonts w:asciiTheme="minorHAnsi" w:hAnsiTheme="minorHAnsi"/>
                <w:sz w:val="18"/>
                <w:szCs w:val="18"/>
              </w:rPr>
              <w:t>Bedömning ej gjord</w:t>
            </w:r>
          </w:p>
        </w:tc>
        <w:tc>
          <w:tcPr>
            <w:tcW w:w="2268" w:type="dxa"/>
            <w:vAlign w:val="center"/>
          </w:tcPr>
          <w:p w14:paraId="059A44E3" w14:textId="77777777" w:rsidR="005215C9" w:rsidRPr="00CE6559" w:rsidRDefault="005215C9" w:rsidP="001A169A">
            <w:pPr>
              <w:tabs>
                <w:tab w:val="clear" w:pos="5041"/>
              </w:tabs>
              <w:spacing w:after="0"/>
              <w:rPr>
                <w:rFonts w:asciiTheme="minorHAnsi" w:hAnsiTheme="minorHAnsi"/>
                <w:sz w:val="18"/>
                <w:szCs w:val="18"/>
              </w:rPr>
            </w:pPr>
          </w:p>
        </w:tc>
      </w:tr>
      <w:tr w:rsidR="005215C9" w14:paraId="522B485F" w14:textId="77777777" w:rsidTr="004D6EF6">
        <w:tc>
          <w:tcPr>
            <w:tcW w:w="2235" w:type="dxa"/>
            <w:vAlign w:val="center"/>
          </w:tcPr>
          <w:p w14:paraId="72337C5F" w14:textId="77777777" w:rsidR="005215C9" w:rsidRPr="00CE6559" w:rsidRDefault="005215C9" w:rsidP="001A169A">
            <w:pPr>
              <w:tabs>
                <w:tab w:val="clear" w:pos="5041"/>
              </w:tabs>
              <w:spacing w:after="0"/>
              <w:rPr>
                <w:rFonts w:asciiTheme="minorHAnsi" w:hAnsiTheme="minorHAnsi"/>
                <w:sz w:val="18"/>
                <w:szCs w:val="18"/>
              </w:rPr>
            </w:pPr>
            <w:r w:rsidRPr="00CE6559">
              <w:rPr>
                <w:rFonts w:asciiTheme="minorHAnsi" w:hAnsiTheme="minorHAnsi"/>
                <w:sz w:val="18"/>
                <w:szCs w:val="18"/>
              </w:rPr>
              <w:t>Öresunds kustvatten</w:t>
            </w:r>
          </w:p>
        </w:tc>
        <w:tc>
          <w:tcPr>
            <w:tcW w:w="1462" w:type="dxa"/>
            <w:vAlign w:val="center"/>
          </w:tcPr>
          <w:p w14:paraId="3C374F02" w14:textId="77777777" w:rsidR="005215C9" w:rsidRPr="00CE6559" w:rsidRDefault="005215C9" w:rsidP="001A169A">
            <w:pPr>
              <w:tabs>
                <w:tab w:val="clear" w:pos="5041"/>
              </w:tabs>
              <w:spacing w:after="0"/>
              <w:rPr>
                <w:rFonts w:asciiTheme="minorHAnsi" w:hAnsiTheme="minorHAnsi"/>
                <w:sz w:val="18"/>
                <w:szCs w:val="18"/>
              </w:rPr>
            </w:pPr>
          </w:p>
        </w:tc>
        <w:tc>
          <w:tcPr>
            <w:tcW w:w="1373" w:type="dxa"/>
            <w:vAlign w:val="center"/>
          </w:tcPr>
          <w:p w14:paraId="30DEDB5D" w14:textId="77777777" w:rsidR="005215C9" w:rsidRPr="00CE6559" w:rsidRDefault="005215C9" w:rsidP="001A169A">
            <w:pPr>
              <w:tabs>
                <w:tab w:val="clear" w:pos="5041"/>
              </w:tabs>
              <w:spacing w:after="0"/>
              <w:rPr>
                <w:rFonts w:asciiTheme="minorHAnsi" w:hAnsiTheme="minorHAnsi"/>
                <w:sz w:val="18"/>
                <w:szCs w:val="18"/>
              </w:rPr>
            </w:pPr>
          </w:p>
        </w:tc>
        <w:tc>
          <w:tcPr>
            <w:tcW w:w="1984" w:type="dxa"/>
          </w:tcPr>
          <w:p w14:paraId="70925E3E" w14:textId="77777777" w:rsidR="005215C9" w:rsidRPr="00CE6559" w:rsidRDefault="00B96D3D" w:rsidP="001A169A">
            <w:pPr>
              <w:tabs>
                <w:tab w:val="clear" w:pos="5041"/>
              </w:tabs>
              <w:spacing w:after="0"/>
              <w:rPr>
                <w:rFonts w:asciiTheme="minorHAnsi" w:hAnsiTheme="minorHAnsi"/>
                <w:sz w:val="18"/>
                <w:szCs w:val="18"/>
              </w:rPr>
            </w:pPr>
            <w:r>
              <w:rPr>
                <w:rFonts w:asciiTheme="minorHAnsi" w:hAnsiTheme="minorHAnsi"/>
                <w:sz w:val="18"/>
                <w:szCs w:val="18"/>
              </w:rPr>
              <w:t>Bedömning ej gjord</w:t>
            </w:r>
          </w:p>
        </w:tc>
        <w:tc>
          <w:tcPr>
            <w:tcW w:w="2268" w:type="dxa"/>
            <w:vAlign w:val="center"/>
          </w:tcPr>
          <w:p w14:paraId="3A365A19" w14:textId="77777777" w:rsidR="005215C9" w:rsidRPr="00CE6559" w:rsidRDefault="005215C9" w:rsidP="001A169A">
            <w:pPr>
              <w:tabs>
                <w:tab w:val="clear" w:pos="5041"/>
              </w:tabs>
              <w:spacing w:after="0"/>
              <w:rPr>
                <w:rFonts w:asciiTheme="minorHAnsi" w:hAnsiTheme="minorHAnsi"/>
                <w:sz w:val="18"/>
                <w:szCs w:val="18"/>
              </w:rPr>
            </w:pPr>
          </w:p>
        </w:tc>
      </w:tr>
      <w:tr w:rsidR="005215C9" w14:paraId="02C7940C" w14:textId="77777777" w:rsidTr="004D6EF6">
        <w:tc>
          <w:tcPr>
            <w:tcW w:w="2235" w:type="dxa"/>
            <w:vAlign w:val="center"/>
          </w:tcPr>
          <w:p w14:paraId="618455CD" w14:textId="77777777" w:rsidR="005215C9" w:rsidRPr="00CE6559" w:rsidRDefault="005215C9" w:rsidP="001A169A">
            <w:pPr>
              <w:tabs>
                <w:tab w:val="clear" w:pos="5041"/>
              </w:tabs>
              <w:spacing w:after="0"/>
              <w:rPr>
                <w:rFonts w:asciiTheme="minorHAnsi" w:hAnsiTheme="minorHAnsi"/>
                <w:sz w:val="18"/>
                <w:szCs w:val="18"/>
              </w:rPr>
            </w:pPr>
            <w:r w:rsidRPr="00CE6559">
              <w:rPr>
                <w:rFonts w:asciiTheme="minorHAnsi" w:hAnsiTheme="minorHAnsi"/>
                <w:sz w:val="18"/>
                <w:szCs w:val="18"/>
              </w:rPr>
              <w:t>Skånes kustvatten</w:t>
            </w:r>
          </w:p>
        </w:tc>
        <w:tc>
          <w:tcPr>
            <w:tcW w:w="1462" w:type="dxa"/>
            <w:vAlign w:val="center"/>
          </w:tcPr>
          <w:p w14:paraId="2CDC8BE4" w14:textId="77777777" w:rsidR="005215C9" w:rsidRPr="00CE6559" w:rsidRDefault="005215C9" w:rsidP="001A169A">
            <w:pPr>
              <w:tabs>
                <w:tab w:val="clear" w:pos="5041"/>
              </w:tabs>
              <w:spacing w:after="0"/>
              <w:rPr>
                <w:rFonts w:asciiTheme="minorHAnsi" w:hAnsiTheme="minorHAnsi"/>
                <w:sz w:val="18"/>
                <w:szCs w:val="18"/>
              </w:rPr>
            </w:pPr>
          </w:p>
        </w:tc>
        <w:tc>
          <w:tcPr>
            <w:tcW w:w="1373" w:type="dxa"/>
            <w:vAlign w:val="center"/>
          </w:tcPr>
          <w:p w14:paraId="23EF6B51" w14:textId="77777777" w:rsidR="005215C9" w:rsidRPr="00CE6559" w:rsidRDefault="005215C9" w:rsidP="001A169A">
            <w:pPr>
              <w:tabs>
                <w:tab w:val="clear" w:pos="5041"/>
              </w:tabs>
              <w:spacing w:after="0"/>
              <w:rPr>
                <w:rFonts w:asciiTheme="minorHAnsi" w:hAnsiTheme="minorHAnsi"/>
                <w:sz w:val="18"/>
                <w:szCs w:val="18"/>
              </w:rPr>
            </w:pPr>
          </w:p>
        </w:tc>
        <w:tc>
          <w:tcPr>
            <w:tcW w:w="1984" w:type="dxa"/>
          </w:tcPr>
          <w:p w14:paraId="32F4D2D3" w14:textId="77777777" w:rsidR="005215C9" w:rsidRPr="00CE6559" w:rsidRDefault="00B96D3D" w:rsidP="001A169A">
            <w:pPr>
              <w:tabs>
                <w:tab w:val="clear" w:pos="5041"/>
              </w:tabs>
              <w:spacing w:after="0"/>
              <w:rPr>
                <w:rFonts w:asciiTheme="minorHAnsi" w:hAnsiTheme="minorHAnsi"/>
                <w:sz w:val="18"/>
                <w:szCs w:val="18"/>
              </w:rPr>
            </w:pPr>
            <w:r>
              <w:rPr>
                <w:rFonts w:asciiTheme="minorHAnsi" w:hAnsiTheme="minorHAnsi"/>
                <w:sz w:val="18"/>
                <w:szCs w:val="18"/>
              </w:rPr>
              <w:t>Bedömning ej gjord</w:t>
            </w:r>
          </w:p>
        </w:tc>
        <w:tc>
          <w:tcPr>
            <w:tcW w:w="2268" w:type="dxa"/>
            <w:vAlign w:val="center"/>
          </w:tcPr>
          <w:p w14:paraId="7548BEAB" w14:textId="77777777" w:rsidR="005215C9" w:rsidRPr="00CE6559" w:rsidRDefault="005215C9" w:rsidP="001A169A">
            <w:pPr>
              <w:tabs>
                <w:tab w:val="clear" w:pos="5041"/>
              </w:tabs>
              <w:spacing w:after="0"/>
              <w:rPr>
                <w:rFonts w:asciiTheme="minorHAnsi" w:hAnsiTheme="minorHAnsi"/>
                <w:sz w:val="18"/>
                <w:szCs w:val="18"/>
              </w:rPr>
            </w:pPr>
          </w:p>
        </w:tc>
      </w:tr>
      <w:tr w:rsidR="00EF0761" w14:paraId="06345D99" w14:textId="77777777" w:rsidTr="004D6EF6">
        <w:tc>
          <w:tcPr>
            <w:tcW w:w="9322" w:type="dxa"/>
            <w:gridSpan w:val="5"/>
            <w:vAlign w:val="center"/>
          </w:tcPr>
          <w:p w14:paraId="3D872F75" w14:textId="42E3A8E0" w:rsidR="00EF0761" w:rsidRPr="00CE6559" w:rsidRDefault="009E23C1" w:rsidP="00A24594">
            <w:pPr>
              <w:tabs>
                <w:tab w:val="clear" w:pos="5041"/>
              </w:tabs>
              <w:spacing w:after="0"/>
              <w:rPr>
                <w:rFonts w:asciiTheme="minorHAnsi" w:hAnsiTheme="minorHAnsi"/>
                <w:sz w:val="18"/>
                <w:szCs w:val="18"/>
              </w:rPr>
            </w:pPr>
            <w:r>
              <w:rPr>
                <w:sz w:val="18"/>
                <w:szCs w:val="18"/>
              </w:rPr>
              <w:t xml:space="preserve">Västkustens fjordar </w:t>
            </w:r>
            <w:r w:rsidR="00A24594">
              <w:rPr>
                <w:sz w:val="18"/>
                <w:szCs w:val="18"/>
              </w:rPr>
              <w:t>samt Skagerraks yttre- och</w:t>
            </w:r>
            <w:r>
              <w:rPr>
                <w:sz w:val="18"/>
                <w:szCs w:val="18"/>
              </w:rPr>
              <w:t xml:space="preserve"> inre kustvatten bedöms gemensamt för att få större tillförlitlighet och </w:t>
            </w:r>
            <w:r w:rsidR="003836C2">
              <w:rPr>
                <w:sz w:val="18"/>
                <w:szCs w:val="18"/>
              </w:rPr>
              <w:t xml:space="preserve">på grund av </w:t>
            </w:r>
            <w:r w:rsidR="00A24594">
              <w:rPr>
                <w:sz w:val="18"/>
                <w:szCs w:val="18"/>
              </w:rPr>
              <w:t>flera</w:t>
            </w:r>
            <w:r>
              <w:rPr>
                <w:sz w:val="18"/>
                <w:szCs w:val="18"/>
              </w:rPr>
              <w:t xml:space="preserve"> fiskarter </w:t>
            </w:r>
            <w:r w:rsidR="00E951E1">
              <w:rPr>
                <w:sz w:val="18"/>
                <w:szCs w:val="18"/>
              </w:rPr>
              <w:t>stora rörlighet</w:t>
            </w:r>
            <w:r w:rsidR="000E47A1">
              <w:rPr>
                <w:sz w:val="18"/>
                <w:szCs w:val="18"/>
              </w:rPr>
              <w:t>.</w:t>
            </w:r>
          </w:p>
        </w:tc>
      </w:tr>
    </w:tbl>
    <w:p w14:paraId="21F762A4" w14:textId="77777777" w:rsidR="007E2CB3" w:rsidRDefault="007E2CB3">
      <w:pPr>
        <w:tabs>
          <w:tab w:val="clear" w:pos="5041"/>
        </w:tabs>
        <w:spacing w:after="0"/>
      </w:pPr>
    </w:p>
    <w:p w14:paraId="2A8FFFED" w14:textId="77777777" w:rsidR="005215C9" w:rsidRDefault="005215C9">
      <w:pPr>
        <w:tabs>
          <w:tab w:val="clear" w:pos="5041"/>
        </w:tabs>
        <w:spacing w:after="0"/>
      </w:pPr>
    </w:p>
    <w:p w14:paraId="7159F279" w14:textId="77777777" w:rsidR="007C0D98" w:rsidRPr="00475B09" w:rsidRDefault="00475B09" w:rsidP="00475B09">
      <w:pPr>
        <w:tabs>
          <w:tab w:val="clear" w:pos="5041"/>
        </w:tabs>
        <w:spacing w:after="0"/>
        <w:jc w:val="both"/>
        <w:rPr>
          <w:i/>
        </w:rPr>
      </w:pPr>
      <w:r w:rsidRPr="00475B09">
        <w:rPr>
          <w:i/>
        </w:rPr>
        <w:t xml:space="preserve">Ev. </w:t>
      </w:r>
      <w:r>
        <w:rPr>
          <w:i/>
        </w:rPr>
        <w:t>grafisk sammanfattning</w:t>
      </w:r>
      <w:r w:rsidRPr="00475B09">
        <w:rPr>
          <w:i/>
        </w:rPr>
        <w:t xml:space="preserve"> </w:t>
      </w:r>
      <w:r>
        <w:rPr>
          <w:i/>
        </w:rPr>
        <w:t>av tabeller</w:t>
      </w:r>
    </w:p>
    <w:p w14:paraId="22B801D2" w14:textId="77777777" w:rsidR="00475B09" w:rsidRPr="00F85FE3" w:rsidRDefault="00475B09">
      <w:pPr>
        <w:tabs>
          <w:tab w:val="clear" w:pos="5041"/>
        </w:tabs>
        <w:spacing w:after="0"/>
      </w:pPr>
      <w:r>
        <w:br w:type="page"/>
      </w:r>
    </w:p>
    <w:p w14:paraId="082AA47E" w14:textId="77777777" w:rsidR="0070387B" w:rsidRDefault="0070387B" w:rsidP="0070387B">
      <w:pPr>
        <w:pStyle w:val="Rubrik3"/>
      </w:pPr>
      <w:r>
        <w:lastRenderedPageBreak/>
        <w:t>Sektion 2. Detaljerad information.</w:t>
      </w:r>
    </w:p>
    <w:p w14:paraId="66F52906" w14:textId="77777777" w:rsidR="0070387B" w:rsidRPr="0070387B" w:rsidRDefault="0070387B" w:rsidP="0070387B">
      <w:pPr>
        <w:pStyle w:val="Brdtext"/>
        <w:rPr>
          <w:i/>
        </w:rPr>
      </w:pPr>
      <w:r w:rsidRPr="0070387B">
        <w:rPr>
          <w:i/>
        </w:rPr>
        <w:t>Text av vetenskaplig kvalitet med referenser</w:t>
      </w:r>
      <w:r>
        <w:rPr>
          <w:i/>
        </w:rPr>
        <w:t xml:space="preserve">. </w:t>
      </w:r>
      <w:r w:rsidR="00F0386D">
        <w:rPr>
          <w:i/>
        </w:rPr>
        <w:t xml:space="preserve">Upplagd som vetenskaplig artikel. </w:t>
      </w:r>
      <w:r>
        <w:rPr>
          <w:i/>
        </w:rPr>
        <w:t>Ska genomgå oberoende granskning.</w:t>
      </w:r>
    </w:p>
    <w:p w14:paraId="6633AE4F" w14:textId="77777777" w:rsidR="0070387B" w:rsidRPr="004D5D59" w:rsidRDefault="0070387B" w:rsidP="0009349B">
      <w:pPr>
        <w:pStyle w:val="Brdtext"/>
        <w:rPr>
          <w:b/>
        </w:rPr>
      </w:pPr>
      <w:r w:rsidRPr="004D5D59">
        <w:rPr>
          <w:b/>
        </w:rPr>
        <w:t xml:space="preserve">2.1. </w:t>
      </w:r>
      <w:r w:rsidR="00F0386D" w:rsidRPr="004D5D59">
        <w:rPr>
          <w:b/>
        </w:rPr>
        <w:t>I</w:t>
      </w:r>
      <w:r w:rsidR="003836C2">
        <w:rPr>
          <w:b/>
        </w:rPr>
        <w:t>ntroduk</w:t>
      </w:r>
      <w:r w:rsidR="00F87DD4" w:rsidRPr="004D5D59">
        <w:rPr>
          <w:b/>
        </w:rPr>
        <w:t>tion</w:t>
      </w:r>
    </w:p>
    <w:p w14:paraId="67B2F273" w14:textId="0AC73E6F" w:rsidR="009C0553" w:rsidRPr="000C3DFC" w:rsidRDefault="009C0553" w:rsidP="00F85FE3">
      <w:pPr>
        <w:spacing w:after="0"/>
        <w:rPr>
          <w:rFonts w:ascii="Georgia" w:hAnsi="Georgia"/>
          <w:sz w:val="22"/>
          <w:szCs w:val="22"/>
        </w:rPr>
      </w:pPr>
      <w:r w:rsidRPr="000C3DFC">
        <w:rPr>
          <w:rFonts w:ascii="Georgia" w:hAnsi="Georgia"/>
          <w:sz w:val="22"/>
          <w:szCs w:val="22"/>
        </w:rPr>
        <w:t xml:space="preserve">På den svenska västkusten kunde man redan under 1920-talet se tecken på överfiske på stora fiskar (Cardinale </w:t>
      </w:r>
      <w:r w:rsidR="000034E3" w:rsidRPr="000C3DFC">
        <w:rPr>
          <w:rFonts w:ascii="Georgia" w:hAnsi="Georgia"/>
          <w:sz w:val="22"/>
          <w:szCs w:val="22"/>
        </w:rPr>
        <w:t>m fl</w:t>
      </w:r>
      <w:r w:rsidRPr="000C3DFC">
        <w:rPr>
          <w:rFonts w:ascii="Georgia" w:hAnsi="Georgia"/>
          <w:sz w:val="22"/>
          <w:szCs w:val="22"/>
        </w:rPr>
        <w:t xml:space="preserve"> 2015). Fångsterna per ansträngning längs västkusten i de</w:t>
      </w:r>
      <w:r w:rsidR="00EC306B" w:rsidRPr="000C3DFC">
        <w:rPr>
          <w:rFonts w:ascii="Georgia" w:hAnsi="Georgia"/>
          <w:sz w:val="22"/>
          <w:szCs w:val="22"/>
        </w:rPr>
        <w:t xml:space="preserve">t så kallade </w:t>
      </w:r>
      <w:r w:rsidR="00EC306B" w:rsidRPr="007A1071">
        <w:rPr>
          <w:rFonts w:ascii="Georgia" w:hAnsi="Georgia"/>
          <w:sz w:val="22"/>
          <w:szCs w:val="22"/>
        </w:rPr>
        <w:t>kolje</w:t>
      </w:r>
      <w:r w:rsidRPr="007A1071">
        <w:rPr>
          <w:rFonts w:ascii="Georgia" w:hAnsi="Georgia"/>
          <w:sz w:val="22"/>
          <w:szCs w:val="22"/>
        </w:rPr>
        <w:t xml:space="preserve">backefisket på hälleflundra, långa, olika arter av rocka, kolja och vitling minskade dramatiskt under </w:t>
      </w:r>
      <w:r w:rsidR="00002BB5" w:rsidRPr="007A1071">
        <w:rPr>
          <w:rFonts w:ascii="Georgia" w:hAnsi="Georgia"/>
          <w:sz w:val="22"/>
          <w:szCs w:val="22"/>
        </w:rPr>
        <w:t xml:space="preserve">första hälften av </w:t>
      </w:r>
      <w:r w:rsidRPr="007A1071">
        <w:rPr>
          <w:rFonts w:ascii="Georgia" w:hAnsi="Georgia"/>
          <w:sz w:val="22"/>
          <w:szCs w:val="22"/>
        </w:rPr>
        <w:t>1900-talet. Under senare delen av 1900-talet och början av 2000-talet noterades ytterligare minskningar av</w:t>
      </w:r>
      <w:r w:rsidR="00FC757E" w:rsidRPr="007A1071">
        <w:rPr>
          <w:rFonts w:ascii="Georgia" w:hAnsi="Georgia"/>
          <w:sz w:val="22"/>
          <w:szCs w:val="22"/>
        </w:rPr>
        <w:t xml:space="preserve"> fångster och minskning</w:t>
      </w:r>
      <w:r w:rsidR="001247BD" w:rsidRPr="007A1071">
        <w:rPr>
          <w:rFonts w:ascii="Georgia" w:hAnsi="Georgia"/>
          <w:sz w:val="22"/>
          <w:szCs w:val="22"/>
        </w:rPr>
        <w:t>ar</w:t>
      </w:r>
      <w:r w:rsidR="00FC757E" w:rsidRPr="007A1071">
        <w:rPr>
          <w:rFonts w:ascii="Georgia" w:hAnsi="Georgia"/>
          <w:sz w:val="22"/>
          <w:szCs w:val="22"/>
        </w:rPr>
        <w:t xml:space="preserve"> i individstorlek </w:t>
      </w:r>
      <w:r w:rsidR="006F4BEC" w:rsidRPr="007A1071">
        <w:rPr>
          <w:rFonts w:ascii="Georgia" w:hAnsi="Georgia"/>
          <w:sz w:val="22"/>
          <w:szCs w:val="22"/>
        </w:rPr>
        <w:t>för</w:t>
      </w:r>
      <w:r w:rsidRPr="007A1071">
        <w:rPr>
          <w:rFonts w:ascii="Georgia" w:hAnsi="Georgia"/>
          <w:sz w:val="22"/>
          <w:szCs w:val="22"/>
        </w:rPr>
        <w:t xml:space="preserve"> </w:t>
      </w:r>
      <w:r w:rsidR="00FC757E" w:rsidRPr="007A1071">
        <w:rPr>
          <w:rFonts w:ascii="Georgia" w:hAnsi="Georgia"/>
          <w:sz w:val="22"/>
          <w:szCs w:val="22"/>
        </w:rPr>
        <w:t xml:space="preserve">kolja, </w:t>
      </w:r>
      <w:r w:rsidRPr="007A1071">
        <w:rPr>
          <w:rFonts w:ascii="Georgia" w:hAnsi="Georgia"/>
          <w:sz w:val="22"/>
          <w:szCs w:val="22"/>
        </w:rPr>
        <w:t>bleka</w:t>
      </w:r>
      <w:r w:rsidR="008215F5" w:rsidRPr="007A1071">
        <w:rPr>
          <w:rFonts w:ascii="Georgia" w:hAnsi="Georgia"/>
          <w:sz w:val="22"/>
          <w:szCs w:val="22"/>
        </w:rPr>
        <w:t xml:space="preserve">, rödspätta och </w:t>
      </w:r>
      <w:r w:rsidR="00FC757E" w:rsidRPr="007A1071">
        <w:rPr>
          <w:rFonts w:ascii="Georgia" w:hAnsi="Georgia"/>
          <w:sz w:val="22"/>
          <w:szCs w:val="22"/>
        </w:rPr>
        <w:t>piggvar</w:t>
      </w:r>
      <w:r w:rsidRPr="007A1071">
        <w:rPr>
          <w:rFonts w:ascii="Georgia" w:hAnsi="Georgia"/>
          <w:sz w:val="22"/>
          <w:szCs w:val="22"/>
        </w:rPr>
        <w:t xml:space="preserve"> kopplat till ett ökat fiske (</w:t>
      </w:r>
      <w:r w:rsidR="00FC757E" w:rsidRPr="007A1071">
        <w:rPr>
          <w:rFonts w:ascii="Georgia" w:hAnsi="Georgia"/>
          <w:sz w:val="22"/>
          <w:szCs w:val="22"/>
        </w:rPr>
        <w:t xml:space="preserve">Cardinale m fl 2009; </w:t>
      </w:r>
      <w:r w:rsidR="004D08B4" w:rsidRPr="007A1071">
        <w:rPr>
          <w:rFonts w:ascii="Georgia" w:hAnsi="Georgia"/>
          <w:sz w:val="22"/>
          <w:szCs w:val="22"/>
        </w:rPr>
        <w:t xml:space="preserve">Cardinale m fl 2010; </w:t>
      </w:r>
      <w:r w:rsidR="008215F5" w:rsidRPr="007A1071">
        <w:rPr>
          <w:rFonts w:ascii="Georgia" w:hAnsi="Georgia"/>
          <w:sz w:val="22"/>
          <w:szCs w:val="22"/>
        </w:rPr>
        <w:t>Cardinale m fl 2012</w:t>
      </w:r>
      <w:r w:rsidRPr="007A1071">
        <w:rPr>
          <w:rFonts w:ascii="Georgia" w:hAnsi="Georgia"/>
          <w:sz w:val="22"/>
          <w:szCs w:val="22"/>
        </w:rPr>
        <w:t xml:space="preserve">). </w:t>
      </w:r>
      <w:r w:rsidR="008215F5" w:rsidRPr="007A1071">
        <w:rPr>
          <w:rFonts w:ascii="Georgia" w:hAnsi="Georgia"/>
          <w:sz w:val="22"/>
          <w:szCs w:val="22"/>
        </w:rPr>
        <w:t>K</w:t>
      </w:r>
      <w:r w:rsidR="00F85FE3" w:rsidRPr="007A1071">
        <w:rPr>
          <w:rFonts w:ascii="Georgia" w:hAnsi="Georgia"/>
          <w:sz w:val="22"/>
          <w:szCs w:val="22"/>
        </w:rPr>
        <w:t>orrelationen</w:t>
      </w:r>
      <w:r w:rsidRPr="007A1071">
        <w:rPr>
          <w:rFonts w:ascii="Georgia" w:hAnsi="Georgia"/>
          <w:sz w:val="22"/>
          <w:szCs w:val="22"/>
        </w:rPr>
        <w:t xml:space="preserve"> mellan fiske och storleksstruktur i fisksamhället på den svenska västkusten kan därmed anses vara väl belagt.</w:t>
      </w:r>
    </w:p>
    <w:p w14:paraId="570C193E" w14:textId="77777777" w:rsidR="003B7C17" w:rsidRPr="006854FF" w:rsidRDefault="003B7C17" w:rsidP="00F85FE3">
      <w:pPr>
        <w:spacing w:after="0"/>
        <w:rPr>
          <w:sz w:val="22"/>
          <w:szCs w:val="22"/>
        </w:rPr>
      </w:pPr>
    </w:p>
    <w:p w14:paraId="28EB5C89" w14:textId="49D69B4E" w:rsidR="00EB77EE" w:rsidRPr="000C3DFC" w:rsidRDefault="003B7C17" w:rsidP="00EB77EE">
      <w:pPr>
        <w:spacing w:after="0"/>
        <w:rPr>
          <w:rFonts w:ascii="Georgia" w:hAnsi="Georgia"/>
          <w:sz w:val="22"/>
          <w:szCs w:val="22"/>
        </w:rPr>
      </w:pPr>
      <w:r w:rsidRPr="000C3DFC">
        <w:rPr>
          <w:rFonts w:ascii="Georgia" w:hAnsi="Georgia"/>
          <w:sz w:val="22"/>
          <w:szCs w:val="22"/>
        </w:rPr>
        <w:t xml:space="preserve">Indikatorn LFI mäter andelen stor fisk i fångsten och reflekterar därmed storleksstrukturen i fisksamhället. Traditionell fiskeriförvaltning syftar till att reglera fiskeridödligheten (F) för ett antal </w:t>
      </w:r>
      <w:r w:rsidR="00B17202" w:rsidRPr="000C3DFC">
        <w:rPr>
          <w:rFonts w:ascii="Georgia" w:hAnsi="Georgia"/>
          <w:sz w:val="22"/>
          <w:szCs w:val="22"/>
        </w:rPr>
        <w:t xml:space="preserve">kommersiellt nyttjade </w:t>
      </w:r>
      <w:r w:rsidRPr="000C3DFC">
        <w:rPr>
          <w:rFonts w:ascii="Georgia" w:hAnsi="Georgia"/>
          <w:sz w:val="22"/>
          <w:szCs w:val="22"/>
        </w:rPr>
        <w:t xml:space="preserve">arter så att mängden kvarvarande vuxen fisk (lekbiomassa) möjliggör rekrytering och fiske kommande år. </w:t>
      </w:r>
      <w:r w:rsidRPr="007A1071">
        <w:rPr>
          <w:rFonts w:ascii="Georgia" w:hAnsi="Georgia"/>
          <w:sz w:val="22"/>
          <w:szCs w:val="22"/>
        </w:rPr>
        <w:t xml:space="preserve">LFI har konstruerats </w:t>
      </w:r>
      <w:r w:rsidR="00D6037E" w:rsidRPr="007A1071">
        <w:rPr>
          <w:rFonts w:ascii="Georgia" w:hAnsi="Georgia"/>
          <w:sz w:val="22"/>
          <w:szCs w:val="22"/>
        </w:rPr>
        <w:t xml:space="preserve">specifikt </w:t>
      </w:r>
      <w:r w:rsidRPr="007A1071">
        <w:rPr>
          <w:rFonts w:ascii="Georgia" w:hAnsi="Georgia"/>
          <w:sz w:val="22"/>
          <w:szCs w:val="22"/>
        </w:rPr>
        <w:t xml:space="preserve">för att övervaka </w:t>
      </w:r>
      <w:r w:rsidR="00A12910" w:rsidRPr="007A1071">
        <w:rPr>
          <w:rFonts w:ascii="Georgia" w:hAnsi="Georgia"/>
          <w:sz w:val="22"/>
          <w:szCs w:val="22"/>
        </w:rPr>
        <w:t xml:space="preserve">fiskets påverkan på </w:t>
      </w:r>
      <w:r w:rsidRPr="007A1071">
        <w:rPr>
          <w:rFonts w:ascii="Georgia" w:hAnsi="Georgia"/>
          <w:sz w:val="22"/>
          <w:szCs w:val="22"/>
        </w:rPr>
        <w:t xml:space="preserve">fördelning mellan </w:t>
      </w:r>
      <w:r w:rsidR="00A12910" w:rsidRPr="007A1071">
        <w:rPr>
          <w:rFonts w:ascii="Georgia" w:hAnsi="Georgia"/>
          <w:sz w:val="22"/>
          <w:szCs w:val="22"/>
        </w:rPr>
        <w:t>stor och liten fisk i hela fisksamhället (ICES 2007)</w:t>
      </w:r>
      <w:r w:rsidRPr="007A1071">
        <w:rPr>
          <w:rFonts w:ascii="Georgia" w:hAnsi="Georgia"/>
          <w:sz w:val="22"/>
          <w:szCs w:val="22"/>
        </w:rPr>
        <w:t>. Indikatorn har en historik som en av OSPAR:s så kallade</w:t>
      </w:r>
      <w:r w:rsidRPr="000C3DFC">
        <w:rPr>
          <w:rFonts w:ascii="Georgia" w:hAnsi="Georgia"/>
          <w:sz w:val="22"/>
          <w:szCs w:val="22"/>
        </w:rPr>
        <w:t xml:space="preserve"> EcoQOs (Ecological Quality Objectives; OSPAR 2008)</w:t>
      </w:r>
      <w:r w:rsidR="006854FF" w:rsidRPr="000C3DFC">
        <w:rPr>
          <w:rFonts w:ascii="Georgia" w:hAnsi="Georgia"/>
          <w:sz w:val="22"/>
          <w:szCs w:val="22"/>
        </w:rPr>
        <w:t>.</w:t>
      </w:r>
    </w:p>
    <w:p w14:paraId="14F83268" w14:textId="77777777" w:rsidR="006854FF" w:rsidRPr="006854FF" w:rsidRDefault="006854FF" w:rsidP="00EB77EE">
      <w:pPr>
        <w:spacing w:after="0"/>
        <w:rPr>
          <w:sz w:val="22"/>
          <w:szCs w:val="22"/>
        </w:rPr>
      </w:pPr>
    </w:p>
    <w:p w14:paraId="6849CF08" w14:textId="71B3DFEE" w:rsidR="003B7C17" w:rsidRPr="000C3DFC" w:rsidRDefault="003B7C17" w:rsidP="006854FF">
      <w:pPr>
        <w:contextualSpacing/>
        <w:rPr>
          <w:rFonts w:ascii="Georgia" w:hAnsi="Georgia"/>
          <w:sz w:val="22"/>
          <w:szCs w:val="22"/>
        </w:rPr>
      </w:pPr>
      <w:r w:rsidRPr="000C3DFC">
        <w:rPr>
          <w:rFonts w:ascii="Georgia" w:hAnsi="Georgia"/>
          <w:sz w:val="22"/>
          <w:szCs w:val="22"/>
        </w:rPr>
        <w:t>Traditionellt fiske domineras av trålning både i Nordsjön och i Östersjön. Detta fiske är generellt sett</w:t>
      </w:r>
      <w:r w:rsidR="004D76B4">
        <w:rPr>
          <w:rFonts w:ascii="Georgia" w:hAnsi="Georgia"/>
          <w:sz w:val="22"/>
          <w:szCs w:val="22"/>
        </w:rPr>
        <w:t xml:space="preserve"> som</w:t>
      </w:r>
      <w:r w:rsidRPr="000C3DFC">
        <w:rPr>
          <w:rFonts w:ascii="Georgia" w:hAnsi="Georgia"/>
          <w:sz w:val="22"/>
          <w:szCs w:val="22"/>
        </w:rPr>
        <w:t xml:space="preserve"> </w:t>
      </w:r>
      <w:r w:rsidR="00F36A8C" w:rsidRPr="000C3DFC">
        <w:rPr>
          <w:rFonts w:ascii="Georgia" w:hAnsi="Georgia"/>
          <w:sz w:val="22"/>
          <w:szCs w:val="22"/>
        </w:rPr>
        <w:t xml:space="preserve">inte </w:t>
      </w:r>
      <w:r w:rsidR="004D76B4">
        <w:rPr>
          <w:rFonts w:ascii="Georgia" w:hAnsi="Georgia"/>
          <w:sz w:val="22"/>
          <w:szCs w:val="22"/>
        </w:rPr>
        <w:t>selektiv</w:t>
      </w:r>
      <w:r w:rsidRPr="000C3DFC">
        <w:rPr>
          <w:rFonts w:ascii="Georgia" w:hAnsi="Georgia"/>
          <w:sz w:val="22"/>
          <w:szCs w:val="22"/>
        </w:rPr>
        <w:t xml:space="preserve"> och fångar ett stort antal fiskarter</w:t>
      </w:r>
      <w:r w:rsidR="00F36A8C" w:rsidRPr="000C3DFC">
        <w:rPr>
          <w:rFonts w:ascii="Georgia" w:hAnsi="Georgia"/>
          <w:sz w:val="22"/>
          <w:szCs w:val="22"/>
        </w:rPr>
        <w:t xml:space="preserve"> av olika storlekar</w:t>
      </w:r>
      <w:r w:rsidRPr="000C3DFC">
        <w:rPr>
          <w:rFonts w:ascii="Georgia" w:hAnsi="Georgia"/>
          <w:sz w:val="22"/>
          <w:szCs w:val="22"/>
        </w:rPr>
        <w:t>. Trålens maskstorlek gör dock att små individer fångas sämre och därför avlägsnas proportionerligt sett en större andel stora fiskindivider ur fisksamhället. Eftersom dödligheten ökar genom fiske blir det också färre individer som hinner nå en stor storlek och andelen stor fisk minskar. Vidare är stora individer av fiskarter med stor maxstorlek i hög utsträckning fiskätare (piscivorer). När andelen piscivorer minskar, ökar överlevnaden för små fiskindivider och indikatorns värde blir ytterligare lägre. Indikatorn har både teoretiskt och praktiskt visats spegla förändringar i fisksamhällets storleksstruktur i förhållande till trålfiske</w:t>
      </w:r>
      <w:r w:rsidRPr="0080281F">
        <w:rPr>
          <w:rFonts w:ascii="Georgia" w:hAnsi="Georgia"/>
          <w:sz w:val="22"/>
          <w:szCs w:val="22"/>
        </w:rPr>
        <w:t>.</w:t>
      </w:r>
      <w:r w:rsidR="00943417" w:rsidRPr="0080281F">
        <w:rPr>
          <w:rFonts w:ascii="Georgia" w:hAnsi="Georgia"/>
          <w:sz w:val="22"/>
          <w:szCs w:val="22"/>
        </w:rPr>
        <w:t xml:space="preserve"> Därtill har indikatorn, på grund av att den baseras på </w:t>
      </w:r>
      <w:r w:rsidR="00396167" w:rsidRPr="0080281F">
        <w:rPr>
          <w:rFonts w:ascii="Georgia" w:hAnsi="Georgia"/>
          <w:sz w:val="22"/>
          <w:szCs w:val="22"/>
        </w:rPr>
        <w:t>biomassa</w:t>
      </w:r>
      <w:r w:rsidR="00943417" w:rsidRPr="0080281F">
        <w:rPr>
          <w:rFonts w:ascii="Georgia" w:hAnsi="Georgia"/>
          <w:sz w:val="22"/>
          <w:szCs w:val="22"/>
        </w:rPr>
        <w:t xml:space="preserve"> </w:t>
      </w:r>
      <w:r w:rsidR="006B3A21" w:rsidRPr="0080281F">
        <w:rPr>
          <w:rFonts w:ascii="Georgia" w:hAnsi="Georgia"/>
          <w:sz w:val="22"/>
          <w:szCs w:val="22"/>
        </w:rPr>
        <w:t xml:space="preserve">av fisk </w:t>
      </w:r>
      <w:r w:rsidR="00943417" w:rsidRPr="0080281F">
        <w:rPr>
          <w:rFonts w:ascii="Georgia" w:hAnsi="Georgia"/>
          <w:sz w:val="22"/>
          <w:szCs w:val="22"/>
        </w:rPr>
        <w:t>och inte på antal</w:t>
      </w:r>
      <w:r w:rsidR="0080281F" w:rsidRPr="0080281F">
        <w:rPr>
          <w:rFonts w:ascii="Georgia" w:hAnsi="Georgia"/>
          <w:sz w:val="22"/>
          <w:szCs w:val="22"/>
        </w:rPr>
        <w:t xml:space="preserve"> individer</w:t>
      </w:r>
      <w:r w:rsidR="00943417" w:rsidRPr="0080281F">
        <w:rPr>
          <w:rFonts w:ascii="Georgia" w:hAnsi="Georgia"/>
          <w:sz w:val="22"/>
          <w:szCs w:val="22"/>
        </w:rPr>
        <w:t xml:space="preserve"> visat sig vara </w:t>
      </w:r>
      <w:r w:rsidR="00807D9C" w:rsidRPr="0080281F">
        <w:rPr>
          <w:rFonts w:ascii="Georgia" w:hAnsi="Georgia"/>
          <w:sz w:val="22"/>
          <w:szCs w:val="22"/>
        </w:rPr>
        <w:t xml:space="preserve">relativt </w:t>
      </w:r>
      <w:r w:rsidR="00943417" w:rsidRPr="0080281F">
        <w:rPr>
          <w:rFonts w:ascii="Georgia" w:hAnsi="Georgia"/>
          <w:sz w:val="22"/>
          <w:szCs w:val="22"/>
        </w:rPr>
        <w:t xml:space="preserve">robust mot </w:t>
      </w:r>
      <w:r w:rsidR="0080281F" w:rsidRPr="0080281F">
        <w:rPr>
          <w:rFonts w:ascii="Georgia" w:hAnsi="Georgia"/>
          <w:sz w:val="22"/>
          <w:szCs w:val="22"/>
        </w:rPr>
        <w:t>variationer i rekrytering</w:t>
      </w:r>
      <w:r w:rsidR="00943417" w:rsidRPr="0080281F">
        <w:rPr>
          <w:rFonts w:ascii="Georgia" w:hAnsi="Georgia"/>
          <w:sz w:val="22"/>
          <w:szCs w:val="22"/>
        </w:rPr>
        <w:t>.</w:t>
      </w:r>
    </w:p>
    <w:p w14:paraId="109C9F44" w14:textId="77777777" w:rsidR="006854FF" w:rsidRPr="006854FF" w:rsidRDefault="006854FF" w:rsidP="006854FF">
      <w:pPr>
        <w:contextualSpacing/>
      </w:pPr>
    </w:p>
    <w:p w14:paraId="57310448" w14:textId="6F971DDD" w:rsidR="00EE332F" w:rsidRPr="000C3DFC" w:rsidRDefault="00EE332F" w:rsidP="004D08B4">
      <w:pPr>
        <w:contextualSpacing/>
        <w:rPr>
          <w:rFonts w:ascii="Georgia" w:hAnsi="Georgia"/>
          <w:sz w:val="22"/>
          <w:szCs w:val="22"/>
        </w:rPr>
      </w:pPr>
      <w:r w:rsidRPr="000C3DFC">
        <w:rPr>
          <w:rFonts w:ascii="Georgia" w:hAnsi="Georgia"/>
          <w:sz w:val="22"/>
          <w:szCs w:val="22"/>
        </w:rPr>
        <w:t xml:space="preserve">Stora fiskarter är långlivade och reproducerar sig sent i livet, och är därmed extra känsliga för en ökad dödlighet från exempelvis fiske. Det finns dock fördelar med att vara en storvuxen fisk som bidrar till fiskpopulationers motståndskraft mot förändringar i miljön, ökar populationens stabilitet och produktivitet och därmed gör de stora individerna viktiga att bevara (Cardinale &amp; Arrhenius 2000; Hixon </w:t>
      </w:r>
      <w:r w:rsidR="000034E3" w:rsidRPr="000C3DFC">
        <w:rPr>
          <w:rFonts w:ascii="Georgia" w:hAnsi="Georgia"/>
          <w:sz w:val="22"/>
          <w:szCs w:val="22"/>
        </w:rPr>
        <w:t>m fl</w:t>
      </w:r>
      <w:r w:rsidRPr="000C3DFC">
        <w:rPr>
          <w:rFonts w:ascii="Georgia" w:hAnsi="Georgia"/>
          <w:sz w:val="22"/>
          <w:szCs w:val="22"/>
        </w:rPr>
        <w:t xml:space="preserve"> 2014). Stor fisk producerar mer ägg och ägg av bättre kvalité än små individer; stor fisk tenderar också att ha längre, mer utdragna lekperioder och kan leka på flera lokaler vilket ökar chansen att en del av äggen kläcks under gynnsamma miljöförhållanden (Berkeley </w:t>
      </w:r>
      <w:r w:rsidR="000034E3" w:rsidRPr="000C3DFC">
        <w:rPr>
          <w:rFonts w:ascii="Georgia" w:hAnsi="Georgia"/>
          <w:sz w:val="22"/>
          <w:szCs w:val="22"/>
        </w:rPr>
        <w:t>m fl</w:t>
      </w:r>
      <w:r w:rsidRPr="000C3DFC">
        <w:rPr>
          <w:rFonts w:ascii="Georgia" w:hAnsi="Georgia"/>
          <w:sz w:val="22"/>
          <w:szCs w:val="22"/>
        </w:rPr>
        <w:t xml:space="preserve"> 2004; Hixon </w:t>
      </w:r>
      <w:r w:rsidR="000034E3" w:rsidRPr="000C3DFC">
        <w:rPr>
          <w:rFonts w:ascii="Georgia" w:hAnsi="Georgia"/>
          <w:sz w:val="22"/>
          <w:szCs w:val="22"/>
        </w:rPr>
        <w:t>m fl</w:t>
      </w:r>
      <w:r w:rsidRPr="000C3DFC">
        <w:rPr>
          <w:rFonts w:ascii="Georgia" w:hAnsi="Georgia"/>
          <w:sz w:val="22"/>
          <w:szCs w:val="22"/>
        </w:rPr>
        <w:t xml:space="preserve"> 2014). Enligt havsmiljödirektivet ska dessa aspekter beaktas genom ett kriterium under deskriptor 3 – </w:t>
      </w:r>
      <w:r w:rsidR="00557D0B" w:rsidRPr="000C3DFC">
        <w:rPr>
          <w:rFonts w:ascii="Georgia" w:hAnsi="Georgia"/>
          <w:sz w:val="22"/>
          <w:szCs w:val="22"/>
        </w:rPr>
        <w:t>Kommersiellt nyttjade fiskar och skaldjur</w:t>
      </w:r>
      <w:r w:rsidRPr="000C3DFC">
        <w:rPr>
          <w:rFonts w:ascii="Georgia" w:hAnsi="Georgia"/>
          <w:sz w:val="22"/>
          <w:szCs w:val="22"/>
        </w:rPr>
        <w:t xml:space="preserve">. Kriteriet stipulerar att </w:t>
      </w:r>
      <w:r w:rsidR="00557D0B" w:rsidRPr="000C3DFC">
        <w:rPr>
          <w:rFonts w:ascii="Georgia" w:hAnsi="Georgia"/>
          <w:sz w:val="22"/>
          <w:szCs w:val="22"/>
        </w:rPr>
        <w:t>kommersiellt nyttjade fiskar och skaldjur</w:t>
      </w:r>
      <w:r w:rsidRPr="000C3DFC">
        <w:rPr>
          <w:rFonts w:ascii="Georgia" w:hAnsi="Georgia"/>
          <w:sz w:val="22"/>
          <w:szCs w:val="22"/>
        </w:rPr>
        <w:t xml:space="preserve"> ska ha en storleks- och åldersstruktur som </w:t>
      </w:r>
      <w:r w:rsidR="00557D0B" w:rsidRPr="000C3DFC">
        <w:rPr>
          <w:rFonts w:ascii="Georgia" w:hAnsi="Georgia"/>
          <w:sz w:val="22"/>
          <w:szCs w:val="22"/>
        </w:rPr>
        <w:t>garantera</w:t>
      </w:r>
      <w:r w:rsidR="00083A83" w:rsidRPr="000C3DFC">
        <w:rPr>
          <w:rFonts w:ascii="Georgia" w:hAnsi="Georgia"/>
          <w:sz w:val="22"/>
          <w:szCs w:val="22"/>
        </w:rPr>
        <w:t>r</w:t>
      </w:r>
      <w:r w:rsidR="00557D0B" w:rsidRPr="000C3DFC">
        <w:rPr>
          <w:rFonts w:ascii="Georgia" w:hAnsi="Georgia"/>
          <w:sz w:val="22"/>
          <w:szCs w:val="22"/>
        </w:rPr>
        <w:t xml:space="preserve"> deras långsiktiga produktivitet</w:t>
      </w:r>
      <w:r w:rsidRPr="000C3DFC">
        <w:rPr>
          <w:rFonts w:ascii="Georgia" w:hAnsi="Georgia"/>
          <w:sz w:val="22"/>
          <w:szCs w:val="22"/>
        </w:rPr>
        <w:t xml:space="preserve">. Indikatorer för detta kriterium är dock ännu inte operativa, </w:t>
      </w:r>
      <w:r w:rsidR="00EB77EE" w:rsidRPr="000C3DFC">
        <w:rPr>
          <w:rFonts w:ascii="Georgia" w:hAnsi="Georgia"/>
          <w:sz w:val="22"/>
          <w:szCs w:val="22"/>
        </w:rPr>
        <w:t xml:space="preserve">och </w:t>
      </w:r>
      <w:r w:rsidRPr="000C3DFC">
        <w:rPr>
          <w:rFonts w:ascii="Georgia" w:hAnsi="Georgia"/>
          <w:sz w:val="22"/>
          <w:szCs w:val="22"/>
        </w:rPr>
        <w:t xml:space="preserve">LFI kan </w:t>
      </w:r>
      <w:r w:rsidR="00EB77EE" w:rsidRPr="000C3DFC">
        <w:rPr>
          <w:rFonts w:ascii="Georgia" w:hAnsi="Georgia"/>
          <w:sz w:val="22"/>
          <w:szCs w:val="22"/>
        </w:rPr>
        <w:t xml:space="preserve">under tiden sådana indikatorer utvecklas i viss mån övervaka om den generella utvecklingen </w:t>
      </w:r>
      <w:r w:rsidR="00557D0B" w:rsidRPr="000C3DFC">
        <w:rPr>
          <w:rFonts w:ascii="Georgia" w:hAnsi="Georgia"/>
          <w:sz w:val="22"/>
          <w:szCs w:val="22"/>
        </w:rPr>
        <w:t xml:space="preserve">i fisksamhällena </w:t>
      </w:r>
      <w:r w:rsidR="004D08B4" w:rsidRPr="000C3DFC">
        <w:rPr>
          <w:rFonts w:ascii="Georgia" w:hAnsi="Georgia"/>
          <w:sz w:val="22"/>
          <w:szCs w:val="22"/>
        </w:rPr>
        <w:t>går åt rätt håll.</w:t>
      </w:r>
    </w:p>
    <w:p w14:paraId="39AD609C" w14:textId="77777777" w:rsidR="004D08B4" w:rsidRPr="004D08B4" w:rsidRDefault="004D08B4" w:rsidP="004D08B4">
      <w:pPr>
        <w:contextualSpacing/>
        <w:rPr>
          <w:sz w:val="22"/>
          <w:szCs w:val="22"/>
        </w:rPr>
      </w:pPr>
    </w:p>
    <w:p w14:paraId="77220E8F" w14:textId="7AB6DB9B" w:rsidR="004D08B4" w:rsidRPr="000C3DFC" w:rsidRDefault="00CB688E" w:rsidP="004D08B4">
      <w:pPr>
        <w:contextualSpacing/>
        <w:rPr>
          <w:rFonts w:ascii="Georgia" w:hAnsi="Georgia"/>
          <w:sz w:val="22"/>
          <w:szCs w:val="22"/>
        </w:rPr>
      </w:pPr>
      <w:r>
        <w:rPr>
          <w:rFonts w:ascii="Georgia" w:hAnsi="Georgia"/>
          <w:sz w:val="22"/>
          <w:szCs w:val="22"/>
        </w:rPr>
        <w:t>Ur</w:t>
      </w:r>
      <w:r w:rsidR="00B03FF0" w:rsidRPr="00793107">
        <w:rPr>
          <w:rFonts w:ascii="Georgia" w:hAnsi="Georgia"/>
          <w:sz w:val="22"/>
          <w:szCs w:val="22"/>
        </w:rPr>
        <w:t xml:space="preserve"> ett ekosystemperspektiv så </w:t>
      </w:r>
      <w:r>
        <w:rPr>
          <w:rFonts w:ascii="Georgia" w:hAnsi="Georgia"/>
          <w:sz w:val="22"/>
          <w:szCs w:val="22"/>
        </w:rPr>
        <w:t>kan</w:t>
      </w:r>
      <w:r w:rsidR="00B03FF0" w:rsidRPr="00793107">
        <w:rPr>
          <w:rFonts w:ascii="Georgia" w:hAnsi="Georgia"/>
          <w:sz w:val="22"/>
          <w:szCs w:val="22"/>
        </w:rPr>
        <w:t xml:space="preserve"> stor fisk</w:t>
      </w:r>
      <w:r>
        <w:rPr>
          <w:rFonts w:ascii="Georgia" w:hAnsi="Georgia"/>
          <w:sz w:val="22"/>
          <w:szCs w:val="22"/>
        </w:rPr>
        <w:t xml:space="preserve"> ha</w:t>
      </w:r>
      <w:r w:rsidR="004D08B4" w:rsidRPr="00793107">
        <w:rPr>
          <w:rFonts w:ascii="Georgia" w:hAnsi="Georgia"/>
          <w:sz w:val="22"/>
          <w:szCs w:val="22"/>
        </w:rPr>
        <w:t xml:space="preserve"> en kontrollerande</w:t>
      </w:r>
      <w:r w:rsidR="00396AB5">
        <w:rPr>
          <w:rFonts w:ascii="Georgia" w:hAnsi="Georgia"/>
          <w:sz w:val="22"/>
          <w:szCs w:val="22"/>
        </w:rPr>
        <w:t xml:space="preserve"> effekt på underliggande </w:t>
      </w:r>
      <w:r w:rsidR="004D08B4" w:rsidRPr="00793107">
        <w:rPr>
          <w:rFonts w:ascii="Georgia" w:hAnsi="Georgia"/>
          <w:sz w:val="22"/>
          <w:szCs w:val="22"/>
        </w:rPr>
        <w:t>nivåer</w:t>
      </w:r>
      <w:r w:rsidR="00396AB5">
        <w:rPr>
          <w:rFonts w:ascii="Georgia" w:hAnsi="Georgia"/>
          <w:sz w:val="22"/>
          <w:szCs w:val="22"/>
        </w:rPr>
        <w:t xml:space="preserve"> i näringsväven</w:t>
      </w:r>
      <w:r w:rsidR="00AB333D">
        <w:rPr>
          <w:rFonts w:ascii="Georgia" w:hAnsi="Georgia"/>
          <w:sz w:val="22"/>
          <w:szCs w:val="22"/>
        </w:rPr>
        <w:t xml:space="preserve"> och LFI kan därmed</w:t>
      </w:r>
      <w:r>
        <w:rPr>
          <w:rFonts w:ascii="Georgia" w:hAnsi="Georgia"/>
          <w:sz w:val="22"/>
          <w:szCs w:val="22"/>
        </w:rPr>
        <w:t xml:space="preserve"> även</w:t>
      </w:r>
      <w:r w:rsidR="00AB333D">
        <w:rPr>
          <w:rFonts w:ascii="Georgia" w:hAnsi="Georgia"/>
          <w:sz w:val="22"/>
          <w:szCs w:val="22"/>
        </w:rPr>
        <w:t xml:space="preserve"> anses reflektera </w:t>
      </w:r>
      <w:r>
        <w:rPr>
          <w:rFonts w:ascii="Georgia" w:hAnsi="Georgia"/>
          <w:sz w:val="22"/>
          <w:szCs w:val="22"/>
        </w:rPr>
        <w:t>delar av deskriptor 4 - näringsvävar</w:t>
      </w:r>
      <w:r w:rsidR="004D08B4" w:rsidRPr="00793107">
        <w:rPr>
          <w:rFonts w:ascii="Georgia" w:hAnsi="Georgia"/>
          <w:sz w:val="22"/>
          <w:szCs w:val="22"/>
        </w:rPr>
        <w:t xml:space="preserve">. </w:t>
      </w:r>
      <w:r w:rsidR="00715342" w:rsidRPr="00793107">
        <w:rPr>
          <w:rFonts w:ascii="Georgia" w:hAnsi="Georgia"/>
          <w:sz w:val="22"/>
          <w:szCs w:val="22"/>
        </w:rPr>
        <w:t>När andelen stora fiskar minskar så kan deras bytesdjur – de mindre fiskarna öka, vilket</w:t>
      </w:r>
      <w:r w:rsidR="00AC5AED" w:rsidRPr="00793107">
        <w:rPr>
          <w:rFonts w:ascii="Georgia" w:hAnsi="Georgia"/>
          <w:sz w:val="22"/>
          <w:szCs w:val="22"/>
        </w:rPr>
        <w:t xml:space="preserve"> i sin tur</w:t>
      </w:r>
      <w:r w:rsidR="00715342" w:rsidRPr="00793107">
        <w:rPr>
          <w:rFonts w:ascii="Georgia" w:hAnsi="Georgia"/>
          <w:sz w:val="22"/>
          <w:szCs w:val="22"/>
        </w:rPr>
        <w:t xml:space="preserve"> kan göra ekosy</w:t>
      </w:r>
      <w:r w:rsidR="00AC5AED" w:rsidRPr="00793107">
        <w:rPr>
          <w:rFonts w:ascii="Georgia" w:hAnsi="Georgia"/>
          <w:sz w:val="22"/>
          <w:szCs w:val="22"/>
        </w:rPr>
        <w:t>stemet</w:t>
      </w:r>
      <w:r w:rsidR="00715342" w:rsidRPr="00793107">
        <w:rPr>
          <w:rFonts w:ascii="Georgia" w:hAnsi="Georgia"/>
          <w:sz w:val="22"/>
          <w:szCs w:val="22"/>
        </w:rPr>
        <w:t xml:space="preserve"> känsliga</w:t>
      </w:r>
      <w:r w:rsidR="00AC5AED" w:rsidRPr="00793107">
        <w:rPr>
          <w:rFonts w:ascii="Georgia" w:hAnsi="Georgia"/>
          <w:sz w:val="22"/>
          <w:szCs w:val="22"/>
        </w:rPr>
        <w:t>re</w:t>
      </w:r>
      <w:r w:rsidR="00715342" w:rsidRPr="00793107">
        <w:rPr>
          <w:rFonts w:ascii="Georgia" w:hAnsi="Georgia"/>
          <w:sz w:val="22"/>
          <w:szCs w:val="22"/>
        </w:rPr>
        <w:t xml:space="preserve"> för andra </w:t>
      </w:r>
      <w:r w:rsidR="00AC5AED" w:rsidRPr="00793107">
        <w:rPr>
          <w:rFonts w:ascii="Georgia" w:hAnsi="Georgia"/>
          <w:sz w:val="22"/>
          <w:szCs w:val="22"/>
        </w:rPr>
        <w:t xml:space="preserve">typer </w:t>
      </w:r>
      <w:r w:rsidR="00715342" w:rsidRPr="00793107">
        <w:rPr>
          <w:rFonts w:ascii="Georgia" w:hAnsi="Georgia"/>
          <w:sz w:val="22"/>
          <w:szCs w:val="22"/>
        </w:rPr>
        <w:t xml:space="preserve">störningar. </w:t>
      </w:r>
      <w:r w:rsidR="00D37AB0" w:rsidRPr="00793107">
        <w:rPr>
          <w:rFonts w:ascii="Georgia" w:hAnsi="Georgia"/>
          <w:sz w:val="22"/>
          <w:szCs w:val="22"/>
        </w:rPr>
        <w:t>Stor fisk</w:t>
      </w:r>
      <w:r w:rsidR="004D08B4" w:rsidRPr="00793107">
        <w:rPr>
          <w:rFonts w:ascii="Georgia" w:hAnsi="Georgia"/>
          <w:sz w:val="22"/>
          <w:szCs w:val="22"/>
        </w:rPr>
        <w:t xml:space="preserve"> kan </w:t>
      </w:r>
      <w:r w:rsidR="004D08B4" w:rsidRPr="00793107">
        <w:rPr>
          <w:rFonts w:ascii="Georgia" w:hAnsi="Georgia"/>
          <w:sz w:val="22"/>
          <w:szCs w:val="22"/>
        </w:rPr>
        <w:lastRenderedPageBreak/>
        <w:t xml:space="preserve">genom att äta mindre fiskar </w:t>
      </w:r>
      <w:r w:rsidR="00F71A1F" w:rsidRPr="00793107">
        <w:rPr>
          <w:rFonts w:ascii="Georgia" w:hAnsi="Georgia"/>
          <w:sz w:val="22"/>
          <w:szCs w:val="22"/>
        </w:rPr>
        <w:t xml:space="preserve">vilket därmed minska predationstrycket av små fiskar på betare av alger </w:t>
      </w:r>
      <w:r w:rsidR="004D08B4" w:rsidRPr="00793107">
        <w:rPr>
          <w:rFonts w:ascii="Georgia" w:hAnsi="Georgia"/>
          <w:sz w:val="22"/>
          <w:szCs w:val="22"/>
        </w:rPr>
        <w:t xml:space="preserve">fungera som en buffert för </w:t>
      </w:r>
      <w:r w:rsidR="00AC5AED" w:rsidRPr="00793107">
        <w:rPr>
          <w:rFonts w:ascii="Georgia" w:hAnsi="Georgia"/>
          <w:sz w:val="22"/>
          <w:szCs w:val="22"/>
        </w:rPr>
        <w:t>övergödnings</w:t>
      </w:r>
      <w:r w:rsidR="004D08B4" w:rsidRPr="00793107">
        <w:rPr>
          <w:rFonts w:ascii="Georgia" w:hAnsi="Georgia"/>
          <w:sz w:val="22"/>
          <w:szCs w:val="22"/>
        </w:rPr>
        <w:t xml:space="preserve">effekter på </w:t>
      </w:r>
      <w:r w:rsidR="00715342" w:rsidRPr="00793107">
        <w:rPr>
          <w:rFonts w:ascii="Georgia" w:hAnsi="Georgia"/>
          <w:sz w:val="22"/>
          <w:szCs w:val="22"/>
        </w:rPr>
        <w:t xml:space="preserve">marina </w:t>
      </w:r>
      <w:r w:rsidR="004D08B4" w:rsidRPr="00793107">
        <w:rPr>
          <w:rFonts w:ascii="Georgia" w:hAnsi="Georgia"/>
          <w:sz w:val="22"/>
          <w:szCs w:val="22"/>
        </w:rPr>
        <w:t>ekosystem (Östman m fl 2016).</w:t>
      </w:r>
      <w:r w:rsidR="00893BC8" w:rsidRPr="00793107">
        <w:rPr>
          <w:rFonts w:ascii="Georgia" w:hAnsi="Georgia"/>
          <w:sz w:val="22"/>
          <w:szCs w:val="22"/>
        </w:rPr>
        <w:t xml:space="preserve"> En minskning av bestånden av</w:t>
      </w:r>
      <w:r w:rsidR="004D08B4" w:rsidRPr="00793107">
        <w:rPr>
          <w:rFonts w:ascii="Georgia" w:hAnsi="Georgia"/>
          <w:sz w:val="22"/>
          <w:szCs w:val="22"/>
        </w:rPr>
        <w:t xml:space="preserve"> stor fisk högt upp i näringskedjan kan också ge </w:t>
      </w:r>
      <w:r w:rsidR="00F62CEC" w:rsidRPr="00793107">
        <w:rPr>
          <w:rFonts w:ascii="Georgia" w:hAnsi="Georgia"/>
          <w:sz w:val="22"/>
          <w:szCs w:val="22"/>
        </w:rPr>
        <w:t>o</w:t>
      </w:r>
      <w:r w:rsidR="004D08B4" w:rsidRPr="00793107">
        <w:rPr>
          <w:rFonts w:ascii="Georgia" w:hAnsi="Georgia"/>
          <w:sz w:val="22"/>
          <w:szCs w:val="22"/>
        </w:rPr>
        <w:t>förutsägbara kaskadeffekter på andra delar av det marina ekosystemet</w:t>
      </w:r>
      <w:r w:rsidR="00CF57F2" w:rsidRPr="00793107">
        <w:rPr>
          <w:rFonts w:ascii="Georgia" w:hAnsi="Georgia"/>
          <w:sz w:val="22"/>
          <w:szCs w:val="22"/>
        </w:rPr>
        <w:t xml:space="preserve"> (Daskalov m fl 2007)</w:t>
      </w:r>
      <w:r w:rsidR="00935423" w:rsidRPr="00793107">
        <w:rPr>
          <w:rFonts w:ascii="Georgia" w:hAnsi="Georgia"/>
          <w:sz w:val="22"/>
          <w:szCs w:val="22"/>
        </w:rPr>
        <w:t xml:space="preserve">. </w:t>
      </w:r>
      <w:r w:rsidR="0081709F" w:rsidRPr="00793107">
        <w:rPr>
          <w:rFonts w:ascii="Georgia" w:hAnsi="Georgia"/>
          <w:sz w:val="22"/>
          <w:szCs w:val="22"/>
        </w:rPr>
        <w:t xml:space="preserve"> </w:t>
      </w:r>
      <w:r w:rsidR="005A057A" w:rsidRPr="00793107">
        <w:rPr>
          <w:rFonts w:ascii="Georgia" w:hAnsi="Georgia"/>
          <w:sz w:val="22"/>
          <w:szCs w:val="22"/>
        </w:rPr>
        <w:t>På grund av att det kan ta lång tid att återuppbygga</w:t>
      </w:r>
      <w:r w:rsidR="00A1077B" w:rsidRPr="00793107">
        <w:rPr>
          <w:rFonts w:ascii="Georgia" w:hAnsi="Georgia"/>
          <w:sz w:val="22"/>
          <w:szCs w:val="22"/>
        </w:rPr>
        <w:t xml:space="preserve"> </w:t>
      </w:r>
      <w:r w:rsidR="005A057A" w:rsidRPr="00793107">
        <w:rPr>
          <w:rFonts w:ascii="Georgia" w:hAnsi="Georgia"/>
          <w:sz w:val="22"/>
          <w:szCs w:val="22"/>
        </w:rPr>
        <w:t>bestånd av stor fisk riskerar d</w:t>
      </w:r>
      <w:r w:rsidR="000133D9" w:rsidRPr="00793107">
        <w:rPr>
          <w:rFonts w:ascii="Georgia" w:hAnsi="Georgia"/>
          <w:sz w:val="22"/>
          <w:szCs w:val="22"/>
        </w:rPr>
        <w:t>essa förändringar av ekosystemet att bli långvariga</w:t>
      </w:r>
      <w:r w:rsidR="004D08B4" w:rsidRPr="00793107">
        <w:rPr>
          <w:rFonts w:ascii="Georgia" w:hAnsi="Georgia"/>
          <w:sz w:val="22"/>
          <w:szCs w:val="22"/>
        </w:rPr>
        <w:t xml:space="preserve">. </w:t>
      </w:r>
      <w:r w:rsidR="00E03EB4" w:rsidRPr="00793107">
        <w:rPr>
          <w:rFonts w:ascii="Georgia" w:hAnsi="Georgia"/>
          <w:sz w:val="22"/>
          <w:szCs w:val="22"/>
        </w:rPr>
        <w:t>Till exempel</w:t>
      </w:r>
      <w:r w:rsidR="00ED5433" w:rsidRPr="00793107">
        <w:rPr>
          <w:rFonts w:ascii="Georgia" w:hAnsi="Georgia"/>
          <w:sz w:val="22"/>
          <w:szCs w:val="22"/>
        </w:rPr>
        <w:t>,</w:t>
      </w:r>
      <w:r w:rsidR="00E03EB4" w:rsidRPr="00793107">
        <w:rPr>
          <w:rFonts w:ascii="Georgia" w:hAnsi="Georgia"/>
          <w:sz w:val="22"/>
          <w:szCs w:val="22"/>
        </w:rPr>
        <w:t xml:space="preserve"> </w:t>
      </w:r>
      <w:r w:rsidR="001E6F9C" w:rsidRPr="00793107">
        <w:rPr>
          <w:rFonts w:ascii="Georgia" w:hAnsi="Georgia"/>
          <w:sz w:val="22"/>
          <w:szCs w:val="22"/>
        </w:rPr>
        <w:t xml:space="preserve">från </w:t>
      </w:r>
      <w:r w:rsidR="0085292F" w:rsidRPr="00793107">
        <w:rPr>
          <w:rFonts w:ascii="Georgia" w:hAnsi="Georgia"/>
          <w:sz w:val="22"/>
          <w:szCs w:val="22"/>
        </w:rPr>
        <w:t>mitten</w:t>
      </w:r>
      <w:r w:rsidR="001E6F9C" w:rsidRPr="00793107">
        <w:rPr>
          <w:rFonts w:ascii="Georgia" w:hAnsi="Georgia"/>
          <w:sz w:val="22"/>
          <w:szCs w:val="22"/>
        </w:rPr>
        <w:t xml:space="preserve"> av 1980-talet till </w:t>
      </w:r>
      <w:r w:rsidR="00C64BE7" w:rsidRPr="00793107">
        <w:rPr>
          <w:rFonts w:ascii="Georgia" w:hAnsi="Georgia"/>
          <w:sz w:val="22"/>
          <w:szCs w:val="22"/>
        </w:rPr>
        <w:t>början</w:t>
      </w:r>
      <w:r w:rsidR="00ED5433" w:rsidRPr="00793107">
        <w:rPr>
          <w:rFonts w:ascii="Georgia" w:hAnsi="Georgia"/>
          <w:sz w:val="22"/>
          <w:szCs w:val="22"/>
        </w:rPr>
        <w:t xml:space="preserve"> av </w:t>
      </w:r>
      <w:r w:rsidR="00C64BE7" w:rsidRPr="00793107">
        <w:rPr>
          <w:rFonts w:ascii="Georgia" w:hAnsi="Georgia"/>
          <w:sz w:val="22"/>
          <w:szCs w:val="22"/>
        </w:rPr>
        <w:t>199</w:t>
      </w:r>
      <w:r w:rsidR="00ED5433" w:rsidRPr="00793107">
        <w:rPr>
          <w:rFonts w:ascii="Georgia" w:hAnsi="Georgia"/>
          <w:sz w:val="22"/>
          <w:szCs w:val="22"/>
        </w:rPr>
        <w:t xml:space="preserve">0-talet kollapsade det som tidigare var ett av världens största torskbestånd utanför Nova Scotia </w:t>
      </w:r>
      <w:r w:rsidR="00EF6A3C" w:rsidRPr="00793107">
        <w:rPr>
          <w:rFonts w:ascii="Georgia" w:hAnsi="Georgia"/>
          <w:sz w:val="22"/>
          <w:szCs w:val="22"/>
        </w:rPr>
        <w:t>på grund av överfiske</w:t>
      </w:r>
      <w:r w:rsidR="00771C78" w:rsidRPr="00793107">
        <w:rPr>
          <w:rFonts w:ascii="Georgia" w:hAnsi="Georgia"/>
          <w:sz w:val="22"/>
          <w:szCs w:val="22"/>
        </w:rPr>
        <w:t>,</w:t>
      </w:r>
      <w:r w:rsidR="00EF6A3C" w:rsidRPr="00793107">
        <w:rPr>
          <w:rFonts w:ascii="Georgia" w:hAnsi="Georgia"/>
          <w:sz w:val="22"/>
          <w:szCs w:val="22"/>
        </w:rPr>
        <w:t xml:space="preserve"> </w:t>
      </w:r>
      <w:r w:rsidR="00B11685" w:rsidRPr="00793107">
        <w:rPr>
          <w:rFonts w:ascii="Georgia" w:hAnsi="Georgia"/>
          <w:sz w:val="22"/>
          <w:szCs w:val="22"/>
        </w:rPr>
        <w:t>detta</w:t>
      </w:r>
      <w:r w:rsidR="004363B3" w:rsidRPr="00793107">
        <w:rPr>
          <w:rFonts w:ascii="Georgia" w:hAnsi="Georgia"/>
          <w:sz w:val="22"/>
          <w:szCs w:val="22"/>
        </w:rPr>
        <w:t xml:space="preserve"> i sin tur</w:t>
      </w:r>
      <w:r w:rsidR="007327FD" w:rsidRPr="00793107">
        <w:rPr>
          <w:rFonts w:ascii="Georgia" w:hAnsi="Georgia"/>
          <w:sz w:val="22"/>
          <w:szCs w:val="22"/>
        </w:rPr>
        <w:t xml:space="preserve"> ledde till storskalig förändringar av hela ekosystemet (Frank m fl 2005). </w:t>
      </w:r>
      <w:r w:rsidR="004363B3" w:rsidRPr="00793107">
        <w:rPr>
          <w:rFonts w:ascii="Georgia" w:hAnsi="Georgia"/>
          <w:sz w:val="22"/>
          <w:szCs w:val="22"/>
        </w:rPr>
        <w:t>D</w:t>
      </w:r>
      <w:r w:rsidR="00283D73" w:rsidRPr="00793107">
        <w:rPr>
          <w:rFonts w:ascii="Georgia" w:hAnsi="Georgia"/>
          <w:sz w:val="22"/>
          <w:szCs w:val="22"/>
        </w:rPr>
        <w:t>et skulle dröja ända till</w:t>
      </w:r>
      <w:r w:rsidR="00DA6F93" w:rsidRPr="00793107">
        <w:rPr>
          <w:rFonts w:ascii="Georgia" w:hAnsi="Georgia"/>
          <w:sz w:val="22"/>
          <w:szCs w:val="22"/>
        </w:rPr>
        <w:t xml:space="preserve"> 2008 innan de första tecknen på återhämtning av </w:t>
      </w:r>
      <w:r w:rsidR="00FC5278" w:rsidRPr="00793107">
        <w:rPr>
          <w:rFonts w:ascii="Georgia" w:hAnsi="Georgia"/>
          <w:sz w:val="22"/>
          <w:szCs w:val="22"/>
        </w:rPr>
        <w:t>torsk</w:t>
      </w:r>
      <w:r w:rsidR="00DA6F93" w:rsidRPr="00793107">
        <w:rPr>
          <w:rFonts w:ascii="Georgia" w:hAnsi="Georgia"/>
          <w:sz w:val="22"/>
          <w:szCs w:val="22"/>
        </w:rPr>
        <w:t>bestånden kunde skönjas</w:t>
      </w:r>
      <w:r w:rsidR="00E03EB4" w:rsidRPr="00793107">
        <w:rPr>
          <w:rFonts w:ascii="Georgia" w:hAnsi="Georgia"/>
          <w:sz w:val="22"/>
          <w:szCs w:val="22"/>
        </w:rPr>
        <w:t xml:space="preserve"> </w:t>
      </w:r>
      <w:r w:rsidR="004363B3" w:rsidRPr="00793107">
        <w:rPr>
          <w:rFonts w:ascii="Georgia" w:hAnsi="Georgia"/>
          <w:sz w:val="22"/>
          <w:szCs w:val="22"/>
        </w:rPr>
        <w:t xml:space="preserve">och </w:t>
      </w:r>
      <w:r w:rsidR="000133D9" w:rsidRPr="00793107">
        <w:rPr>
          <w:rFonts w:ascii="Georgia" w:hAnsi="Georgia"/>
          <w:sz w:val="22"/>
          <w:szCs w:val="22"/>
        </w:rPr>
        <w:t>21 år efter att begrä</w:t>
      </w:r>
      <w:r w:rsidR="00306D7A" w:rsidRPr="00793107">
        <w:rPr>
          <w:rFonts w:ascii="Georgia" w:hAnsi="Georgia"/>
          <w:sz w:val="22"/>
          <w:szCs w:val="22"/>
        </w:rPr>
        <w:t>n</w:t>
      </w:r>
      <w:r w:rsidR="000133D9" w:rsidRPr="00793107">
        <w:rPr>
          <w:rFonts w:ascii="Georgia" w:hAnsi="Georgia"/>
          <w:sz w:val="22"/>
          <w:szCs w:val="22"/>
        </w:rPr>
        <w:t>sn</w:t>
      </w:r>
      <w:r w:rsidR="00306D7A" w:rsidRPr="00793107">
        <w:rPr>
          <w:rFonts w:ascii="Georgia" w:hAnsi="Georgia"/>
          <w:sz w:val="22"/>
          <w:szCs w:val="22"/>
        </w:rPr>
        <w:t xml:space="preserve">ingar i fisket infördes låg </w:t>
      </w:r>
      <w:r w:rsidR="00F03297" w:rsidRPr="00793107">
        <w:rPr>
          <w:rFonts w:ascii="Georgia" w:hAnsi="Georgia"/>
          <w:sz w:val="22"/>
          <w:szCs w:val="22"/>
        </w:rPr>
        <w:t xml:space="preserve">fortfarande </w:t>
      </w:r>
      <w:r w:rsidR="00306D7A" w:rsidRPr="00793107">
        <w:rPr>
          <w:rFonts w:ascii="Georgia" w:hAnsi="Georgia"/>
          <w:sz w:val="22"/>
          <w:szCs w:val="22"/>
        </w:rPr>
        <w:t xml:space="preserve">den totala biomassan av demersal fisk utanför </w:t>
      </w:r>
      <w:r w:rsidR="001E6F9C" w:rsidRPr="00793107">
        <w:rPr>
          <w:rFonts w:ascii="Georgia" w:hAnsi="Georgia"/>
          <w:sz w:val="22"/>
          <w:szCs w:val="22"/>
        </w:rPr>
        <w:t>Newfoundland</w:t>
      </w:r>
      <w:r w:rsidR="00306D7A" w:rsidRPr="00793107">
        <w:rPr>
          <w:rFonts w:ascii="Georgia" w:hAnsi="Georgia"/>
          <w:sz w:val="22"/>
          <w:szCs w:val="22"/>
        </w:rPr>
        <w:t xml:space="preserve"> på en nivå som var mindre än en tredjedel av vad den var före kollapsen </w:t>
      </w:r>
      <w:r w:rsidR="004363B3" w:rsidRPr="00793107">
        <w:rPr>
          <w:rFonts w:ascii="Georgia" w:hAnsi="Georgia"/>
          <w:sz w:val="22"/>
          <w:szCs w:val="22"/>
        </w:rPr>
        <w:t xml:space="preserve">(Rose och Rowe 2015; </w:t>
      </w:r>
      <w:r w:rsidR="00306D7A" w:rsidRPr="00793107">
        <w:rPr>
          <w:rFonts w:ascii="Georgia" w:hAnsi="Georgia"/>
          <w:sz w:val="22"/>
          <w:szCs w:val="22"/>
        </w:rPr>
        <w:t>Pedersen m fl 2017).</w:t>
      </w:r>
    </w:p>
    <w:p w14:paraId="4FEF4819" w14:textId="77777777" w:rsidR="00FE451A" w:rsidRDefault="0070387B" w:rsidP="00D37AB0">
      <w:pPr>
        <w:pStyle w:val="Brdtext"/>
        <w:rPr>
          <w:rFonts w:asciiTheme="minorHAnsi" w:hAnsiTheme="minorHAnsi"/>
          <w:b/>
        </w:rPr>
      </w:pPr>
      <w:r w:rsidRPr="004D5D59">
        <w:rPr>
          <w:rFonts w:asciiTheme="minorHAnsi" w:hAnsiTheme="minorHAnsi"/>
          <w:b/>
        </w:rPr>
        <w:t xml:space="preserve">2.2. </w:t>
      </w:r>
      <w:r w:rsidR="00F87DD4" w:rsidRPr="004D5D59">
        <w:rPr>
          <w:rFonts w:asciiTheme="minorHAnsi" w:hAnsiTheme="minorHAnsi"/>
          <w:b/>
        </w:rPr>
        <w:t xml:space="preserve">Material </w:t>
      </w:r>
      <w:r w:rsidR="003836C2">
        <w:rPr>
          <w:rFonts w:asciiTheme="minorHAnsi" w:hAnsiTheme="minorHAnsi"/>
          <w:b/>
        </w:rPr>
        <w:t>och</w:t>
      </w:r>
      <w:r w:rsidR="00F87DD4" w:rsidRPr="004D5D59">
        <w:rPr>
          <w:rFonts w:asciiTheme="minorHAnsi" w:hAnsiTheme="minorHAnsi"/>
          <w:b/>
        </w:rPr>
        <w:t xml:space="preserve"> </w:t>
      </w:r>
      <w:r w:rsidR="003836C2">
        <w:rPr>
          <w:rFonts w:asciiTheme="minorHAnsi" w:hAnsiTheme="minorHAnsi"/>
          <w:b/>
        </w:rPr>
        <w:t>metoder</w:t>
      </w:r>
    </w:p>
    <w:p w14:paraId="7811C1B0" w14:textId="1B16FFA5" w:rsidR="004A65D2" w:rsidRPr="00FE451A" w:rsidRDefault="00FE451A" w:rsidP="00FE451A">
      <w:pPr>
        <w:pStyle w:val="Brdtext"/>
        <w:rPr>
          <w:rFonts w:asciiTheme="minorHAnsi" w:hAnsiTheme="minorHAnsi"/>
          <w:b/>
        </w:rPr>
      </w:pPr>
      <w:r>
        <w:rPr>
          <w:rFonts w:asciiTheme="minorHAnsi" w:hAnsiTheme="minorHAnsi"/>
          <w:b/>
        </w:rPr>
        <w:t xml:space="preserve">2.2.1 </w:t>
      </w:r>
      <w:r w:rsidR="009B348E" w:rsidRPr="00FE451A">
        <w:rPr>
          <w:rFonts w:asciiTheme="minorHAnsi" w:hAnsiTheme="minorHAnsi"/>
          <w:b/>
        </w:rPr>
        <w:t>Material</w:t>
      </w:r>
    </w:p>
    <w:p w14:paraId="5C4086E1" w14:textId="67FD3E57" w:rsidR="002650E6" w:rsidRDefault="002650E6" w:rsidP="002650E6">
      <w:pPr>
        <w:pStyle w:val="Brdtext"/>
        <w:spacing w:line="240" w:lineRule="auto"/>
      </w:pPr>
      <w:r w:rsidRPr="00185240">
        <w:t>Sedan 2001 sker årlig uppföljning av kustfiskbestånd genom provfiske med bottentrål</w:t>
      </w:r>
      <w:r>
        <w:t xml:space="preserve"> </w:t>
      </w:r>
      <w:r w:rsidRPr="00185240">
        <w:t>utmed svenska västkusten med syfte att övervaka lokala populationer för utvalda</w:t>
      </w:r>
      <w:r>
        <w:t xml:space="preserve"> </w:t>
      </w:r>
      <w:r w:rsidR="00F33A0E" w:rsidRPr="00185240">
        <w:t>kommersiell</w:t>
      </w:r>
      <w:r w:rsidR="00F33A0E">
        <w:t>t nyttjade</w:t>
      </w:r>
      <w:r w:rsidR="00F33A0E" w:rsidRPr="00185240">
        <w:t xml:space="preserve"> </w:t>
      </w:r>
      <w:r w:rsidRPr="00185240">
        <w:t>fiskarter, som en del av den nationella kustfiskövervakningen. Övervakningsprogrammet</w:t>
      </w:r>
      <w:r>
        <w:t xml:space="preserve"> </w:t>
      </w:r>
      <w:r w:rsidRPr="00185240">
        <w:t>reviderades 2009 och sedan dess utförs undersökningen från</w:t>
      </w:r>
      <w:r>
        <w:t xml:space="preserve"> </w:t>
      </w:r>
      <w:r w:rsidRPr="00185240">
        <w:t>Singlefjorden i norr till Kungsbackafjorden i söder. Provtagningen täcker därmed in</w:t>
      </w:r>
      <w:r>
        <w:t xml:space="preserve"> </w:t>
      </w:r>
      <w:r w:rsidRPr="00185240">
        <w:t>Sveriges Skagerrakkust samt norra Kattegatt.</w:t>
      </w:r>
      <w:r>
        <w:t xml:space="preserve"> </w:t>
      </w:r>
      <w:r w:rsidRPr="000665D2">
        <w:t xml:space="preserve">Provtagningen utförs med en bottentrål av typen Fisketrål Norden. </w:t>
      </w:r>
    </w:p>
    <w:p w14:paraId="74E6F18D" w14:textId="133AE090" w:rsidR="004A65D2" w:rsidRPr="005D7CBA" w:rsidRDefault="002650E6" w:rsidP="005D7CBA">
      <w:pPr>
        <w:pStyle w:val="Brdtext"/>
        <w:spacing w:line="240" w:lineRule="auto"/>
      </w:pPr>
      <w:r w:rsidRPr="000665D2">
        <w:t>Fisketrål Norden</w:t>
      </w:r>
      <w:r>
        <w:t xml:space="preserve"> </w:t>
      </w:r>
      <w:r w:rsidRPr="000665D2">
        <w:t>öppnar ca 3 meter i höjdled vid trålning i 2.2 knop. Trålens bredd är 24-28 meter</w:t>
      </w:r>
      <w:r>
        <w:t xml:space="preserve"> </w:t>
      </w:r>
      <w:r w:rsidRPr="000665D2">
        <w:t>på trålstationer med ett djup mindre än 50 m och 48-50 meter vid djup större än 50</w:t>
      </w:r>
      <w:r>
        <w:t xml:space="preserve"> </w:t>
      </w:r>
      <w:r w:rsidRPr="000665D2">
        <w:t>meter. Storleken på maskan i det så kallade lyftet (cod end) är 16 mm diagonalmaska.</w:t>
      </w:r>
      <w:r>
        <w:t xml:space="preserve"> </w:t>
      </w:r>
      <w:r w:rsidRPr="000665D2">
        <w:t>All fångst artbestäms, mäts, vägs och räknas.</w:t>
      </w:r>
      <w:r w:rsidRPr="000665D2">
        <w:rPr>
          <w:rFonts w:ascii="Times" w:hAnsi="Times" w:cs="Times New Roman"/>
          <w:sz w:val="16"/>
          <w:szCs w:val="16"/>
        </w:rPr>
        <w:t xml:space="preserve"> </w:t>
      </w:r>
      <w:r w:rsidRPr="009E56AE">
        <w:t>Baserat på information om hastighet vid trålning, trålad tid och trålens öppning</w:t>
      </w:r>
      <w:r>
        <w:t xml:space="preserve"> </w:t>
      </w:r>
      <w:r w:rsidRPr="009E56AE">
        <w:t xml:space="preserve">har den trålade ytan (swept area) beräknats för varje enskilt tråldrag. </w:t>
      </w:r>
      <w:r>
        <w:t xml:space="preserve">Utifrån </w:t>
      </w:r>
      <w:r w:rsidRPr="009E56AE">
        <w:t>areaberäkningen standardiseras fångsten i varje tråldrag och presenteras som mängd</w:t>
      </w:r>
      <w:r>
        <w:t xml:space="preserve"> </w:t>
      </w:r>
      <w:r w:rsidRPr="009E56AE">
        <w:t>fisk per km</w:t>
      </w:r>
      <w:r w:rsidRPr="009E56AE">
        <w:rPr>
          <w:vertAlign w:val="superscript"/>
        </w:rPr>
        <w:t>2</w:t>
      </w:r>
      <w:r w:rsidRPr="009E56AE">
        <w:t>.</w:t>
      </w:r>
    </w:p>
    <w:p w14:paraId="093C5601" w14:textId="77777777" w:rsidR="00FE451A" w:rsidRDefault="004A65D2" w:rsidP="00D37AB0">
      <w:pPr>
        <w:spacing w:after="0"/>
        <w:rPr>
          <w:rFonts w:asciiTheme="minorHAnsi" w:hAnsiTheme="minorHAnsi"/>
          <w:sz w:val="22"/>
          <w:szCs w:val="22"/>
        </w:rPr>
      </w:pPr>
      <w:r w:rsidRPr="00EB77EE">
        <w:rPr>
          <w:rFonts w:asciiTheme="minorHAnsi" w:hAnsiTheme="minorHAnsi"/>
          <w:sz w:val="22"/>
          <w:szCs w:val="22"/>
        </w:rPr>
        <w:t xml:space="preserve"> </w:t>
      </w:r>
    </w:p>
    <w:p w14:paraId="7EB9A181" w14:textId="5C5A222D" w:rsidR="007A2FB0" w:rsidRDefault="00FE451A" w:rsidP="00D37AB0">
      <w:pPr>
        <w:spacing w:after="0"/>
        <w:rPr>
          <w:rFonts w:asciiTheme="minorHAnsi" w:hAnsiTheme="minorHAnsi"/>
          <w:b/>
          <w:sz w:val="22"/>
          <w:szCs w:val="22"/>
        </w:rPr>
      </w:pPr>
      <w:r>
        <w:rPr>
          <w:rFonts w:asciiTheme="minorHAnsi" w:hAnsiTheme="minorHAnsi"/>
          <w:b/>
          <w:sz w:val="22"/>
          <w:szCs w:val="22"/>
        </w:rPr>
        <w:t>2.2.2 M</w:t>
      </w:r>
      <w:r w:rsidRPr="00FE451A">
        <w:rPr>
          <w:rFonts w:asciiTheme="minorHAnsi" w:hAnsiTheme="minorHAnsi"/>
          <w:b/>
          <w:sz w:val="22"/>
          <w:szCs w:val="22"/>
        </w:rPr>
        <w:t>etoder</w:t>
      </w:r>
    </w:p>
    <w:p w14:paraId="3275D79D" w14:textId="10B4D345" w:rsidR="007A2FB0" w:rsidRPr="009E418C" w:rsidRDefault="0072158D" w:rsidP="009E418C">
      <w:pPr>
        <w:spacing w:after="0"/>
        <w:rPr>
          <w:rFonts w:ascii="Georgia" w:hAnsi="Georgia"/>
          <w:sz w:val="22"/>
          <w:szCs w:val="22"/>
        </w:rPr>
      </w:pPr>
      <w:r w:rsidRPr="009E418C">
        <w:rPr>
          <w:rFonts w:ascii="Georgia" w:hAnsi="Georgia"/>
          <w:sz w:val="22"/>
          <w:szCs w:val="22"/>
        </w:rPr>
        <w:t>Från undersökningen av kustfiskbestånd används data från trålstationer i Västkustens fjordområden samt Västkustens inre- och yttre kustvatten. Dessa tre bedömningsområden har sammanförts i analysen av LFI.</w:t>
      </w:r>
    </w:p>
    <w:p w14:paraId="0419B2BF" w14:textId="77777777" w:rsidR="009E418C" w:rsidRPr="009E418C" w:rsidRDefault="009E418C" w:rsidP="009E418C">
      <w:pPr>
        <w:spacing w:after="0"/>
        <w:rPr>
          <w:rFonts w:asciiTheme="minorHAnsi" w:hAnsiTheme="minorHAnsi"/>
          <w:sz w:val="22"/>
          <w:szCs w:val="22"/>
        </w:rPr>
      </w:pPr>
    </w:p>
    <w:p w14:paraId="6DDD5E5A" w14:textId="4B42D409" w:rsidR="00C71015" w:rsidRDefault="008D5ACF" w:rsidP="002F092B">
      <w:pPr>
        <w:pStyle w:val="Brdtext"/>
      </w:pPr>
      <w:r>
        <w:t xml:space="preserve">Beräkningen av indikatorn och bedömningen av miljöstatus följer i huvudsak OSPARs metodik för LFI i Nordostatlanten. </w:t>
      </w:r>
      <w:r w:rsidR="00C71015">
        <w:t xml:space="preserve">Vid beräkning av indikatorn </w:t>
      </w:r>
      <w:r w:rsidR="00793107">
        <w:t>exkluderas</w:t>
      </w:r>
      <w:r w:rsidR="00C71015">
        <w:t xml:space="preserve"> pelagiska fiskarter från analysen eftersom provtagningsmetoden </w:t>
      </w:r>
      <w:r w:rsidR="00793107">
        <w:t>framförallt</w:t>
      </w:r>
      <w:r w:rsidR="00C71015">
        <w:t xml:space="preserve"> ger en god bild av det </w:t>
      </w:r>
      <w:r w:rsidR="00757F0E">
        <w:t>b</w:t>
      </w:r>
      <w:r w:rsidR="00C71015">
        <w:t>ottenlevande fisksamhällets sammansättning.</w:t>
      </w:r>
    </w:p>
    <w:p w14:paraId="60798500" w14:textId="77777777" w:rsidR="007A2FB0" w:rsidRPr="007A2FB0" w:rsidRDefault="007A2FB0" w:rsidP="007A2FB0">
      <w:pPr>
        <w:pStyle w:val="Brdtext"/>
      </w:pPr>
      <w:r w:rsidRPr="007A2FB0">
        <w:t xml:space="preserve">Indikatorn LFI beräknas </w:t>
      </w:r>
      <w:r w:rsidR="00F41989">
        <w:t>för Skageracks skärgårds</w:t>
      </w:r>
      <w:r w:rsidR="00710884">
        <w:t>-</w:t>
      </w:r>
      <w:r w:rsidR="00F41989">
        <w:t xml:space="preserve"> och fjordområden </w:t>
      </w:r>
      <w:r w:rsidRPr="007A2FB0">
        <w:t>förenklat som:</w:t>
      </w:r>
    </w:p>
    <w:p w14:paraId="30F036D4" w14:textId="77777777" w:rsidR="00F85FE3" w:rsidRPr="00F85FE3" w:rsidRDefault="00F85FE3" w:rsidP="00F85FE3">
      <w:pPr>
        <w:pStyle w:val="Brdtext"/>
      </w:pPr>
      <m:oMath>
        <m:r>
          <w:rPr>
            <w:rFonts w:ascii="Cambria Math" w:hAnsi="Cambria Math"/>
            <w:lang w:val="en-GB"/>
          </w:rPr>
          <m:t>LFI</m:t>
        </m:r>
        <m:r>
          <w:rPr>
            <w:rFonts w:ascii="Cambria Math" w:hAnsi="Cambria Math"/>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L</m:t>
                </m:r>
                <m:r>
                  <w:rPr>
                    <w:rFonts w:ascii="Cambria Math" w:hAnsi="Cambria Math"/>
                  </w:rPr>
                  <m:t>&gt;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LF</m:t>
                    </m:r>
                  </m:sub>
                </m:sSub>
              </m:sub>
            </m:sSub>
          </m:num>
          <m:den>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L</m:t>
                </m:r>
                <m:r>
                  <w:rPr>
                    <w:rFonts w:ascii="Cambria Math" w:hAnsi="Cambria Math"/>
                  </w:rPr>
                  <m:t>&gt;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LF</m:t>
                    </m:r>
                  </m:sub>
                </m:sSub>
              </m:sub>
            </m:sSub>
            <m:r>
              <w:rPr>
                <w:rFonts w:ascii="Cambria Math" w:hAnsi="Cambria Math"/>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L</m:t>
                </m:r>
                <m:r>
                  <w:rPr>
                    <w:rFonts w:ascii="Cambria Math" w:hAnsi="Cambria Math"/>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LF</m:t>
                    </m:r>
                  </m:sub>
                </m:sSub>
              </m:sub>
            </m:sSub>
          </m:den>
        </m:f>
      </m:oMath>
      <w:r w:rsidRPr="00F85FE3">
        <w:t>,</w:t>
      </w:r>
    </w:p>
    <w:p w14:paraId="3F281DBE" w14:textId="055E91DE" w:rsidR="007A2FB0" w:rsidRDefault="00F85FE3" w:rsidP="0009349B">
      <w:pPr>
        <w:pStyle w:val="Brdtext"/>
      </w:pPr>
      <w:r w:rsidRPr="00F85FE3">
        <w:t>där L är totallängden (i</w:t>
      </w:r>
      <w:r>
        <w:t xml:space="preserve"> cm) och B är </w:t>
      </w:r>
      <w:r w:rsidR="00710884">
        <w:t xml:space="preserve">biomassatätheten </w:t>
      </w:r>
      <w:r>
        <w:t xml:space="preserve">av dessa fiskar (uttryckt som kg </w:t>
      </w:r>
      <w:r w:rsidRPr="00F85FE3">
        <w:t>km</w:t>
      </w:r>
      <w:r w:rsidRPr="00F85FE3">
        <w:rPr>
          <w:vertAlign w:val="superscript"/>
        </w:rPr>
        <w:t>-2</w:t>
      </w:r>
      <w:r w:rsidRPr="00F85FE3">
        <w:t>).</w:t>
      </w:r>
      <w:r>
        <w:t xml:space="preserve"> </w:t>
      </w:r>
      <w:r w:rsidR="00606DE3">
        <w:t>Definitionsgränsen</w:t>
      </w:r>
      <w:r>
        <w:t xml:space="preserve"> för stor fisk benämns L</w:t>
      </w:r>
      <w:r w:rsidRPr="00F85FE3">
        <w:rPr>
          <w:vertAlign w:val="subscript"/>
        </w:rPr>
        <w:t>LF</w:t>
      </w:r>
      <w:r w:rsidR="009E418C">
        <w:t xml:space="preserve"> och är satt till 50 cm</w:t>
      </w:r>
      <w:r w:rsidR="002F1464">
        <w:t xml:space="preserve"> (Ospar IA)</w:t>
      </w:r>
      <w:r w:rsidR="00710884">
        <w:rPr>
          <w:vertAlign w:val="subscript"/>
        </w:rPr>
        <w:t>.</w:t>
      </w:r>
      <w:r w:rsidR="008D71D8">
        <w:rPr>
          <w:vertAlign w:val="subscript"/>
        </w:rPr>
        <w:t xml:space="preserve"> </w:t>
      </w:r>
      <w:r w:rsidR="00246824">
        <w:t>Gränsvärdet för andelen stor fisk i fisksamhället (LFI</w:t>
      </w:r>
      <w:r w:rsidR="00660C5F">
        <w:t>=0,2</w:t>
      </w:r>
      <w:r w:rsidR="00246824">
        <w:t>) har anammats från bedömningen i Nordsjön baserat på den internationellt koordinerade IBTS-provtagningen</w:t>
      </w:r>
      <w:r w:rsidR="00757F0E">
        <w:t xml:space="preserve"> (</w:t>
      </w:r>
      <w:r w:rsidR="002F1464">
        <w:t>Ospar IA</w:t>
      </w:r>
      <w:r w:rsidR="00757F0E">
        <w:t>)</w:t>
      </w:r>
      <w:r w:rsidR="00246824">
        <w:t xml:space="preserve">. </w:t>
      </w:r>
      <w:r w:rsidR="00F45D44">
        <w:t xml:space="preserve">Tidserien för LFI i </w:t>
      </w:r>
      <w:r w:rsidR="00660C5F">
        <w:t>IBTS-</w:t>
      </w:r>
      <w:r w:rsidR="00F45D44">
        <w:t>provtagningen har därför tagits med i denna analys för att visa på överenstämmelse med LFI för kusttrålningens utsjöstationer</w:t>
      </w:r>
      <w:r>
        <w:t xml:space="preserve"> (Figur 2)</w:t>
      </w:r>
      <w:r w:rsidR="00F45D44">
        <w:t xml:space="preserve">. Indikatorn LFI för Nordsjön härleder sitt referensvärde från en historisk tidsserie som överlappar temporalt </w:t>
      </w:r>
      <w:r w:rsidR="00F45D44">
        <w:lastRenderedPageBreak/>
        <w:t xml:space="preserve">med IBTS. </w:t>
      </w:r>
      <w:r w:rsidR="00660C5F">
        <w:t xml:space="preserve">För detta </w:t>
      </w:r>
      <w:r w:rsidR="005D0CB9">
        <w:t xml:space="preserve">används referensperioden 1983-85 då de flesta kommersiella bestånd ansågs fiskas </w:t>
      </w:r>
      <w:r w:rsidR="005D0CB9" w:rsidRPr="00B05DD9">
        <w:t>uthålligt.</w:t>
      </w:r>
      <w:r w:rsidR="00732E5E" w:rsidRPr="00B05DD9">
        <w:t xml:space="preserve"> </w:t>
      </w:r>
      <w:r w:rsidR="008D71D8" w:rsidRPr="00B05DD9">
        <w:t>För att god miljöstatus skall</w:t>
      </w:r>
      <w:r w:rsidR="008B010A" w:rsidRPr="00B05DD9">
        <w:t xml:space="preserve"> anses uppnådd</w:t>
      </w:r>
      <w:r w:rsidR="008D71D8" w:rsidRPr="00B05DD9">
        <w:t xml:space="preserve"> i Västerhavets fjord- och skärgårdsområden</w:t>
      </w:r>
      <w:r w:rsidR="00B05DD9" w:rsidRPr="00B05DD9">
        <w:t xml:space="preserve"> under</w:t>
      </w:r>
      <w:r w:rsidR="008D71D8" w:rsidRPr="00B05DD9">
        <w:t xml:space="preserve"> </w:t>
      </w:r>
      <w:r w:rsidR="00B05DD9" w:rsidRPr="00B05DD9">
        <w:t xml:space="preserve">bedömningsperioden </w:t>
      </w:r>
      <w:r w:rsidR="008D71D8" w:rsidRPr="00B05DD9">
        <w:t xml:space="preserve">gäller att andelen stor fisk </w:t>
      </w:r>
      <w:r w:rsidR="001659F1" w:rsidRPr="00B05DD9">
        <w:t xml:space="preserve">skall </w:t>
      </w:r>
      <w:r w:rsidR="008D71D8" w:rsidRPr="00B05DD9">
        <w:t>utgör</w:t>
      </w:r>
      <w:r w:rsidR="001659F1" w:rsidRPr="00B05DD9">
        <w:t>a</w:t>
      </w:r>
      <w:r w:rsidR="008D71D8" w:rsidRPr="00B05DD9">
        <w:t xml:space="preserve"> 20 % eller mer av totalbiomassan fisk och att</w:t>
      </w:r>
      <w:r w:rsidR="001659F1" w:rsidRPr="00B05DD9">
        <w:t xml:space="preserve"> den nedre gränsen för det 95 %-iga konfidensintervallet runt LFI måste ligga högre än denna gräns</w:t>
      </w:r>
      <w:r w:rsidR="008B010A" w:rsidRPr="00B05DD9">
        <w:t xml:space="preserve"> (0,</w:t>
      </w:r>
      <w:r w:rsidR="00757F0E" w:rsidRPr="00B05DD9">
        <w:t>2</w:t>
      </w:r>
      <w:r w:rsidR="00B05DD9" w:rsidRPr="00B05DD9">
        <w:t>).</w:t>
      </w:r>
    </w:p>
    <w:p w14:paraId="6FD6E2F1" w14:textId="2A840BC9" w:rsidR="00F87DD4" w:rsidRPr="004D5D59" w:rsidRDefault="0070387B" w:rsidP="00F87DD4">
      <w:pPr>
        <w:pStyle w:val="Brdtext"/>
        <w:rPr>
          <w:b/>
        </w:rPr>
      </w:pPr>
      <w:bookmarkStart w:id="0" w:name="_GoBack"/>
      <w:bookmarkEnd w:id="0"/>
      <w:r w:rsidRPr="004D5D59">
        <w:rPr>
          <w:b/>
        </w:rPr>
        <w:t xml:space="preserve">2.3. </w:t>
      </w:r>
      <w:r w:rsidR="0072158D">
        <w:rPr>
          <w:b/>
        </w:rPr>
        <w:t>Resultat</w:t>
      </w:r>
    </w:p>
    <w:p w14:paraId="21CD1B82" w14:textId="37EC283C" w:rsidR="0014572F" w:rsidRDefault="00F22C53" w:rsidP="00F87DD4">
      <w:pPr>
        <w:pStyle w:val="Brdtext"/>
      </w:pPr>
      <w:r>
        <w:t xml:space="preserve">Resultatet visar att andelen stor fisk i fisksamhället i Västerhavets fjord- och skärgårdsområden är långt under gränsvärdet för god miljöstatus under bedömningsperioden 2011-2016 (Figur 1). </w:t>
      </w:r>
      <w:r w:rsidRPr="00F22C53">
        <w:t xml:space="preserve">Felstaplarna visar ett 95 % konfidensintervall </w:t>
      </w:r>
      <w:r>
        <w:t>(</w:t>
      </w:r>
      <w:r w:rsidRPr="00F22C53">
        <w:t>baserat på s.k. bootstrapping</w:t>
      </w:r>
      <w:r>
        <w:t>) som ett mått på osäkerheten i skattningen</w:t>
      </w:r>
      <w:r w:rsidRPr="00F22C53">
        <w:t>. För att räknas som god miljöstatus (GES) ska den nedre gränsen av konfidensinterva</w:t>
      </w:r>
      <w:r>
        <w:t>llet överstiga gränsvärdet på 0,</w:t>
      </w:r>
      <w:r w:rsidRPr="00F22C53">
        <w:t>2</w:t>
      </w:r>
      <w:r w:rsidR="00935423">
        <w:t>.</w:t>
      </w:r>
    </w:p>
    <w:p w14:paraId="5C268BB6" w14:textId="2238BEDE" w:rsidR="004A54CC" w:rsidRDefault="007A4E95" w:rsidP="00F87DD4">
      <w:pPr>
        <w:pStyle w:val="Brdtext"/>
      </w:pPr>
      <w:r>
        <w:t>I</w:t>
      </w:r>
      <w:r w:rsidR="005B1621">
        <w:t xml:space="preserve"> en jämförelse </w:t>
      </w:r>
      <w:r>
        <w:t>uppvisar</w:t>
      </w:r>
      <w:r w:rsidR="005B1621">
        <w:t xml:space="preserve"> utsjöområdena</w:t>
      </w:r>
      <w:r w:rsidR="004A54CC" w:rsidRPr="004A54CC">
        <w:t xml:space="preserve"> i Skagerrak och Kattegatt tecken på att LFI återhämtar sig från låga nivåer (Figur 2). Trenden i Skagerraks och Kattegatts utsjövatten följer relativt väl den generella trenden för Nordsjön</w:t>
      </w:r>
      <w:r w:rsidR="00845155">
        <w:t xml:space="preserve"> (Greenstreet m fl 2012)</w:t>
      </w:r>
      <w:r w:rsidR="004A54CC" w:rsidRPr="004A54CC">
        <w:t xml:space="preserve">. Ökningen där är </w:t>
      </w:r>
      <w:r w:rsidR="00134D83" w:rsidRPr="004A54CC">
        <w:t>koppla</w:t>
      </w:r>
      <w:r w:rsidR="009865CE">
        <w:t>t</w:t>
      </w:r>
      <w:r w:rsidR="00134D83" w:rsidRPr="004A54CC">
        <w:t xml:space="preserve"> </w:t>
      </w:r>
      <w:r w:rsidR="004A54CC" w:rsidRPr="004A54CC">
        <w:t xml:space="preserve">till ett minskat fisketryck i Nordsjön vilket lett till återhämtning av bestånd för många bottenlevande arter, däribland torsk (Cardinale </w:t>
      </w:r>
      <w:r w:rsidR="000034E3">
        <w:t>m fl</w:t>
      </w:r>
      <w:r w:rsidR="004A54CC" w:rsidRPr="004A54CC">
        <w:t xml:space="preserve"> 2013). I Öresund har LFI sedan mätningarna började legat på en hög nivå (över gränsvärdet), men den har minskat under de senaste åren (Figur </w:t>
      </w:r>
      <w:r w:rsidR="00CC49DC">
        <w:t>2</w:t>
      </w:r>
      <w:r w:rsidR="004A54CC" w:rsidRPr="004A54CC">
        <w:t>)</w:t>
      </w:r>
      <w:r w:rsidR="004A54CC" w:rsidRPr="00B33F16">
        <w:t xml:space="preserve">. </w:t>
      </w:r>
      <w:r w:rsidR="00025198" w:rsidRPr="00B33F16">
        <w:t>En närmare granskning av data från Öresund visar att m</w:t>
      </w:r>
      <w:r w:rsidR="004A54CC" w:rsidRPr="00B33F16">
        <w:t>inskningen framförallt</w:t>
      </w:r>
      <w:r w:rsidR="00D77DBE" w:rsidRPr="00B33F16">
        <w:t xml:space="preserve"> är</w:t>
      </w:r>
      <w:r w:rsidR="004A54CC" w:rsidRPr="00B33F16">
        <w:t xml:space="preserve"> kopplad till en ökning av mängden fisk under 50 cm, men </w:t>
      </w:r>
      <w:r w:rsidR="00025198" w:rsidRPr="00B33F16">
        <w:t>att det</w:t>
      </w:r>
      <w:r w:rsidR="004A54CC" w:rsidRPr="00B33F16">
        <w:t xml:space="preserve"> också</w:t>
      </w:r>
      <w:r w:rsidR="00025198" w:rsidRPr="00B33F16">
        <w:t xml:space="preserve"> skett </w:t>
      </w:r>
      <w:r w:rsidR="004A54CC" w:rsidRPr="00B33F16">
        <w:t>en mins</w:t>
      </w:r>
      <w:r w:rsidR="00025198" w:rsidRPr="00B33F16">
        <w:t>kning av stor fisk kan inte uteslutas</w:t>
      </w:r>
      <w:r w:rsidR="00050D0A" w:rsidRPr="00B33F16">
        <w:t xml:space="preserve"> (data ej visad)</w:t>
      </w:r>
      <w:r w:rsidR="004A54CC" w:rsidRPr="00B33F16">
        <w:t>.</w:t>
      </w:r>
      <w:r w:rsidR="004A54CC" w:rsidRPr="004A54CC">
        <w:t xml:space="preserve"> </w:t>
      </w:r>
    </w:p>
    <w:p w14:paraId="4DCAB117" w14:textId="7C600404" w:rsidR="00635F96" w:rsidRDefault="00050D0A" w:rsidP="00F87DD4">
      <w:pPr>
        <w:pStyle w:val="Brdtext"/>
      </w:pPr>
      <w:r w:rsidRPr="001C2668">
        <w:rPr>
          <w:rFonts w:asciiTheme="minorHAnsi" w:hAnsiTheme="minorHAnsi"/>
        </w:rPr>
        <w:t>Artfördelningen för fisk över 50 cm längd</w:t>
      </w:r>
      <w:r>
        <w:rPr>
          <w:rFonts w:asciiTheme="minorHAnsi" w:hAnsiTheme="minorHAnsi"/>
        </w:rPr>
        <w:t xml:space="preserve">, uttryckt som andelen av biomassan, visar vilka arter som framförallt bidrar till LFI (figur 3). I det bedömda kustområdet var pigghajen betydelsefull för LFI under en period </w:t>
      </w:r>
      <w:r w:rsidR="009865CE">
        <w:rPr>
          <w:rFonts w:asciiTheme="minorHAnsi" w:hAnsiTheme="minorHAnsi"/>
        </w:rPr>
        <w:t xml:space="preserve">(2007-2012) </w:t>
      </w:r>
      <w:r>
        <w:rPr>
          <w:rFonts w:asciiTheme="minorHAnsi" w:hAnsiTheme="minorHAnsi"/>
        </w:rPr>
        <w:t>men under bedömningsperioden (2011-2016) är det framförallt torsk som återfinns som stor fisk (Figur 3). Det ska dock noteras att LFI i fjord- och skärgårdsområdet generellt sett är mycket låg och att den faktiska mängden av stora fiskar även för dessa arter är mycket låg. I Skagerraks och Kattegatts utsjöområden återfinns en kombination av torskfiskar, hajar och rockor bland de stora fiskarna även om torsken blivit mer dominerande under de senaste åren. I Öresund är det nästan utan undantag torsk som bidrar till stor fisk i indikatorn.</w:t>
      </w:r>
    </w:p>
    <w:tbl>
      <w:tblPr>
        <w:tblStyle w:val="Tabellrutnt"/>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6"/>
        <w:gridCol w:w="569"/>
        <w:gridCol w:w="228"/>
      </w:tblGrid>
      <w:tr w:rsidR="003909FA" w:rsidRPr="00FD06C6" w14:paraId="45648F88" w14:textId="77777777" w:rsidTr="001A169A">
        <w:tc>
          <w:tcPr>
            <w:tcW w:w="2727" w:type="dxa"/>
          </w:tcPr>
          <w:p w14:paraId="73F88F60" w14:textId="6B811AAF" w:rsidR="003909FA" w:rsidRPr="00960377" w:rsidRDefault="0085440F" w:rsidP="00E62EF9">
            <w:pPr>
              <w:contextualSpacing/>
              <w:rPr>
                <w:b/>
                <w:noProof/>
              </w:rPr>
            </w:pPr>
            <w:r>
              <w:rPr>
                <w:noProof/>
              </w:rPr>
              <w:lastRenderedPageBreak/>
              <w:drawing>
                <wp:anchor distT="0" distB="0" distL="114300" distR="114300" simplePos="0" relativeHeight="251658240" behindDoc="0" locked="0" layoutInCell="1" allowOverlap="1" wp14:anchorId="3E577BE4" wp14:editId="546B6B8D">
                  <wp:simplePos x="0" y="0"/>
                  <wp:positionH relativeFrom="column">
                    <wp:posOffset>68852</wp:posOffset>
                  </wp:positionH>
                  <wp:positionV relativeFrom="paragraph">
                    <wp:posOffset>56243</wp:posOffset>
                  </wp:positionV>
                  <wp:extent cx="5922931" cy="3509363"/>
                  <wp:effectExtent l="0" t="0" r="190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FI_comp_Area_cut.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2931" cy="3509363"/>
                          </a:xfrm>
                          <a:prstGeom prst="rect">
                            <a:avLst/>
                          </a:prstGeom>
                        </pic:spPr>
                      </pic:pic>
                    </a:graphicData>
                  </a:graphic>
                  <wp14:sizeRelH relativeFrom="page">
                    <wp14:pctWidth>0</wp14:pctWidth>
                  </wp14:sizeRelH>
                  <wp14:sizeRelV relativeFrom="page">
                    <wp14:pctHeight>0</wp14:pctHeight>
                  </wp14:sizeRelV>
                </wp:anchor>
              </w:drawing>
            </w:r>
            <w:r w:rsidR="003909FA" w:rsidRPr="00960377">
              <w:rPr>
                <w:b/>
                <w:sz w:val="20"/>
                <w:szCs w:val="20"/>
              </w:rPr>
              <w:t xml:space="preserve">Figur </w:t>
            </w:r>
            <w:r w:rsidR="003909FA">
              <w:rPr>
                <w:b/>
                <w:sz w:val="20"/>
                <w:szCs w:val="20"/>
              </w:rPr>
              <w:t>2</w:t>
            </w:r>
            <w:r w:rsidR="003909FA" w:rsidRPr="00960377">
              <w:rPr>
                <w:b/>
                <w:sz w:val="20"/>
                <w:szCs w:val="20"/>
              </w:rPr>
              <w:t>.</w:t>
            </w:r>
            <w:r w:rsidR="003909FA" w:rsidRPr="00960377">
              <w:rPr>
                <w:sz w:val="20"/>
                <w:szCs w:val="20"/>
              </w:rPr>
              <w:t xml:space="preserve"> </w:t>
            </w:r>
            <w:r w:rsidR="00CC49DC">
              <w:rPr>
                <w:sz w:val="20"/>
                <w:szCs w:val="20"/>
              </w:rPr>
              <w:t xml:space="preserve">Jämförelse av </w:t>
            </w:r>
            <w:r w:rsidR="003909FA" w:rsidRPr="00960377">
              <w:rPr>
                <w:sz w:val="20"/>
                <w:szCs w:val="20"/>
              </w:rPr>
              <w:t>LFI (andel stor fisk större än 50 cm) för olika områden längs den svenska västkusten uppdelat på de olika trålunders</w:t>
            </w:r>
            <w:r w:rsidR="00635F96">
              <w:rPr>
                <w:sz w:val="20"/>
                <w:szCs w:val="20"/>
              </w:rPr>
              <w:t>ökningarna. Det gränsvärde på 0,</w:t>
            </w:r>
            <w:r w:rsidR="003909FA" w:rsidRPr="00960377">
              <w:rPr>
                <w:sz w:val="20"/>
                <w:szCs w:val="20"/>
              </w:rPr>
              <w:t>2 som används av OSPAR för Nordsjöns internationella trålundersökning IBTS är angivet som en svart streckad linje. Felstaplarna visar ett 95 % konfidensintervall baserat på s.k. bootstrapping. För att räknas som god miljöstatus (GES) ska den nedre gränsen av konfidensinterva</w:t>
            </w:r>
            <w:r w:rsidR="00F22C53">
              <w:rPr>
                <w:sz w:val="20"/>
                <w:szCs w:val="20"/>
              </w:rPr>
              <w:t>llet överstiga gränsvärdet på 0,</w:t>
            </w:r>
            <w:r>
              <w:rPr>
                <w:sz w:val="20"/>
                <w:szCs w:val="20"/>
              </w:rPr>
              <w:t>2.</w:t>
            </w:r>
          </w:p>
        </w:tc>
        <w:tc>
          <w:tcPr>
            <w:tcW w:w="7616" w:type="dxa"/>
            <w:gridSpan w:val="2"/>
          </w:tcPr>
          <w:p w14:paraId="21A155C8" w14:textId="4E11FD52" w:rsidR="003909FA" w:rsidRPr="00FD06C6" w:rsidRDefault="003909FA" w:rsidP="001A169A">
            <w:pPr>
              <w:contextualSpacing/>
            </w:pPr>
          </w:p>
        </w:tc>
      </w:tr>
      <w:tr w:rsidR="001C2668" w:rsidRPr="00FD06C6" w14:paraId="13F693C1" w14:textId="77777777" w:rsidTr="001C2668">
        <w:tc>
          <w:tcPr>
            <w:tcW w:w="10039" w:type="dxa"/>
            <w:gridSpan w:val="2"/>
          </w:tcPr>
          <w:p w14:paraId="3DE31EE3" w14:textId="421D50E5" w:rsidR="001C2668" w:rsidRPr="001C2668" w:rsidRDefault="001C2668" w:rsidP="00FB2747">
            <w:pPr>
              <w:contextualSpacing/>
              <w:rPr>
                <w:rFonts w:asciiTheme="minorHAnsi" w:hAnsiTheme="minorHAnsi"/>
                <w:sz w:val="22"/>
                <w:szCs w:val="22"/>
              </w:rPr>
            </w:pPr>
          </w:p>
        </w:tc>
        <w:tc>
          <w:tcPr>
            <w:tcW w:w="304" w:type="dxa"/>
          </w:tcPr>
          <w:p w14:paraId="4D24B312" w14:textId="77777777" w:rsidR="001C2668" w:rsidRPr="001C2668" w:rsidRDefault="001C2668" w:rsidP="001A169A">
            <w:pPr>
              <w:contextualSpacing/>
              <w:rPr>
                <w:noProof/>
              </w:rPr>
            </w:pPr>
          </w:p>
        </w:tc>
      </w:tr>
    </w:tbl>
    <w:p w14:paraId="758F2143" w14:textId="77777777" w:rsidR="004C65B7" w:rsidRDefault="004C65B7" w:rsidP="00F87DD4">
      <w:pPr>
        <w:pStyle w:val="Brdtext"/>
      </w:pPr>
    </w:p>
    <w:tbl>
      <w:tblPr>
        <w:tblStyle w:val="Tabellrutnt"/>
        <w:tblpPr w:leftFromText="141" w:rightFromText="141" w:vertAnchor="text" w:horzAnchor="page" w:tblpX="1270" w:tblpY="87"/>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9"/>
        <w:gridCol w:w="7336"/>
      </w:tblGrid>
      <w:tr w:rsidR="004C65B7" w14:paraId="0057C446" w14:textId="77777777" w:rsidTr="001A169A">
        <w:tc>
          <w:tcPr>
            <w:tcW w:w="3149" w:type="dxa"/>
          </w:tcPr>
          <w:p w14:paraId="0EFBF27E" w14:textId="45F5F60E" w:rsidR="004C65B7" w:rsidRPr="00960377" w:rsidRDefault="003909FA" w:rsidP="001A169A">
            <w:pPr>
              <w:contextualSpacing/>
              <w:rPr>
                <w:sz w:val="20"/>
                <w:szCs w:val="20"/>
              </w:rPr>
            </w:pPr>
            <w:r>
              <w:rPr>
                <w:b/>
                <w:sz w:val="20"/>
                <w:szCs w:val="20"/>
              </w:rPr>
              <w:lastRenderedPageBreak/>
              <w:t>Figur 3</w:t>
            </w:r>
            <w:r w:rsidR="004C65B7" w:rsidRPr="00960377">
              <w:rPr>
                <w:b/>
                <w:sz w:val="20"/>
                <w:szCs w:val="20"/>
              </w:rPr>
              <w:t>.</w:t>
            </w:r>
            <w:r w:rsidR="004C65B7" w:rsidRPr="00960377">
              <w:rPr>
                <w:sz w:val="20"/>
                <w:szCs w:val="20"/>
              </w:rPr>
              <w:t xml:space="preserve"> </w:t>
            </w:r>
            <w:r w:rsidR="000C3DFC">
              <w:rPr>
                <w:sz w:val="20"/>
                <w:szCs w:val="20"/>
              </w:rPr>
              <w:t>Jämförelse av a</w:t>
            </w:r>
            <w:r w:rsidR="004C65B7" w:rsidRPr="00960377">
              <w:rPr>
                <w:sz w:val="20"/>
                <w:szCs w:val="20"/>
              </w:rPr>
              <w:t xml:space="preserve">rtfördelning för fisk över 50 cm (andel av vikt) i de olika områdena som använts i bedömningen av LFI. Arterna är sorterade från den vanligaste till den ovanligaste.  </w:t>
            </w:r>
          </w:p>
          <w:p w14:paraId="729275A8" w14:textId="77777777" w:rsidR="004C65B7" w:rsidRPr="00960377" w:rsidRDefault="004C65B7" w:rsidP="001A169A">
            <w:pPr>
              <w:contextualSpacing/>
              <w:rPr>
                <w:noProof/>
              </w:rPr>
            </w:pPr>
          </w:p>
        </w:tc>
        <w:tc>
          <w:tcPr>
            <w:tcW w:w="7336" w:type="dxa"/>
          </w:tcPr>
          <w:p w14:paraId="77B89C79" w14:textId="5C9ADDD3" w:rsidR="004C65B7" w:rsidRDefault="00F614C9" w:rsidP="001A169A">
            <w:pPr>
              <w:contextualSpacing/>
            </w:pPr>
            <w:r>
              <w:rPr>
                <w:noProof/>
              </w:rPr>
              <w:drawing>
                <wp:inline distT="0" distB="0" distL="0" distR="0" wp14:anchorId="3C3CDF3D" wp14:editId="5296B565">
                  <wp:extent cx="4267200" cy="487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FISpeciesArea.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7200" cy="4876800"/>
                          </a:xfrm>
                          <a:prstGeom prst="rect">
                            <a:avLst/>
                          </a:prstGeom>
                        </pic:spPr>
                      </pic:pic>
                    </a:graphicData>
                  </a:graphic>
                </wp:inline>
              </w:drawing>
            </w:r>
          </w:p>
        </w:tc>
      </w:tr>
    </w:tbl>
    <w:p w14:paraId="42115DB6" w14:textId="77777777" w:rsidR="004C65B7" w:rsidRDefault="004C65B7" w:rsidP="00F87DD4">
      <w:pPr>
        <w:pStyle w:val="Brdtext"/>
      </w:pPr>
    </w:p>
    <w:p w14:paraId="2F44F65F" w14:textId="77777777" w:rsidR="003836C2" w:rsidRDefault="003836C2" w:rsidP="00F87DD4">
      <w:pPr>
        <w:pStyle w:val="Brdtext"/>
      </w:pPr>
    </w:p>
    <w:p w14:paraId="03AC67EB" w14:textId="77777777" w:rsidR="009E23BB" w:rsidRDefault="003836C2" w:rsidP="007C6A94">
      <w:pPr>
        <w:pStyle w:val="Brdtext"/>
      </w:pPr>
      <w:r>
        <w:rPr>
          <w:b/>
        </w:rPr>
        <w:t>2.4. Disk</w:t>
      </w:r>
      <w:r w:rsidR="00F87DD4" w:rsidRPr="004D5D59">
        <w:rPr>
          <w:b/>
        </w:rPr>
        <w:t>ussion.</w:t>
      </w:r>
      <w:r w:rsidR="00F87DD4">
        <w:t xml:space="preserve"> </w:t>
      </w:r>
    </w:p>
    <w:p w14:paraId="7DA22496" w14:textId="2F9ECF29" w:rsidR="00390007" w:rsidRPr="00522488" w:rsidRDefault="00243C2C" w:rsidP="0058316D">
      <w:pPr>
        <w:pStyle w:val="Brdtext"/>
      </w:pPr>
      <w:r>
        <w:t xml:space="preserve">Bedömningen </w:t>
      </w:r>
      <w:r w:rsidR="00FB2747">
        <w:t xml:space="preserve">visar </w:t>
      </w:r>
      <w:r>
        <w:t xml:space="preserve">att andelen stor fisk i </w:t>
      </w:r>
      <w:r w:rsidR="00FB2747">
        <w:t xml:space="preserve">Västkustens </w:t>
      </w:r>
      <w:r>
        <w:t>fjor</w:t>
      </w:r>
      <w:r w:rsidR="0057595F">
        <w:t>d</w:t>
      </w:r>
      <w:r>
        <w:t>- och skärgårdsområden är långt under gränsvärdet för god miljöstatus under bedömningsperioden 2011-</w:t>
      </w:r>
      <w:r w:rsidR="00054772">
        <w:t>20</w:t>
      </w:r>
      <w:r>
        <w:t>16.</w:t>
      </w:r>
      <w:r w:rsidR="00953555">
        <w:t xml:space="preserve"> Indikatorn LFI uppvisar inga tecken på återhämtning trots att trålgränsen flyttats ut och att fisket efter torskfiskar begränsats kraftigt i vissa fjordområden</w:t>
      </w:r>
      <w:r w:rsidR="007F0CFB">
        <w:t>.</w:t>
      </w:r>
      <w:r w:rsidR="0058316D">
        <w:t xml:space="preserve"> S</w:t>
      </w:r>
      <w:r w:rsidR="0058316D" w:rsidRPr="0058316D">
        <w:t xml:space="preserve">annolikt kommer det ta långt tid innan LFI i </w:t>
      </w:r>
      <w:r w:rsidR="00FB2747">
        <w:t>Västkustens</w:t>
      </w:r>
      <w:r w:rsidR="00FB2747" w:rsidRPr="0058316D">
        <w:t xml:space="preserve"> </w:t>
      </w:r>
      <w:r w:rsidR="0058316D" w:rsidRPr="0058316D">
        <w:t>kustvatten når upp till gränsvärdet för god miljöstatus. Många storvuxna arter som hajar och rockor har lång generationstid och låg produktivitet. Initialt kan man därför istället tänka sig att relativt snabbväxande torskfiskar som torsk, kolja och vitling med hög fekunditet, skulle kunna utgöra en stor andel av LFI i kustvattnet. Avsaknaden av lokalt bärkraftiga kustpopulationer av dessa arter gör dock att en återhämtning</w:t>
      </w:r>
      <w:r w:rsidR="004D5D59">
        <w:t xml:space="preserve"> ändå</w:t>
      </w:r>
      <w:r w:rsidR="0058316D" w:rsidRPr="0058316D">
        <w:t xml:space="preserve"> kan förväntas </w:t>
      </w:r>
      <w:r w:rsidR="0058316D" w:rsidRPr="00522488">
        <w:t>ta lång tid</w:t>
      </w:r>
      <w:r w:rsidR="006335B8" w:rsidRPr="00522488">
        <w:t xml:space="preserve"> (Bergström m.fl. 2016)</w:t>
      </w:r>
      <w:r w:rsidR="0058316D" w:rsidRPr="00522488">
        <w:t>.</w:t>
      </w:r>
    </w:p>
    <w:p w14:paraId="50629357" w14:textId="0F574FA1" w:rsidR="00390007" w:rsidRPr="0058316D" w:rsidRDefault="00390007" w:rsidP="0058316D">
      <w:pPr>
        <w:pStyle w:val="Brdtext"/>
      </w:pPr>
      <w:r w:rsidRPr="00522488">
        <w:t xml:space="preserve">Avsaknaden av stor fisk i </w:t>
      </w:r>
      <w:r w:rsidR="006C7C63" w:rsidRPr="00522488">
        <w:t>Bohusläns fjordar och kustvatten kan ha gett eff</w:t>
      </w:r>
      <w:r w:rsidR="00A1077B" w:rsidRPr="00522488">
        <w:t>ekter på andra delar av kusteko</w:t>
      </w:r>
      <w:r w:rsidR="006C7C63" w:rsidRPr="00522488">
        <w:t>sy</w:t>
      </w:r>
      <w:r w:rsidR="00A1077B" w:rsidRPr="00522488">
        <w:t>s</w:t>
      </w:r>
      <w:r w:rsidR="006C7C63" w:rsidRPr="00522488">
        <w:t>temet.</w:t>
      </w:r>
      <w:r w:rsidR="006D78B0" w:rsidRPr="00522488">
        <w:t xml:space="preserve"> </w:t>
      </w:r>
      <w:r w:rsidR="00491C63" w:rsidRPr="00522488">
        <w:t>Långtidsstudier</w:t>
      </w:r>
      <w:r w:rsidR="00481BD5" w:rsidRPr="00522488">
        <w:t xml:space="preserve"> på</w:t>
      </w:r>
      <w:r w:rsidR="00491C63" w:rsidRPr="00522488">
        <w:t xml:space="preserve"> </w:t>
      </w:r>
      <w:r w:rsidR="00481BD5" w:rsidRPr="00522488">
        <w:t xml:space="preserve">små predatorer (mesopredatorer – strandkrabbor, gobider och läppfiskar) </w:t>
      </w:r>
      <w:r w:rsidR="00F21DEC" w:rsidRPr="00522488">
        <w:t>i Bohuslän</w:t>
      </w:r>
      <w:r w:rsidR="00481BD5" w:rsidRPr="00522488">
        <w:t>s</w:t>
      </w:r>
      <w:r w:rsidR="00F21DEC" w:rsidRPr="00522488">
        <w:t xml:space="preserve"> och Halland</w:t>
      </w:r>
      <w:r w:rsidR="00481BD5" w:rsidRPr="00522488">
        <w:t>s</w:t>
      </w:r>
      <w:r w:rsidR="00F21DEC" w:rsidRPr="00522488">
        <w:t xml:space="preserve"> </w:t>
      </w:r>
      <w:r w:rsidR="00526D92" w:rsidRPr="00522488">
        <w:t>kustområden</w:t>
      </w:r>
      <w:r w:rsidR="00481BD5" w:rsidRPr="00522488">
        <w:t xml:space="preserve"> </w:t>
      </w:r>
      <w:r w:rsidR="00491C63" w:rsidRPr="00522488">
        <w:t xml:space="preserve">visar på en ökning </w:t>
      </w:r>
      <w:r w:rsidR="00F21DEC" w:rsidRPr="00522488">
        <w:t>i</w:t>
      </w:r>
      <w:r w:rsidR="00491C63" w:rsidRPr="00522488">
        <w:t xml:space="preserve"> </w:t>
      </w:r>
      <w:r w:rsidR="00D45D75" w:rsidRPr="00522488">
        <w:t>fångs</w:t>
      </w:r>
      <w:r w:rsidR="00F21DEC" w:rsidRPr="00522488">
        <w:t>t</w:t>
      </w:r>
      <w:r w:rsidR="00D45D75" w:rsidRPr="00522488">
        <w:t xml:space="preserve"> per ansträngning </w:t>
      </w:r>
      <w:r w:rsidR="00481BD5" w:rsidRPr="00522488">
        <w:t xml:space="preserve">sedan slutet av 1980-talet </w:t>
      </w:r>
      <w:r w:rsidR="00D45D75" w:rsidRPr="00522488">
        <w:t>samtidigt som</w:t>
      </w:r>
      <w:r w:rsidR="00491C63" w:rsidRPr="00522488">
        <w:t xml:space="preserve"> </w:t>
      </w:r>
      <w:r w:rsidR="00D45D75" w:rsidRPr="00522488">
        <w:t>fångs</w:t>
      </w:r>
      <w:r w:rsidR="00B11685" w:rsidRPr="00522488">
        <w:t>t</w:t>
      </w:r>
      <w:r w:rsidR="00D45D75" w:rsidRPr="00522488">
        <w:t xml:space="preserve"> per ansträngning av stor fisk</w:t>
      </w:r>
      <w:r w:rsidR="00726393" w:rsidRPr="00522488">
        <w:t xml:space="preserve"> - de som äter mesopredatorer</w:t>
      </w:r>
      <w:r w:rsidR="00A1077B" w:rsidRPr="00522488">
        <w:t xml:space="preserve"> visat</w:t>
      </w:r>
      <w:r w:rsidR="00D45D75" w:rsidRPr="00522488">
        <w:t xml:space="preserve"> </w:t>
      </w:r>
      <w:r w:rsidR="00491C63" w:rsidRPr="00522488">
        <w:t>vikande</w:t>
      </w:r>
      <w:r w:rsidR="00D45D75" w:rsidRPr="00522488">
        <w:t xml:space="preserve"> trender</w:t>
      </w:r>
      <w:r w:rsidR="00491C63" w:rsidRPr="00522488">
        <w:t xml:space="preserve"> </w:t>
      </w:r>
      <w:r w:rsidR="00D45D75" w:rsidRPr="00522488">
        <w:t>(Eriksson m fl 2011</w:t>
      </w:r>
      <w:r w:rsidR="00F21DEC" w:rsidRPr="00522488">
        <w:t>; Baden m fl 2012</w:t>
      </w:r>
      <w:r w:rsidR="00D45D75" w:rsidRPr="00522488">
        <w:t>)</w:t>
      </w:r>
      <w:r w:rsidR="00491C63" w:rsidRPr="00522488">
        <w:t>.</w:t>
      </w:r>
      <w:r w:rsidR="001A169A" w:rsidRPr="00522488">
        <w:t xml:space="preserve"> </w:t>
      </w:r>
      <w:r w:rsidR="00B11685" w:rsidRPr="00522488">
        <w:t>Parallellt</w:t>
      </w:r>
      <w:r w:rsidR="00B41AE8" w:rsidRPr="00522488">
        <w:t xml:space="preserve"> </w:t>
      </w:r>
      <w:r w:rsidR="00B11685" w:rsidRPr="00522488">
        <w:t>med</w:t>
      </w:r>
      <w:r w:rsidR="00B41AE8" w:rsidRPr="00522488">
        <w:t xml:space="preserve"> </w:t>
      </w:r>
      <w:r w:rsidR="00B11685" w:rsidRPr="00522488">
        <w:t>minskningen av</w:t>
      </w:r>
      <w:r w:rsidR="00B41AE8" w:rsidRPr="00522488">
        <w:t xml:space="preserve"> stor fisk har utbred</w:t>
      </w:r>
      <w:r w:rsidR="006F60DE" w:rsidRPr="00522488">
        <w:t>ningen av ålgräs</w:t>
      </w:r>
      <w:r w:rsidR="00481BD5" w:rsidRPr="00522488">
        <w:t>ängar</w:t>
      </w:r>
      <w:r w:rsidR="006F60DE" w:rsidRPr="00522488">
        <w:t xml:space="preserve"> i Bohusläns </w:t>
      </w:r>
      <w:r w:rsidR="006F60DE" w:rsidRPr="00522488">
        <w:lastRenderedPageBreak/>
        <w:t xml:space="preserve">fjordar och kustvatten </w:t>
      </w:r>
      <w:r w:rsidR="00B11685" w:rsidRPr="00522488">
        <w:t>minskat i</w:t>
      </w:r>
      <w:r w:rsidR="006F60DE" w:rsidRPr="00522488">
        <w:t xml:space="preserve"> utbredning sedan 1980-talet (Baden m fl 2012). </w:t>
      </w:r>
      <w:r w:rsidR="00491C63" w:rsidRPr="00522488">
        <w:t>Expe</w:t>
      </w:r>
      <w:r w:rsidR="00D45D75" w:rsidRPr="00522488">
        <w:t>rimentella studier i Skagerraks fjord och kustområden visar att</w:t>
      </w:r>
      <w:r w:rsidR="00726393" w:rsidRPr="00522488">
        <w:t xml:space="preserve"> predation från meso</w:t>
      </w:r>
      <w:r w:rsidR="006F60DE" w:rsidRPr="00522488">
        <w:t xml:space="preserve">predatorer på de kräftdjuren (stora gammarider och isopoder) som är viktiga betare på alger </w:t>
      </w:r>
      <w:r w:rsidR="001A1464" w:rsidRPr="00522488">
        <w:t xml:space="preserve">som växer på ålgräs kan öka </w:t>
      </w:r>
      <w:r w:rsidR="00B11685" w:rsidRPr="00522488">
        <w:t>på</w:t>
      </w:r>
      <w:r w:rsidR="00F21DEC" w:rsidRPr="00522488">
        <w:t xml:space="preserve">växten av alger </w:t>
      </w:r>
      <w:r w:rsidR="00F56FB3" w:rsidRPr="00522488">
        <w:t>upptill fem gånger (Moksnes m fl 2008). E</w:t>
      </w:r>
      <w:r w:rsidR="00726393" w:rsidRPr="00522488">
        <w:t xml:space="preserve">n </w:t>
      </w:r>
      <w:r w:rsidR="00481BD5" w:rsidRPr="00522488">
        <w:t xml:space="preserve">möjlig </w:t>
      </w:r>
      <w:r w:rsidR="00726393" w:rsidRPr="00522488">
        <w:t>effekt av minskningen av stor fisk i fjordar</w:t>
      </w:r>
      <w:r w:rsidR="00606CA1" w:rsidRPr="00522488">
        <w:t xml:space="preserve"> och</w:t>
      </w:r>
      <w:r w:rsidR="00726393" w:rsidRPr="00522488">
        <w:t xml:space="preserve"> kustvatten är därför </w:t>
      </w:r>
      <w:r w:rsidR="00481BD5" w:rsidRPr="00522488">
        <w:t>att betande kräftdjur har minskat</w:t>
      </w:r>
      <w:r w:rsidR="00526D92" w:rsidRPr="00522488">
        <w:t xml:space="preserve"> i antal</w:t>
      </w:r>
      <w:r w:rsidR="00481BD5" w:rsidRPr="00522488">
        <w:t xml:space="preserve"> vilket gjort att mattor av fintrådiga alger har kunnat breda ut sig vilket i sin tur haft en negativ effekt på ålgräsängar (Moksnes m fl 2008; Boström m fl 2014).</w:t>
      </w:r>
    </w:p>
    <w:p w14:paraId="199FAFB1" w14:textId="56BF8589" w:rsidR="00276C8B" w:rsidRDefault="003D7857" w:rsidP="0057595F">
      <w:pPr>
        <w:pStyle w:val="Brdtext"/>
      </w:pPr>
      <w:r>
        <w:t xml:space="preserve">I de flesta områden där LFI beräknas saknas data tillbaka i tiden </w:t>
      </w:r>
      <w:r w:rsidR="00900A52">
        <w:t>för att kunna identifiera referensvärden. Detta gör att empiriska metoder för</w:t>
      </w:r>
      <w:r w:rsidR="00E828FB">
        <w:t xml:space="preserve"> att</w:t>
      </w:r>
      <w:r w:rsidR="00900A52">
        <w:t xml:space="preserve"> bestämma mål- och gränsvärden normalt sett inte kan tillämpas på data från </w:t>
      </w:r>
      <w:r w:rsidR="007C1370">
        <w:t xml:space="preserve">de </w:t>
      </w:r>
      <w:r w:rsidR="005700BE">
        <w:t>övervaknings</w:t>
      </w:r>
      <w:r w:rsidR="00054772">
        <w:t>program som stödjer h</w:t>
      </w:r>
      <w:r w:rsidR="007C1370">
        <w:t>avsmiljödirektivet</w:t>
      </w:r>
      <w:r w:rsidR="00E828FB">
        <w:t xml:space="preserve">. För Nordsjön finns dock en äldre Skotsk provtagning som under en period överlappade i tid med nuvarande provtagningsprogram (IBTS). Ur detta material har gränsvärden för LFI kunnat skattas för Nordsjön inklusive Skagerrak och Kattegatt. </w:t>
      </w:r>
      <w:r w:rsidR="005700BE">
        <w:t>Analyser i föreliggande rapport visar att LFI för Kusttrålningens utsjöstationer i huvudsak överensstämmer med LFI från IBTS-provtagningen i Skagerrak och Kattegatt. Därför har gränsvärdet för god miljöstatus i Nordsjön även applicerats på Västerhave</w:t>
      </w:r>
      <w:r w:rsidR="00390007">
        <w:t>ts fjord- och skärgårdsområden.</w:t>
      </w:r>
    </w:p>
    <w:p w14:paraId="1E23CFB3" w14:textId="77380C6E" w:rsidR="003D7857" w:rsidRDefault="00F23571" w:rsidP="0057595F">
      <w:pPr>
        <w:pStyle w:val="Brdtext"/>
      </w:pPr>
      <w:r>
        <w:t>Modellering av fisksamhällen har visat sig vara en framkomlig väg för att erhålla mer representativa gränsvärden för områden och specifika ekosystem. Än så länge använd</w:t>
      </w:r>
      <w:r w:rsidR="00606CA1">
        <w:t>s</w:t>
      </w:r>
      <w:r>
        <w:t xml:space="preserve"> dock modellerna stiliserade fisksamhällen som inte överensstämmer med verkligheten och som därför inte kan förväntas leverera realistiska gränsvärden</w:t>
      </w:r>
      <w:r w:rsidR="00293851">
        <w:t xml:space="preserve"> (Fung m fl, 2013; Shephard m fl,</w:t>
      </w:r>
      <w:r w:rsidR="00293851" w:rsidRPr="00293851">
        <w:t xml:space="preserve"> 2013)</w:t>
      </w:r>
      <w:r>
        <w:t>.</w:t>
      </w:r>
      <w:r w:rsidR="006A032B">
        <w:t xml:space="preserve"> Arbete pågår dock med att parametrisera modeller som representerar specifika fisksamhällen i Nordsjön</w:t>
      </w:r>
      <w:r w:rsidR="00293851">
        <w:t>, som simulerar pågående övervakningsprogram, och som modellerar mer realistiska fiskemönster (Spiers m fl, 2016).</w:t>
      </w:r>
      <w:r w:rsidR="004C65B7">
        <w:t xml:space="preserve"> Under tiden bedöms gränsvärdet för Nordsjön därför ändå utgöra det mest rättvisande referensnivån för Västerhavets fjord- och skärgårdsområden.</w:t>
      </w:r>
    </w:p>
    <w:p w14:paraId="5EE3DAEB" w14:textId="64CD37E2" w:rsidR="005D2CAB" w:rsidRDefault="00054772" w:rsidP="0057595F">
      <w:pPr>
        <w:pStyle w:val="Brdtext"/>
      </w:pPr>
      <w:r>
        <w:t>G</w:t>
      </w:r>
      <w:r w:rsidR="005D2CAB">
        <w:t xml:space="preserve">ränsen för vad som betraktas som stor fisk är </w:t>
      </w:r>
      <w:r w:rsidR="00EB221F">
        <w:t xml:space="preserve">delvis godtycklig. Vissa fiskarter når aldrig denna gräns och för andra arter kommer gränsen att passeras redan under </w:t>
      </w:r>
      <w:r>
        <w:t>juvenila stadiet</w:t>
      </w:r>
      <w:r w:rsidR="00EB221F">
        <w:t xml:space="preserve">. </w:t>
      </w:r>
      <w:r w:rsidR="00D4684E">
        <w:t>De viktigaste kriterierna vid framtagande av</w:t>
      </w:r>
      <w:r w:rsidR="008B26A3">
        <w:t xml:space="preserve"> en längdgräns för stor fisk</w:t>
      </w:r>
      <w:r w:rsidR="00757867">
        <w:t xml:space="preserve"> på samhällsnivå</w:t>
      </w:r>
      <w:r w:rsidR="008B26A3">
        <w:t xml:space="preserve"> </w:t>
      </w:r>
      <w:r w:rsidR="00D4684E">
        <w:t>har</w:t>
      </w:r>
      <w:r w:rsidR="008B26A3">
        <w:t xml:space="preserve"> dock </w:t>
      </w:r>
      <w:r w:rsidR="00757867">
        <w:t>främst</w:t>
      </w:r>
      <w:r w:rsidR="00D4684E">
        <w:t xml:space="preserve"> varit</w:t>
      </w:r>
      <w:r w:rsidR="00757867">
        <w:t xml:space="preserve"> att </w:t>
      </w:r>
      <w:r w:rsidR="00B06388">
        <w:t xml:space="preserve">ta fram en indikator som svarar på förändringar i fiskeridödlighet utan att vara för känslig för </w:t>
      </w:r>
      <w:r w:rsidR="00490417">
        <w:t>fluktuationer i rekrytering hos dominerande arter.</w:t>
      </w:r>
      <w:r w:rsidR="008B26A3">
        <w:t xml:space="preserve"> </w:t>
      </w:r>
      <w:r w:rsidR="00EB221F">
        <w:t>När LFI har utvecklats i Nordostatlanten</w:t>
      </w:r>
      <w:r w:rsidR="00101389">
        <w:t xml:space="preserve"> (OSPAR</w:t>
      </w:r>
      <w:r w:rsidR="00276C8B">
        <w:t>-</w:t>
      </w:r>
      <w:r w:rsidR="00101389">
        <w:t>området)</w:t>
      </w:r>
      <w:r w:rsidR="00EB221F">
        <w:t xml:space="preserve"> har vanligen ett 5:e gradens polynom anpassats till </w:t>
      </w:r>
      <w:r w:rsidR="002A7375">
        <w:t>ett antal LFI-tidsserier med olika längdgräns som definierar stor fisk</w:t>
      </w:r>
      <w:r w:rsidR="00A24B08">
        <w:t xml:space="preserve"> (</w:t>
      </w:r>
      <w:r w:rsidR="00A24B08" w:rsidRPr="00A24B08">
        <w:t xml:space="preserve">Greenstreet </w:t>
      </w:r>
      <w:r w:rsidR="000034E3">
        <w:t>m fl</w:t>
      </w:r>
      <w:r w:rsidR="00A24B08" w:rsidRPr="00A24B08">
        <w:t xml:space="preserve">, 2011; Shephard </w:t>
      </w:r>
      <w:r w:rsidR="000034E3">
        <w:t>m fl</w:t>
      </w:r>
      <w:r w:rsidR="00A24B08" w:rsidRPr="00A24B08">
        <w:t xml:space="preserve">, 2011; Modica </w:t>
      </w:r>
      <w:r w:rsidR="000034E3">
        <w:t>m fl</w:t>
      </w:r>
      <w:r w:rsidR="00A24B08" w:rsidRPr="00A24B08">
        <w:t>, 2014</w:t>
      </w:r>
      <w:r w:rsidR="00A24B08">
        <w:t>)</w:t>
      </w:r>
      <w:r w:rsidR="002A7375">
        <w:t xml:space="preserve">. Den längdgräns som visat sig ge högst kvot mellan signal och brus (dvs. bäst kurvanpassning) har sedan tillämpats. </w:t>
      </w:r>
      <w:r w:rsidR="00AD48E9">
        <w:t>I flera fall har denna metod dock inte visat sig ge önskat resultat</w:t>
      </w:r>
      <w:r w:rsidR="00071C11">
        <w:t>,</w:t>
      </w:r>
      <w:r w:rsidR="00AD48E9">
        <w:t xml:space="preserve"> eftersom </w:t>
      </w:r>
      <w:r w:rsidR="00101389">
        <w:t>en stor del av signalen släckts ut tillsammans med bruset</w:t>
      </w:r>
      <w:r w:rsidR="00071C11">
        <w:t xml:space="preserve"> vid den valda längdgränsen. </w:t>
      </w:r>
      <w:r w:rsidR="00461334">
        <w:t xml:space="preserve">En annan längdgräns med tydligare </w:t>
      </w:r>
      <w:r w:rsidR="00071C11">
        <w:t>signal</w:t>
      </w:r>
      <w:r w:rsidR="00461334">
        <w:t xml:space="preserve"> har då valts.</w:t>
      </w:r>
      <w:r w:rsidR="004C65B7">
        <w:t xml:space="preserve"> För Nordsjön har längdgränsen för stor fisk först ökat från 30 till 40 cm, för att nu ha justerats upp till 50 cm i pågående OSPAR-bedömning</w:t>
      </w:r>
      <w:r w:rsidR="00D4684E">
        <w:t xml:space="preserve"> (OSPAR Intermediate Assessment</w:t>
      </w:r>
      <w:r>
        <w:t xml:space="preserve"> 20</w:t>
      </w:r>
      <w:r w:rsidR="005A7979">
        <w:t>17)</w:t>
      </w:r>
      <w:r w:rsidR="004C65B7">
        <w:t xml:space="preserve">. </w:t>
      </w:r>
      <w:r w:rsidR="003909FA">
        <w:t>I beräkningen av LFI för Västerhavets fjord- och skärgårdsområden tillämpas därför 50 cm som längdgräns. Analysen av ingående arter visar då att det främst är pigghaj och torsk som bidrar till kustens stora fiskar</w:t>
      </w:r>
      <w:r w:rsidR="0054286E">
        <w:t xml:space="preserve"> i indikatorn</w:t>
      </w:r>
      <w:r w:rsidR="00D4684E">
        <w:t xml:space="preserve"> (Figur 3)</w:t>
      </w:r>
      <w:r w:rsidR="0054286E">
        <w:t xml:space="preserve">. Dessa båda arter har varit karaktärsarter av betydelse för kustens ekosystem och har varit utsatta för ett </w:t>
      </w:r>
      <w:r w:rsidR="00585FEE">
        <w:t>betydande</w:t>
      </w:r>
      <w:r w:rsidR="0054286E">
        <w:t xml:space="preserve"> fiske historiskt. Därför förväntas längdgränsen 50 cm ge ett relevant relativt mått på andelen stor fisk i Västerhavets fjord- och skärgårdsområden.</w:t>
      </w:r>
    </w:p>
    <w:p w14:paraId="665261DB" w14:textId="0D8B2796" w:rsidR="00585FEE" w:rsidRPr="006F3C77" w:rsidRDefault="00D858C2" w:rsidP="0057595F">
      <w:pPr>
        <w:pStyle w:val="Brdtext"/>
      </w:pPr>
      <w:r>
        <w:lastRenderedPageBreak/>
        <w:t xml:space="preserve">Effekter </w:t>
      </w:r>
      <w:r w:rsidR="00585FEE">
        <w:t>av klimatförändringar på indikatorn LFI</w:t>
      </w:r>
      <w:r>
        <w:t xml:space="preserve"> kan komma att påverka återhämtningen och framtida tröskelvärden för ett hållbart nyttjande av fiskeresursen.</w:t>
      </w:r>
      <w:r w:rsidR="003D5053">
        <w:t xml:space="preserve"> Hos många organismer är tillväxten lägre vid lägre temperaturer, men en större maxstorlek uppnås. Bergmanns regel beskriver sambandet mellan temperatur och kropps</w:t>
      </w:r>
      <w:r w:rsidR="008455AA">
        <w:t xml:space="preserve">storlek, </w:t>
      </w:r>
      <w:r w:rsidR="003D5053">
        <w:t>som ger upphov till en gradient i ökande kroppsstorlek med ökande latitud</w:t>
      </w:r>
      <w:r w:rsidR="008455AA">
        <w:t xml:space="preserve">. </w:t>
      </w:r>
      <w:r w:rsidR="006F3C77">
        <w:t>Fysiologisk</w:t>
      </w:r>
      <w:r w:rsidR="00A61316">
        <w:t>t</w:t>
      </w:r>
      <w:r w:rsidR="006F3C77">
        <w:t xml:space="preserve"> kan kroppsstorleken också knytas till temperaturen (</w:t>
      </w:r>
      <w:r w:rsidR="006F3C77" w:rsidRPr="006F3C77">
        <w:t xml:space="preserve">Angilletta </w:t>
      </w:r>
      <w:r w:rsidR="006F3C77">
        <w:t>och</w:t>
      </w:r>
      <w:r w:rsidR="006F3C77" w:rsidRPr="006F3C77">
        <w:t xml:space="preserve"> Dunham, 2003</w:t>
      </w:r>
      <w:r w:rsidR="006F3C77">
        <w:t xml:space="preserve">). Den ökande temperaturen i Nordsjön under senare tid har lett till en ökad mångfald av fisk genom att nya sydliga arter börjat uppträda i området </w:t>
      </w:r>
      <w:r w:rsidR="006F3C77" w:rsidRPr="006F3C77">
        <w:t xml:space="preserve">(Hiddink </w:t>
      </w:r>
      <w:r w:rsidR="006F3C77">
        <w:t>och</w:t>
      </w:r>
      <w:r w:rsidR="006F3C77" w:rsidRPr="006F3C77">
        <w:t xml:space="preserve"> ter Ho</w:t>
      </w:r>
      <w:r w:rsidR="006F3C77">
        <w:t>fstede, 2008; ter Hofstede m fl., 2010; Simpson m fl</w:t>
      </w:r>
      <w:r w:rsidR="006F3C77" w:rsidRPr="006F3C77">
        <w:t>., 2011)</w:t>
      </w:r>
      <w:r w:rsidR="006F3C77">
        <w:t>. Relaterat till Bergmanns regel är dessa fiskarter generellt sett mer småvuxna än kallvattenarterna</w:t>
      </w:r>
      <w:r w:rsidR="006275DF">
        <w:t xml:space="preserve"> (ex. torsk och lyrtorsk)</w:t>
      </w:r>
      <w:r w:rsidR="006F3C77">
        <w:t xml:space="preserve"> i systemet (Genner m fl., 2004; Genner m fl</w:t>
      </w:r>
      <w:r w:rsidR="006F3C77" w:rsidRPr="006F3C77">
        <w:t>., 2010)</w:t>
      </w:r>
      <w:r w:rsidR="006F3C77">
        <w:t xml:space="preserve">. Flera av de viktiga arterna för LFI såsom torsk och gråsej räknas dessutom som boreala arter och deras utbredning kan förväntas förskjutas längre norrut med ökande </w:t>
      </w:r>
      <w:r w:rsidR="00852EEC">
        <w:t>vatten</w:t>
      </w:r>
      <w:r w:rsidR="006F3C77">
        <w:t>temperaturer. Baserat på dessa iakttagelser är det därför möjligt att tröskelvärdet för LFI kan behöva justeras nedåt i framtiden.</w:t>
      </w:r>
    </w:p>
    <w:p w14:paraId="0180EB66" w14:textId="7AD04680" w:rsidR="0057595F" w:rsidRDefault="0057595F" w:rsidP="0057595F">
      <w:pPr>
        <w:pStyle w:val="Brdtext"/>
      </w:pPr>
      <w:r>
        <w:t xml:space="preserve">I de studier som undersökt sambandet mellan fiskeridödlighet och andelen stor fisk </w:t>
      </w:r>
      <w:r w:rsidR="00852EEC">
        <w:t>(</w:t>
      </w:r>
      <w:r>
        <w:t>LFI</w:t>
      </w:r>
      <w:r w:rsidR="00852EEC">
        <w:t>)</w:t>
      </w:r>
      <w:r>
        <w:t xml:space="preserve"> har fiskeridödligheten på samhällsnivå beräknats som ett</w:t>
      </w:r>
      <w:r w:rsidR="002D4C6A">
        <w:t xml:space="preserve"> viktat</w:t>
      </w:r>
      <w:r>
        <w:t xml:space="preserve"> medelvärde av fiskeridödligheten för de mer betydelsefulla kommersiell</w:t>
      </w:r>
      <w:r w:rsidR="00852EEC">
        <w:t>t</w:t>
      </w:r>
      <w:r>
        <w:t xml:space="preserve"> </w:t>
      </w:r>
      <w:r w:rsidR="00852EEC">
        <w:t xml:space="preserve">nyttjade </w:t>
      </w:r>
      <w:r>
        <w:t xml:space="preserve">arterna där </w:t>
      </w:r>
      <w:r w:rsidR="002D4C6A">
        <w:t>tillförlitliga data</w:t>
      </w:r>
      <w:r>
        <w:t xml:space="preserve"> finns</w:t>
      </w:r>
      <w:r w:rsidR="002D4C6A">
        <w:t>. Bara någon enstaka studie har försökt att skatta fiskeridödligheten för icke-kommersiell</w:t>
      </w:r>
      <w:r w:rsidR="00852EEC">
        <w:t>t nyttjade</w:t>
      </w:r>
      <w:r w:rsidR="002D4C6A">
        <w:t xml:space="preserve"> arter (Piet m fl 2009)</w:t>
      </w:r>
      <w:r w:rsidR="009B28AC">
        <w:t>, vilket skulle möjliggöra en bättre skattning av dödligheten på samhällsnivå. Med den typen av information skulle det finnas bättre förutsättningar att detaljstudera hur fisket påverkar indikatorn LFI.</w:t>
      </w:r>
    </w:p>
    <w:p w14:paraId="49D35D8E" w14:textId="77777777" w:rsidR="006F3C77" w:rsidRPr="003D7857" w:rsidRDefault="006F3C77" w:rsidP="0057595F">
      <w:pPr>
        <w:pStyle w:val="Brdtext"/>
      </w:pPr>
    </w:p>
    <w:p w14:paraId="4CB8DE96" w14:textId="77777777" w:rsidR="00744D37" w:rsidRPr="0061488F" w:rsidRDefault="00744D37" w:rsidP="007C6A94">
      <w:pPr>
        <w:pStyle w:val="Brdtext"/>
        <w:rPr>
          <w:b/>
        </w:rPr>
      </w:pPr>
      <w:r w:rsidRPr="0061488F">
        <w:rPr>
          <w:b/>
        </w:rPr>
        <w:t>2.5. Referenser</w:t>
      </w:r>
    </w:p>
    <w:p w14:paraId="6B40092A" w14:textId="44144EAA" w:rsidR="00845155" w:rsidRDefault="00845155" w:rsidP="003836C2">
      <w:pPr>
        <w:pStyle w:val="Brdtext"/>
        <w:rPr>
          <w:rFonts w:asciiTheme="minorHAnsi" w:hAnsiTheme="minorHAnsi"/>
          <w:lang w:val="en-GB"/>
        </w:rPr>
      </w:pPr>
      <w:r w:rsidRPr="00845155">
        <w:rPr>
          <w:rFonts w:asciiTheme="minorHAnsi" w:hAnsiTheme="minorHAnsi"/>
        </w:rPr>
        <w:t xml:space="preserve">Angilletta M.J. Jr., Dunham, A.E. 2003. </w:t>
      </w:r>
      <w:r w:rsidRPr="00D858C2">
        <w:rPr>
          <w:rFonts w:asciiTheme="minorHAnsi" w:hAnsiTheme="minorHAnsi"/>
          <w:lang w:val="en-GB"/>
        </w:rPr>
        <w:t>The temperature-size rule in ectotherms: simple evolutionary explanations may not be general. American Naturalist, 162</w:t>
      </w:r>
      <w:r w:rsidR="004B4E7B">
        <w:rPr>
          <w:rFonts w:asciiTheme="minorHAnsi" w:hAnsiTheme="minorHAnsi"/>
          <w:lang w:val="en-GB"/>
        </w:rPr>
        <w:t>:</w:t>
      </w:r>
      <w:r w:rsidRPr="00D858C2">
        <w:rPr>
          <w:rFonts w:asciiTheme="minorHAnsi" w:hAnsiTheme="minorHAnsi"/>
          <w:lang w:val="en-GB"/>
        </w:rPr>
        <w:t xml:space="preserve"> 332-342.</w:t>
      </w:r>
    </w:p>
    <w:p w14:paraId="0ADFCF40" w14:textId="0ADF5812" w:rsidR="001A169A" w:rsidRPr="007D1394" w:rsidRDefault="001A169A" w:rsidP="003836C2">
      <w:pPr>
        <w:pStyle w:val="Brdtext"/>
        <w:rPr>
          <w:rFonts w:asciiTheme="minorHAnsi" w:hAnsiTheme="minorHAnsi"/>
          <w:lang w:val="en-US"/>
        </w:rPr>
      </w:pPr>
      <w:r w:rsidRPr="00F614C9">
        <w:rPr>
          <w:rFonts w:asciiTheme="minorHAnsi" w:hAnsiTheme="minorHAnsi"/>
          <w:lang w:val="en-US"/>
        </w:rPr>
        <w:t>Ba</w:t>
      </w:r>
      <w:r w:rsidR="007D1394" w:rsidRPr="00F614C9">
        <w:rPr>
          <w:rFonts w:asciiTheme="minorHAnsi" w:hAnsiTheme="minorHAnsi"/>
          <w:lang w:val="en-US"/>
        </w:rPr>
        <w:t xml:space="preserve">den, S., Emanuelsson, A., Phil, L., Svensson, C-L., Åberg, P. 2012. </w:t>
      </w:r>
      <w:r w:rsidR="007D1394" w:rsidRPr="007D1394">
        <w:rPr>
          <w:rFonts w:asciiTheme="minorHAnsi" w:hAnsiTheme="minorHAnsi"/>
          <w:lang w:val="en-US"/>
        </w:rPr>
        <w:t xml:space="preserve">Shifts in seagrass food web structure over decades is linked to overfishing. </w:t>
      </w:r>
      <w:r w:rsidR="007D1394">
        <w:rPr>
          <w:rFonts w:asciiTheme="minorHAnsi" w:hAnsiTheme="minorHAnsi"/>
          <w:lang w:val="en-US"/>
        </w:rPr>
        <w:t>Marine Ecology Progress Series, 451: 61-73.</w:t>
      </w:r>
    </w:p>
    <w:p w14:paraId="12AC86F3" w14:textId="77777777" w:rsidR="003836C2" w:rsidRDefault="003836C2" w:rsidP="003836C2">
      <w:pPr>
        <w:pStyle w:val="Brdtext"/>
        <w:rPr>
          <w:rFonts w:asciiTheme="minorHAnsi" w:hAnsiTheme="minorHAnsi"/>
          <w:lang w:val="en-US"/>
        </w:rPr>
      </w:pPr>
      <w:r w:rsidRPr="003836C2">
        <w:rPr>
          <w:rFonts w:asciiTheme="minorHAnsi" w:hAnsiTheme="minorHAnsi"/>
          <w:lang w:val="en-US"/>
        </w:rPr>
        <w:t>Bartolino, V., Cardinale, M., Svedäng, H., Linderholm, H. W., Casinin, M. &amp; Grimwall, A. 2012. Historical spatiotemporal dynamics of eastern cod. Canadian Journal of Fisheries and Aquatic Science, 69: 833-841.</w:t>
      </w:r>
    </w:p>
    <w:p w14:paraId="7FC1C0F6" w14:textId="77777777" w:rsidR="00B46C78" w:rsidRPr="000D7ADC" w:rsidRDefault="00B46C78" w:rsidP="003836C2">
      <w:pPr>
        <w:pStyle w:val="Brdtext"/>
        <w:rPr>
          <w:rFonts w:asciiTheme="minorHAnsi" w:hAnsiTheme="minorHAnsi"/>
        </w:rPr>
      </w:pPr>
      <w:r w:rsidRPr="00F614C9">
        <w:t xml:space="preserve">Bergström U. Sköld M. Wennhage H. &amp; Wikström A. (2016). </w:t>
      </w:r>
      <w:r>
        <w:t>Ekologiska effekter av fiskefria områden i Sveriges kust- och havsområden. Aqua reports 2016:20. Institutionen för akvatiska resurser, Sveriges lantbruksuniversitet, Öregrund. 207 s.</w:t>
      </w:r>
    </w:p>
    <w:p w14:paraId="47148F68" w14:textId="77777777" w:rsidR="003836C2" w:rsidRPr="003836C2" w:rsidRDefault="003836C2" w:rsidP="003836C2">
      <w:pPr>
        <w:pStyle w:val="Brdtext"/>
        <w:rPr>
          <w:rFonts w:asciiTheme="minorHAnsi" w:hAnsiTheme="minorHAnsi"/>
          <w:lang w:val="en-US"/>
        </w:rPr>
      </w:pPr>
      <w:r w:rsidRPr="000D7ADC">
        <w:rPr>
          <w:rFonts w:asciiTheme="minorHAnsi" w:hAnsiTheme="minorHAnsi"/>
        </w:rPr>
        <w:t xml:space="preserve">Berkeley, S. A., Chapman, C. &amp; Sogard, S. M. 2004. </w:t>
      </w:r>
      <w:r w:rsidRPr="003836C2">
        <w:rPr>
          <w:rFonts w:asciiTheme="minorHAnsi" w:hAnsiTheme="minorHAnsi"/>
          <w:lang w:val="en-US"/>
        </w:rPr>
        <w:t>Maternal age as a determinant of larval growth and survival in a marine fish, Sebastes melanops. Ecology, 85: 1258-1264.</w:t>
      </w:r>
    </w:p>
    <w:p w14:paraId="7ACE744D" w14:textId="77777777" w:rsidR="003836C2" w:rsidRDefault="003836C2" w:rsidP="003836C2">
      <w:pPr>
        <w:pStyle w:val="Brdtext"/>
        <w:rPr>
          <w:rFonts w:asciiTheme="minorHAnsi" w:hAnsiTheme="minorHAnsi"/>
          <w:lang w:val="en-US"/>
        </w:rPr>
      </w:pPr>
      <w:r w:rsidRPr="003836C2">
        <w:rPr>
          <w:rFonts w:asciiTheme="minorHAnsi" w:hAnsiTheme="minorHAnsi"/>
          <w:lang w:val="en-US"/>
        </w:rPr>
        <w:t xml:space="preserve">Bianchi, G., Gisason, H., Graham, K., Hill, L., Jin, X., Koranteng, K. Manickchand-Heileman, S., Payá, I., Sainsbury, K., Sanchez, F. &amp; Zwanenburg, K. 2000. Impact of fishing on size composition and diversity of demersal fish communities. </w:t>
      </w:r>
      <w:r w:rsidRPr="00C466B0">
        <w:rPr>
          <w:rFonts w:asciiTheme="minorHAnsi" w:hAnsiTheme="minorHAnsi"/>
          <w:lang w:val="en-US"/>
        </w:rPr>
        <w:t>ICES Journal of Marine Science, 57: 558-571.</w:t>
      </w:r>
    </w:p>
    <w:p w14:paraId="18744439" w14:textId="2E175393" w:rsidR="005F067F" w:rsidRPr="005F067F" w:rsidRDefault="005F067F" w:rsidP="003836C2">
      <w:pPr>
        <w:pStyle w:val="Brdtext"/>
        <w:rPr>
          <w:rFonts w:asciiTheme="minorHAnsi" w:hAnsiTheme="minorHAnsi"/>
          <w:lang w:val="en-US"/>
        </w:rPr>
      </w:pPr>
      <w:r w:rsidRPr="00F614C9">
        <w:rPr>
          <w:rFonts w:asciiTheme="minorHAnsi" w:hAnsiTheme="minorHAnsi"/>
          <w:lang w:val="en-US"/>
        </w:rPr>
        <w:t xml:space="preserve">Boström, C., Baden, S., Bockelmann, A-C., Dromph, K., Fredriksen, S., Gustavsson, C., Krause-Jensen, D., Möller, T., Laurentius Nielsen, S., Olesen, B., Olsen, J., Phil, L., Rinde, E. 2014. </w:t>
      </w:r>
      <w:r w:rsidRPr="005F067F">
        <w:rPr>
          <w:rFonts w:asciiTheme="minorHAnsi" w:hAnsiTheme="minorHAnsi"/>
          <w:lang w:val="en-US"/>
        </w:rPr>
        <w:t>Distribution structure and function of Nordic eelgrass (</w:t>
      </w:r>
      <w:r w:rsidRPr="005F067F">
        <w:rPr>
          <w:rFonts w:asciiTheme="minorHAnsi" w:hAnsiTheme="minorHAnsi"/>
          <w:i/>
          <w:lang w:val="en-US"/>
        </w:rPr>
        <w:t>Zostera marina</w:t>
      </w:r>
      <w:r w:rsidRPr="005F067F">
        <w:rPr>
          <w:rFonts w:asciiTheme="minorHAnsi" w:hAnsiTheme="minorHAnsi"/>
          <w:lang w:val="en-US"/>
        </w:rPr>
        <w:t xml:space="preserve">) ecosystems: </w:t>
      </w:r>
      <w:r w:rsidRPr="005F067F">
        <w:rPr>
          <w:rFonts w:asciiTheme="minorHAnsi" w:hAnsiTheme="minorHAnsi"/>
          <w:lang w:val="en-US"/>
        </w:rPr>
        <w:lastRenderedPageBreak/>
        <w:t xml:space="preserve">implications for coastal management and conservation. </w:t>
      </w:r>
      <w:r w:rsidR="00B11D0A">
        <w:rPr>
          <w:rFonts w:asciiTheme="minorHAnsi" w:hAnsiTheme="minorHAnsi"/>
          <w:lang w:val="en-US"/>
        </w:rPr>
        <w:t>Aquatic Conservation: Aquatic and Freshwater Ecosystems, 24: 410-434.</w:t>
      </w:r>
    </w:p>
    <w:p w14:paraId="5D50A0E9" w14:textId="77777777" w:rsidR="003836C2" w:rsidRDefault="003836C2" w:rsidP="003836C2">
      <w:pPr>
        <w:pStyle w:val="Brdtext"/>
        <w:rPr>
          <w:rFonts w:asciiTheme="minorHAnsi" w:hAnsiTheme="minorHAnsi"/>
          <w:lang w:val="en-US"/>
        </w:rPr>
      </w:pPr>
      <w:r w:rsidRPr="003836C2">
        <w:rPr>
          <w:rFonts w:asciiTheme="minorHAnsi" w:hAnsiTheme="minorHAnsi"/>
          <w:lang w:val="en-US"/>
        </w:rPr>
        <w:t>Cardinale, M. &amp; Arrhenius, F. 2000. The influence of stock structure and environmental conditions on the recruitment process of Baltic cod estimated using a generalized additive model. Canadian Journal of Fisheries and Aquatic Science, 57: 2402-2409.</w:t>
      </w:r>
    </w:p>
    <w:p w14:paraId="563945D0" w14:textId="7E1B813B" w:rsidR="00FC757E" w:rsidRDefault="00FC757E" w:rsidP="003836C2">
      <w:pPr>
        <w:pStyle w:val="Brdtext"/>
        <w:rPr>
          <w:rFonts w:asciiTheme="minorHAnsi" w:hAnsiTheme="minorHAnsi"/>
          <w:lang w:val="en-US"/>
        </w:rPr>
      </w:pPr>
      <w:r>
        <w:rPr>
          <w:rFonts w:asciiTheme="minorHAnsi" w:hAnsiTheme="minorHAnsi"/>
          <w:lang w:val="en-US"/>
        </w:rPr>
        <w:t>Cardinale, M., Linder, M., Bartolino, V., Maiorano, L., Casini, M. 2009. Conservation value of historical data: reconstructing stock dynamics of turbot during the last century in the Kattegat-Skagerrak. Marine Ecology Progress Series, 386: 197-206.</w:t>
      </w:r>
    </w:p>
    <w:p w14:paraId="13BF9DD3" w14:textId="1CE7A8E4" w:rsidR="008215F5" w:rsidRPr="008215F5" w:rsidRDefault="008215F5" w:rsidP="003836C2">
      <w:pPr>
        <w:pStyle w:val="Brdtext"/>
        <w:rPr>
          <w:rFonts w:asciiTheme="minorHAnsi" w:hAnsiTheme="minorHAnsi"/>
          <w:lang w:val="en-US"/>
        </w:rPr>
      </w:pPr>
      <w:r w:rsidRPr="00B03FF0">
        <w:rPr>
          <w:rFonts w:asciiTheme="minorHAnsi" w:hAnsiTheme="minorHAnsi"/>
          <w:lang w:val="en-US"/>
        </w:rPr>
        <w:t xml:space="preserve">Cardinale, M., Hagberg, J., Svedäng, H., Bartolino, V., Gedamke, T., Hjelm, J., Börjesson, P., Norén, F. 2010. </w:t>
      </w:r>
      <w:r w:rsidRPr="008215F5">
        <w:rPr>
          <w:rFonts w:asciiTheme="minorHAnsi" w:hAnsiTheme="minorHAnsi"/>
          <w:lang w:val="en-US"/>
        </w:rPr>
        <w:t>Fishing through time: population dynamics of plaice (</w:t>
      </w:r>
      <w:r w:rsidRPr="008215F5">
        <w:rPr>
          <w:rFonts w:asciiTheme="minorHAnsi" w:hAnsiTheme="minorHAnsi"/>
          <w:i/>
          <w:lang w:val="en-US"/>
        </w:rPr>
        <w:t>Pleuronectes platessa</w:t>
      </w:r>
      <w:r w:rsidRPr="008215F5">
        <w:rPr>
          <w:rFonts w:asciiTheme="minorHAnsi" w:hAnsiTheme="minorHAnsi"/>
          <w:lang w:val="en-US"/>
        </w:rPr>
        <w:t>) in the Kattegat-Skagerrak over a century.</w:t>
      </w:r>
      <w:r>
        <w:rPr>
          <w:rFonts w:asciiTheme="minorHAnsi" w:hAnsiTheme="minorHAnsi"/>
          <w:lang w:val="en-US"/>
        </w:rPr>
        <w:t xml:space="preserve"> Population Ecology, 52: 251-262.</w:t>
      </w:r>
    </w:p>
    <w:p w14:paraId="7939FD0F" w14:textId="77777777" w:rsidR="003836C2" w:rsidRPr="003836C2" w:rsidRDefault="003836C2" w:rsidP="003836C2">
      <w:pPr>
        <w:pStyle w:val="Brdtext"/>
        <w:rPr>
          <w:rFonts w:asciiTheme="minorHAnsi" w:hAnsiTheme="minorHAnsi"/>
          <w:lang w:val="en-US"/>
        </w:rPr>
      </w:pPr>
      <w:r w:rsidRPr="003836C2">
        <w:rPr>
          <w:rFonts w:asciiTheme="minorHAnsi" w:hAnsiTheme="minorHAnsi"/>
          <w:lang w:val="en-US"/>
        </w:rPr>
        <w:t>Cardinale, M., Svedäng, H., Bartolino, V., Maiorano, L., Casini, M. &amp; Linderholm, H. 2012. Spatial and temporal depletion of haddock and Pollack during the last century in the Kattegat-Skagerrak. Journal of Applied Ichthyology, 28: 200-208.</w:t>
      </w:r>
    </w:p>
    <w:p w14:paraId="40AE104D" w14:textId="4DA3D056" w:rsidR="003836C2" w:rsidRPr="003836C2" w:rsidRDefault="003836C2" w:rsidP="003836C2">
      <w:pPr>
        <w:pStyle w:val="Brdtext"/>
        <w:rPr>
          <w:rFonts w:asciiTheme="minorHAnsi" w:hAnsiTheme="minorHAnsi"/>
          <w:lang w:val="en-US"/>
        </w:rPr>
      </w:pPr>
      <w:r w:rsidRPr="0091166B">
        <w:rPr>
          <w:rFonts w:asciiTheme="minorHAnsi" w:hAnsiTheme="minorHAnsi"/>
          <w:lang w:val="en-US"/>
        </w:rPr>
        <w:t xml:space="preserve">Cardinale, M., Dörner, H., Abella, A., Andersen, J., Casey, J.M., Döring, R., Kirkegaard, E., Motova, A., Anderson, J., Simmonds, E.J., Stransky, C., 2013. </w:t>
      </w:r>
      <w:r w:rsidRPr="003836C2">
        <w:rPr>
          <w:rFonts w:asciiTheme="minorHAnsi" w:hAnsiTheme="minorHAnsi"/>
          <w:lang w:val="en-US"/>
        </w:rPr>
        <w:t>Rebuilding EU fish stocks and fisheries, a process under way? Mar. Policy 39</w:t>
      </w:r>
      <w:r w:rsidR="004B4E7B">
        <w:rPr>
          <w:rFonts w:asciiTheme="minorHAnsi" w:hAnsiTheme="minorHAnsi"/>
          <w:lang w:val="en-US"/>
        </w:rPr>
        <w:t>:</w:t>
      </w:r>
      <w:r w:rsidRPr="003836C2">
        <w:rPr>
          <w:rFonts w:asciiTheme="minorHAnsi" w:hAnsiTheme="minorHAnsi"/>
          <w:lang w:val="en-US"/>
        </w:rPr>
        <w:t xml:space="preserve"> 43–52.</w:t>
      </w:r>
    </w:p>
    <w:p w14:paraId="6A78EDA1" w14:textId="10AAFE05" w:rsidR="00CF57F2" w:rsidRDefault="003836C2" w:rsidP="003836C2">
      <w:pPr>
        <w:pStyle w:val="Brdtext"/>
        <w:rPr>
          <w:rFonts w:asciiTheme="minorHAnsi" w:hAnsiTheme="minorHAnsi"/>
          <w:lang w:val="en-US"/>
        </w:rPr>
      </w:pPr>
      <w:r w:rsidRPr="003836C2">
        <w:rPr>
          <w:rFonts w:asciiTheme="minorHAnsi" w:hAnsiTheme="minorHAnsi"/>
          <w:lang w:val="en-US"/>
        </w:rPr>
        <w:t>Cardinale, M., Bartolino, V., Svedäng, H., Sunderlöf, A., Poulsen, R. T. &amp; Casini, M. 2015. A centurial development on the North Sea megafauna as reflected by the historical Swedish longlining fisheries. Fish and Fisheries, 16: 522-533.</w:t>
      </w:r>
    </w:p>
    <w:p w14:paraId="3C4132A6" w14:textId="5940E846" w:rsidR="00CF57F2" w:rsidRDefault="00CF57F2" w:rsidP="003836C2">
      <w:pPr>
        <w:pStyle w:val="Brdtext"/>
        <w:rPr>
          <w:rFonts w:asciiTheme="minorHAnsi" w:hAnsiTheme="minorHAnsi"/>
          <w:lang w:val="en-US"/>
        </w:rPr>
      </w:pPr>
      <w:r w:rsidRPr="00E16EBC">
        <w:rPr>
          <w:rFonts w:asciiTheme="minorHAnsi" w:hAnsiTheme="minorHAnsi"/>
          <w:lang w:val="en-US"/>
        </w:rPr>
        <w:t>Daskalov, G. M., Grishin, A. N., Rodionov, S., Mihneva, V. 2007. Trophic cascades triggered by overfishing reveal possible mecha</w:t>
      </w:r>
      <w:r w:rsidR="00E16EBC">
        <w:rPr>
          <w:rFonts w:asciiTheme="minorHAnsi" w:hAnsiTheme="minorHAnsi"/>
          <w:lang w:val="en-US"/>
        </w:rPr>
        <w:t>nisms of ecosystem regime shifts. Proccedings of the National Academy of Sciences, 104: 10518-10523.</w:t>
      </w:r>
    </w:p>
    <w:p w14:paraId="084E99DC" w14:textId="124C77BE" w:rsidR="00D45D75" w:rsidRPr="00D45D75" w:rsidRDefault="00D45D75" w:rsidP="003836C2">
      <w:pPr>
        <w:pStyle w:val="Brdtext"/>
        <w:rPr>
          <w:rFonts w:asciiTheme="minorHAnsi" w:hAnsiTheme="minorHAnsi"/>
          <w:lang w:val="en-US"/>
        </w:rPr>
      </w:pPr>
      <w:r w:rsidRPr="00F21DEC">
        <w:rPr>
          <w:rFonts w:asciiTheme="minorHAnsi" w:hAnsiTheme="minorHAnsi"/>
          <w:lang w:val="en-US"/>
        </w:rPr>
        <w:t xml:space="preserve">Eriksson, B. K., Sieben, K., Eklöf, J., Ljunggren, L., Olsson, J., Casini, M., Bergström, U. 2011. </w:t>
      </w:r>
      <w:r w:rsidRPr="00D45D75">
        <w:rPr>
          <w:rFonts w:asciiTheme="minorHAnsi" w:hAnsiTheme="minorHAnsi"/>
          <w:lang w:val="en-US"/>
        </w:rPr>
        <w:t xml:space="preserve">Effects of altered offshore food webs on coastal ecosystems emphasize the need for cross-ecosystem management. </w:t>
      </w:r>
      <w:r>
        <w:rPr>
          <w:rFonts w:asciiTheme="minorHAnsi" w:hAnsiTheme="minorHAnsi"/>
          <w:lang w:val="en-US"/>
        </w:rPr>
        <w:t>AMBIO, 40: 786-797.</w:t>
      </w:r>
    </w:p>
    <w:p w14:paraId="4AD01445" w14:textId="77777777" w:rsidR="003836C2" w:rsidRDefault="003836C2" w:rsidP="003836C2">
      <w:pPr>
        <w:pStyle w:val="Brdtext"/>
        <w:rPr>
          <w:rFonts w:asciiTheme="minorHAnsi" w:hAnsiTheme="minorHAnsi"/>
          <w:lang w:val="en-US"/>
        </w:rPr>
      </w:pPr>
      <w:r w:rsidRPr="003836C2">
        <w:rPr>
          <w:rFonts w:asciiTheme="minorHAnsi" w:hAnsiTheme="minorHAnsi"/>
          <w:lang w:val="en-US"/>
        </w:rPr>
        <w:t xml:space="preserve">Frank, K. T., Petrie, B., Choi, J. S. &amp; Leggett, W. C. 2005. Trophic cascades in a formerly cod-dominated ecosystem. </w:t>
      </w:r>
      <w:r w:rsidRPr="0061488F">
        <w:rPr>
          <w:rFonts w:asciiTheme="minorHAnsi" w:hAnsiTheme="minorHAnsi"/>
          <w:lang w:val="en-US"/>
        </w:rPr>
        <w:t>Science, 308: 1621-1623.</w:t>
      </w:r>
    </w:p>
    <w:p w14:paraId="59D3BB7F" w14:textId="0AF89FEC" w:rsidR="002546A4" w:rsidRPr="0061488F" w:rsidRDefault="002546A4" w:rsidP="003836C2">
      <w:pPr>
        <w:pStyle w:val="Brdtext"/>
        <w:rPr>
          <w:rFonts w:asciiTheme="minorHAnsi" w:hAnsiTheme="minorHAnsi"/>
          <w:lang w:val="en-US"/>
        </w:rPr>
      </w:pPr>
      <w:r>
        <w:rPr>
          <w:rFonts w:asciiTheme="minorHAnsi" w:hAnsiTheme="minorHAnsi"/>
          <w:lang w:val="en-US"/>
        </w:rPr>
        <w:t>Froese, R., Thorson, J. T., Reyes, Jr. R. B. 2014. A Bayesian approach for estimating length-weight relationships in fishes. Journal of Applied Ichthyology, 30: 78-85.</w:t>
      </w:r>
    </w:p>
    <w:p w14:paraId="2BA680E5" w14:textId="35327FF9" w:rsidR="00845155" w:rsidRPr="00D858C2" w:rsidRDefault="00845155" w:rsidP="00845155">
      <w:pPr>
        <w:pStyle w:val="Brdtext"/>
        <w:rPr>
          <w:rFonts w:asciiTheme="minorHAnsi" w:hAnsiTheme="minorHAnsi"/>
          <w:lang w:val="en-GB"/>
        </w:rPr>
      </w:pPr>
      <w:r w:rsidRPr="00D858C2">
        <w:rPr>
          <w:rFonts w:asciiTheme="minorHAnsi" w:hAnsiTheme="minorHAnsi"/>
          <w:lang w:val="en-GB"/>
        </w:rPr>
        <w:t>Fung, T., Farnsworth, K.D., Shephard, S., Reid, D.G., Rossberg, A.G., 2013. Why the size structure of marine communities can require decades to recover from fishing. Mari</w:t>
      </w:r>
      <w:r w:rsidR="004B4E7B">
        <w:rPr>
          <w:rFonts w:asciiTheme="minorHAnsi" w:hAnsiTheme="minorHAnsi"/>
          <w:lang w:val="en-GB"/>
        </w:rPr>
        <w:t>ne ecology Progress Series, 484:</w:t>
      </w:r>
      <w:r w:rsidRPr="00D858C2">
        <w:rPr>
          <w:rFonts w:asciiTheme="minorHAnsi" w:hAnsiTheme="minorHAnsi"/>
          <w:lang w:val="en-GB"/>
        </w:rPr>
        <w:t xml:space="preserve"> 155</w:t>
      </w:r>
      <w:r w:rsidR="004B4E7B">
        <w:rPr>
          <w:rFonts w:asciiTheme="minorHAnsi" w:hAnsiTheme="minorHAnsi"/>
          <w:lang w:val="en-GB"/>
        </w:rPr>
        <w:t>-171</w:t>
      </w:r>
      <w:r w:rsidRPr="00D858C2">
        <w:rPr>
          <w:rFonts w:asciiTheme="minorHAnsi" w:hAnsiTheme="minorHAnsi"/>
          <w:lang w:val="en-GB"/>
        </w:rPr>
        <w:t>.</w:t>
      </w:r>
    </w:p>
    <w:p w14:paraId="2DABA543" w14:textId="6EC259D0" w:rsidR="00845155" w:rsidRPr="00D858C2" w:rsidRDefault="00845155" w:rsidP="00845155">
      <w:pPr>
        <w:pStyle w:val="Brdtext"/>
        <w:rPr>
          <w:rFonts w:asciiTheme="minorHAnsi" w:hAnsiTheme="minorHAnsi"/>
          <w:lang w:val="en-GB"/>
        </w:rPr>
      </w:pPr>
      <w:r w:rsidRPr="00D858C2">
        <w:rPr>
          <w:rFonts w:asciiTheme="minorHAnsi" w:hAnsiTheme="minorHAnsi"/>
          <w:lang w:val="en-GB"/>
        </w:rPr>
        <w:t>Genner</w:t>
      </w:r>
      <w:r w:rsidR="004B4E7B">
        <w:rPr>
          <w:rFonts w:asciiTheme="minorHAnsi" w:hAnsiTheme="minorHAnsi"/>
          <w:lang w:val="en-GB"/>
        </w:rPr>
        <w:t>,</w:t>
      </w:r>
      <w:r w:rsidRPr="00D858C2">
        <w:rPr>
          <w:rFonts w:asciiTheme="minorHAnsi" w:hAnsiTheme="minorHAnsi"/>
          <w:lang w:val="en-GB"/>
        </w:rPr>
        <w:t xml:space="preserve"> M</w:t>
      </w:r>
      <w:r w:rsidR="004B4E7B">
        <w:rPr>
          <w:rFonts w:asciiTheme="minorHAnsi" w:hAnsiTheme="minorHAnsi"/>
          <w:lang w:val="en-GB"/>
        </w:rPr>
        <w:t>.</w:t>
      </w:r>
      <w:r w:rsidRPr="00D858C2">
        <w:rPr>
          <w:rFonts w:asciiTheme="minorHAnsi" w:hAnsiTheme="minorHAnsi"/>
          <w:lang w:val="en-GB"/>
        </w:rPr>
        <w:t>J</w:t>
      </w:r>
      <w:r w:rsidR="004B4E7B">
        <w:rPr>
          <w:rFonts w:asciiTheme="minorHAnsi" w:hAnsiTheme="minorHAnsi"/>
          <w:lang w:val="en-GB"/>
        </w:rPr>
        <w:t>.</w:t>
      </w:r>
      <w:r w:rsidRPr="00D858C2">
        <w:rPr>
          <w:rFonts w:asciiTheme="minorHAnsi" w:hAnsiTheme="minorHAnsi"/>
          <w:lang w:val="en-GB"/>
        </w:rPr>
        <w:t>, Sims</w:t>
      </w:r>
      <w:r w:rsidR="004B4E7B">
        <w:rPr>
          <w:rFonts w:asciiTheme="minorHAnsi" w:hAnsiTheme="minorHAnsi"/>
          <w:lang w:val="en-GB"/>
        </w:rPr>
        <w:t>,</w:t>
      </w:r>
      <w:r w:rsidRPr="00D858C2">
        <w:rPr>
          <w:rFonts w:asciiTheme="minorHAnsi" w:hAnsiTheme="minorHAnsi"/>
          <w:lang w:val="en-GB"/>
        </w:rPr>
        <w:t xml:space="preserve"> D</w:t>
      </w:r>
      <w:r w:rsidR="004B4E7B">
        <w:rPr>
          <w:rFonts w:asciiTheme="minorHAnsi" w:hAnsiTheme="minorHAnsi"/>
          <w:lang w:val="en-GB"/>
        </w:rPr>
        <w:t>.</w:t>
      </w:r>
      <w:r w:rsidRPr="00D858C2">
        <w:rPr>
          <w:rFonts w:asciiTheme="minorHAnsi" w:hAnsiTheme="minorHAnsi"/>
          <w:lang w:val="en-GB"/>
        </w:rPr>
        <w:t>W</w:t>
      </w:r>
      <w:r w:rsidR="004B4E7B">
        <w:rPr>
          <w:rFonts w:asciiTheme="minorHAnsi" w:hAnsiTheme="minorHAnsi"/>
          <w:lang w:val="en-GB"/>
        </w:rPr>
        <w:t>.</w:t>
      </w:r>
      <w:r w:rsidRPr="00D858C2">
        <w:rPr>
          <w:rFonts w:asciiTheme="minorHAnsi" w:hAnsiTheme="minorHAnsi"/>
          <w:lang w:val="en-GB"/>
        </w:rPr>
        <w:t>, Southward</w:t>
      </w:r>
      <w:r w:rsidR="004B4E7B">
        <w:rPr>
          <w:rFonts w:asciiTheme="minorHAnsi" w:hAnsiTheme="minorHAnsi"/>
          <w:lang w:val="en-GB"/>
        </w:rPr>
        <w:t>,</w:t>
      </w:r>
      <w:r w:rsidRPr="00D858C2">
        <w:rPr>
          <w:rFonts w:asciiTheme="minorHAnsi" w:hAnsiTheme="minorHAnsi"/>
          <w:lang w:val="en-GB"/>
        </w:rPr>
        <w:t xml:space="preserve"> A</w:t>
      </w:r>
      <w:r w:rsidR="004B4E7B">
        <w:rPr>
          <w:rFonts w:asciiTheme="minorHAnsi" w:hAnsiTheme="minorHAnsi"/>
          <w:lang w:val="en-GB"/>
        </w:rPr>
        <w:t>.</w:t>
      </w:r>
      <w:r w:rsidRPr="00D858C2">
        <w:rPr>
          <w:rFonts w:asciiTheme="minorHAnsi" w:hAnsiTheme="minorHAnsi"/>
          <w:lang w:val="en-GB"/>
        </w:rPr>
        <w:t>J</w:t>
      </w:r>
      <w:r w:rsidR="004B4E7B">
        <w:rPr>
          <w:rFonts w:asciiTheme="minorHAnsi" w:hAnsiTheme="minorHAnsi"/>
          <w:lang w:val="en-GB"/>
        </w:rPr>
        <w:t>.</w:t>
      </w:r>
      <w:r w:rsidRPr="00D858C2">
        <w:rPr>
          <w:rFonts w:asciiTheme="minorHAnsi" w:hAnsiTheme="minorHAnsi"/>
          <w:lang w:val="en-GB"/>
        </w:rPr>
        <w:t>, Budd</w:t>
      </w:r>
      <w:r w:rsidR="004B4E7B">
        <w:rPr>
          <w:rFonts w:asciiTheme="minorHAnsi" w:hAnsiTheme="minorHAnsi"/>
          <w:lang w:val="en-GB"/>
        </w:rPr>
        <w:t>,</w:t>
      </w:r>
      <w:r w:rsidRPr="00D858C2">
        <w:rPr>
          <w:rFonts w:asciiTheme="minorHAnsi" w:hAnsiTheme="minorHAnsi"/>
          <w:lang w:val="en-GB"/>
        </w:rPr>
        <w:t xml:space="preserve"> G</w:t>
      </w:r>
      <w:r w:rsidR="004B4E7B">
        <w:rPr>
          <w:rFonts w:asciiTheme="minorHAnsi" w:hAnsiTheme="minorHAnsi"/>
          <w:lang w:val="en-GB"/>
        </w:rPr>
        <w:t>.</w:t>
      </w:r>
      <w:r w:rsidRPr="00D858C2">
        <w:rPr>
          <w:rFonts w:asciiTheme="minorHAnsi" w:hAnsiTheme="minorHAnsi"/>
          <w:lang w:val="en-GB"/>
        </w:rPr>
        <w:t>C</w:t>
      </w:r>
      <w:r w:rsidR="004B4E7B">
        <w:rPr>
          <w:rFonts w:asciiTheme="minorHAnsi" w:hAnsiTheme="minorHAnsi"/>
          <w:lang w:val="en-GB"/>
        </w:rPr>
        <w:t>.</w:t>
      </w:r>
      <w:r w:rsidRPr="00D858C2">
        <w:rPr>
          <w:rFonts w:asciiTheme="minorHAnsi" w:hAnsiTheme="minorHAnsi"/>
          <w:lang w:val="en-GB"/>
        </w:rPr>
        <w:t>, Masterson</w:t>
      </w:r>
      <w:r w:rsidR="004B4E7B">
        <w:rPr>
          <w:rFonts w:asciiTheme="minorHAnsi" w:hAnsiTheme="minorHAnsi"/>
          <w:lang w:val="en-GB"/>
        </w:rPr>
        <w:t>,</w:t>
      </w:r>
      <w:r w:rsidRPr="00D858C2">
        <w:rPr>
          <w:rFonts w:asciiTheme="minorHAnsi" w:hAnsiTheme="minorHAnsi"/>
          <w:lang w:val="en-GB"/>
        </w:rPr>
        <w:t xml:space="preserve"> P</w:t>
      </w:r>
      <w:r w:rsidR="004B4E7B">
        <w:rPr>
          <w:rFonts w:asciiTheme="minorHAnsi" w:hAnsiTheme="minorHAnsi"/>
          <w:lang w:val="en-GB"/>
        </w:rPr>
        <w:t>.</w:t>
      </w:r>
      <w:r w:rsidRPr="00D858C2">
        <w:rPr>
          <w:rFonts w:asciiTheme="minorHAnsi" w:hAnsiTheme="minorHAnsi"/>
          <w:lang w:val="en-GB"/>
        </w:rPr>
        <w:t>, McHugh</w:t>
      </w:r>
      <w:r w:rsidR="004B4E7B">
        <w:rPr>
          <w:rFonts w:asciiTheme="minorHAnsi" w:hAnsiTheme="minorHAnsi"/>
          <w:lang w:val="en-GB"/>
        </w:rPr>
        <w:t>,</w:t>
      </w:r>
      <w:r w:rsidRPr="00D858C2">
        <w:rPr>
          <w:rFonts w:asciiTheme="minorHAnsi" w:hAnsiTheme="minorHAnsi"/>
          <w:lang w:val="en-GB"/>
        </w:rPr>
        <w:t xml:space="preserve"> M</w:t>
      </w:r>
      <w:r w:rsidR="004B4E7B">
        <w:rPr>
          <w:rFonts w:asciiTheme="minorHAnsi" w:hAnsiTheme="minorHAnsi"/>
          <w:lang w:val="en-GB"/>
        </w:rPr>
        <w:t>.</w:t>
      </w:r>
      <w:r w:rsidRPr="00D858C2">
        <w:rPr>
          <w:rFonts w:asciiTheme="minorHAnsi" w:hAnsiTheme="minorHAnsi"/>
          <w:lang w:val="en-GB"/>
        </w:rPr>
        <w:t>, Rendle</w:t>
      </w:r>
      <w:r w:rsidR="00EC306B">
        <w:rPr>
          <w:rFonts w:asciiTheme="minorHAnsi" w:hAnsiTheme="minorHAnsi"/>
          <w:lang w:val="en-GB"/>
        </w:rPr>
        <w:t xml:space="preserve">, </w:t>
      </w:r>
      <w:r w:rsidR="00EC306B" w:rsidRPr="00D858C2">
        <w:rPr>
          <w:rFonts w:asciiTheme="minorHAnsi" w:hAnsiTheme="minorHAnsi"/>
          <w:lang w:val="en-GB"/>
        </w:rPr>
        <w:t>P</w:t>
      </w:r>
      <w:r w:rsidR="004B4E7B">
        <w:rPr>
          <w:rFonts w:asciiTheme="minorHAnsi" w:hAnsiTheme="minorHAnsi"/>
          <w:lang w:val="en-GB"/>
        </w:rPr>
        <w:t>.</w:t>
      </w:r>
      <w:r w:rsidRPr="00D858C2">
        <w:rPr>
          <w:rFonts w:asciiTheme="minorHAnsi" w:hAnsiTheme="minorHAnsi"/>
          <w:lang w:val="en-GB"/>
        </w:rPr>
        <w:t>, Southall</w:t>
      </w:r>
      <w:r w:rsidR="004B4E7B">
        <w:rPr>
          <w:rFonts w:asciiTheme="minorHAnsi" w:hAnsiTheme="minorHAnsi"/>
          <w:lang w:val="en-GB"/>
        </w:rPr>
        <w:t>,</w:t>
      </w:r>
      <w:r w:rsidRPr="00D858C2">
        <w:rPr>
          <w:rFonts w:asciiTheme="minorHAnsi" w:hAnsiTheme="minorHAnsi"/>
          <w:lang w:val="en-GB"/>
        </w:rPr>
        <w:t xml:space="preserve"> E</w:t>
      </w:r>
      <w:r w:rsidR="004B4E7B">
        <w:rPr>
          <w:rFonts w:asciiTheme="minorHAnsi" w:hAnsiTheme="minorHAnsi"/>
          <w:lang w:val="en-GB"/>
        </w:rPr>
        <w:t>.</w:t>
      </w:r>
      <w:r w:rsidRPr="00D858C2">
        <w:rPr>
          <w:rFonts w:asciiTheme="minorHAnsi" w:hAnsiTheme="minorHAnsi"/>
          <w:lang w:val="en-GB"/>
        </w:rPr>
        <w:t>J</w:t>
      </w:r>
      <w:r w:rsidR="004B4E7B">
        <w:rPr>
          <w:rFonts w:asciiTheme="minorHAnsi" w:hAnsiTheme="minorHAnsi"/>
          <w:lang w:val="en-GB"/>
        </w:rPr>
        <w:t>.</w:t>
      </w:r>
      <w:r w:rsidRPr="00D858C2">
        <w:rPr>
          <w:rFonts w:asciiTheme="minorHAnsi" w:hAnsiTheme="minorHAnsi"/>
          <w:lang w:val="en-GB"/>
        </w:rPr>
        <w:t>, Wearmouth</w:t>
      </w:r>
      <w:r w:rsidR="004B4E7B">
        <w:rPr>
          <w:rFonts w:asciiTheme="minorHAnsi" w:hAnsiTheme="minorHAnsi"/>
          <w:lang w:val="en-GB"/>
        </w:rPr>
        <w:t>,</w:t>
      </w:r>
      <w:r w:rsidRPr="00D858C2">
        <w:rPr>
          <w:rFonts w:asciiTheme="minorHAnsi" w:hAnsiTheme="minorHAnsi"/>
          <w:lang w:val="en-GB"/>
        </w:rPr>
        <w:t xml:space="preserve"> V</w:t>
      </w:r>
      <w:r w:rsidR="004B4E7B">
        <w:rPr>
          <w:rFonts w:asciiTheme="minorHAnsi" w:hAnsiTheme="minorHAnsi"/>
          <w:lang w:val="en-GB"/>
        </w:rPr>
        <w:t>.</w:t>
      </w:r>
      <w:r w:rsidRPr="00D858C2">
        <w:rPr>
          <w:rFonts w:asciiTheme="minorHAnsi" w:hAnsiTheme="minorHAnsi"/>
          <w:lang w:val="en-GB"/>
        </w:rPr>
        <w:t>J</w:t>
      </w:r>
      <w:r w:rsidR="004B4E7B">
        <w:rPr>
          <w:rFonts w:asciiTheme="minorHAnsi" w:hAnsiTheme="minorHAnsi"/>
          <w:lang w:val="en-GB"/>
        </w:rPr>
        <w:t>.</w:t>
      </w:r>
      <w:r w:rsidRPr="00D858C2">
        <w:rPr>
          <w:rFonts w:asciiTheme="minorHAnsi" w:hAnsiTheme="minorHAnsi"/>
          <w:lang w:val="en-GB"/>
        </w:rPr>
        <w:t>, Hawkins</w:t>
      </w:r>
      <w:r w:rsidR="004B4E7B">
        <w:rPr>
          <w:rFonts w:asciiTheme="minorHAnsi" w:hAnsiTheme="minorHAnsi"/>
          <w:lang w:val="en-GB"/>
        </w:rPr>
        <w:t>,</w:t>
      </w:r>
      <w:r w:rsidRPr="00D858C2">
        <w:rPr>
          <w:rFonts w:asciiTheme="minorHAnsi" w:hAnsiTheme="minorHAnsi"/>
          <w:lang w:val="en-GB"/>
        </w:rPr>
        <w:t xml:space="preserve"> S</w:t>
      </w:r>
      <w:r w:rsidR="004B4E7B">
        <w:rPr>
          <w:rFonts w:asciiTheme="minorHAnsi" w:hAnsiTheme="minorHAnsi"/>
          <w:lang w:val="en-GB"/>
        </w:rPr>
        <w:t>.</w:t>
      </w:r>
      <w:r w:rsidRPr="00D858C2">
        <w:rPr>
          <w:rFonts w:asciiTheme="minorHAnsi" w:hAnsiTheme="minorHAnsi"/>
          <w:lang w:val="en-GB"/>
        </w:rPr>
        <w:t xml:space="preserve">J. 2010. Body size-dependent responses of a marine fish assemblage to climate change and fishing over a century-long </w:t>
      </w:r>
      <w:r w:rsidR="004B4E7B">
        <w:rPr>
          <w:rFonts w:asciiTheme="minorHAnsi" w:hAnsiTheme="minorHAnsi"/>
          <w:lang w:val="en-GB"/>
        </w:rPr>
        <w:t>scale. Global Change Biology 16:</w:t>
      </w:r>
      <w:r w:rsidRPr="00D858C2">
        <w:rPr>
          <w:rFonts w:asciiTheme="minorHAnsi" w:hAnsiTheme="minorHAnsi"/>
          <w:lang w:val="en-GB"/>
        </w:rPr>
        <w:t xml:space="preserve"> 517–527.</w:t>
      </w:r>
    </w:p>
    <w:p w14:paraId="2CEFCD8A" w14:textId="7B081D96" w:rsidR="00845155" w:rsidRDefault="00845155" w:rsidP="00845155">
      <w:pPr>
        <w:pStyle w:val="Brdtext"/>
        <w:rPr>
          <w:rFonts w:asciiTheme="minorHAnsi" w:hAnsiTheme="minorHAnsi"/>
          <w:lang w:val="en-GB"/>
        </w:rPr>
      </w:pPr>
      <w:r w:rsidRPr="00D858C2">
        <w:rPr>
          <w:rFonts w:asciiTheme="minorHAnsi" w:hAnsiTheme="minorHAnsi"/>
          <w:lang w:val="en-GB"/>
        </w:rPr>
        <w:t>Genner, M. J., Sims, D. W., Wearmouth, V. J., Southall, E. J., Southward, A. J., Henderson, P. A., and Hawkins, S. J. 2004. Regional climate warming drives long</w:t>
      </w:r>
      <w:r w:rsidRPr="00D858C2">
        <w:rPr>
          <w:rFonts w:ascii="Calibri" w:eastAsia="Calibri" w:hAnsi="Calibri" w:cs="Calibri"/>
          <w:lang w:val="en-GB"/>
        </w:rPr>
        <w:t>‐</w:t>
      </w:r>
      <w:r w:rsidRPr="00D858C2">
        <w:rPr>
          <w:rFonts w:asciiTheme="minorHAnsi" w:hAnsiTheme="minorHAnsi"/>
          <w:lang w:val="en-GB"/>
        </w:rPr>
        <w:t>term community changes of British marine fish. Proceedings of the Royal Society of London, Series B, 271</w:t>
      </w:r>
      <w:r w:rsidR="004B4E7B">
        <w:rPr>
          <w:rFonts w:asciiTheme="minorHAnsi" w:hAnsiTheme="minorHAnsi"/>
          <w:lang w:val="en-GB"/>
        </w:rPr>
        <w:t>:</w:t>
      </w:r>
      <w:r w:rsidRPr="00D858C2">
        <w:rPr>
          <w:rFonts w:asciiTheme="minorHAnsi" w:hAnsiTheme="minorHAnsi"/>
          <w:lang w:val="en-GB"/>
        </w:rPr>
        <w:t xml:space="preserve"> 655 – 661.</w:t>
      </w:r>
    </w:p>
    <w:p w14:paraId="7DC94035" w14:textId="16D50704" w:rsidR="000D7ADC" w:rsidRPr="00D858C2" w:rsidRDefault="000D7ADC" w:rsidP="00845155">
      <w:pPr>
        <w:pStyle w:val="Brdtext"/>
        <w:rPr>
          <w:rFonts w:asciiTheme="minorHAnsi" w:hAnsiTheme="minorHAnsi"/>
          <w:lang w:val="en-GB"/>
        </w:rPr>
      </w:pPr>
      <w:r>
        <w:rPr>
          <w:rFonts w:asciiTheme="minorHAnsi" w:hAnsiTheme="minorHAnsi"/>
          <w:lang w:val="en-GB"/>
        </w:rPr>
        <w:lastRenderedPageBreak/>
        <w:t xml:space="preserve">Greenstreet, S.P.R., </w:t>
      </w:r>
      <w:r w:rsidR="00EE4909">
        <w:rPr>
          <w:rFonts w:asciiTheme="minorHAnsi" w:hAnsiTheme="minorHAnsi"/>
          <w:lang w:val="en-GB"/>
        </w:rPr>
        <w:t>Rogers, S.I., Jake, C.R., Rice, G.J., Guirey, E. J., Fraser, H. M., Fryer, R. J. 2011. Development of the EcoQO for the North Sea fish community. ICES Journal of Marine Science, 68: 1-11.</w:t>
      </w:r>
    </w:p>
    <w:p w14:paraId="31C9B325" w14:textId="327159F5" w:rsidR="00845155" w:rsidRPr="0061488F" w:rsidRDefault="00845155" w:rsidP="003836C2">
      <w:pPr>
        <w:pStyle w:val="Brdtext"/>
        <w:rPr>
          <w:rFonts w:asciiTheme="minorHAnsi" w:hAnsiTheme="minorHAnsi"/>
        </w:rPr>
      </w:pPr>
      <w:r w:rsidRPr="00D858C2">
        <w:rPr>
          <w:rFonts w:asciiTheme="minorHAnsi" w:hAnsiTheme="minorHAnsi"/>
          <w:lang w:val="en-GB"/>
        </w:rPr>
        <w:t xml:space="preserve">Greenstreet, S.P.R., Rogers, S.I., Rice, J.C., Piet, G.J., Guirey, E.J., Fraser, H.M., Fryer, R.J. 2012. A reassessment of trends in the North Sea Large Fish Indicator and a re-evaluation of earlier conclusions. </w:t>
      </w:r>
      <w:r w:rsidRPr="0061488F">
        <w:rPr>
          <w:rFonts w:asciiTheme="minorHAnsi" w:hAnsiTheme="minorHAnsi"/>
        </w:rPr>
        <w:t>ICE</w:t>
      </w:r>
      <w:r w:rsidR="004B4E7B">
        <w:rPr>
          <w:rFonts w:asciiTheme="minorHAnsi" w:hAnsiTheme="minorHAnsi"/>
        </w:rPr>
        <w:t>S Journal of Marine Science, 69:</w:t>
      </w:r>
      <w:r w:rsidRPr="0061488F">
        <w:rPr>
          <w:rFonts w:asciiTheme="minorHAnsi" w:hAnsiTheme="minorHAnsi"/>
        </w:rPr>
        <w:t xml:space="preserve"> 343-345.</w:t>
      </w:r>
    </w:p>
    <w:p w14:paraId="21EA60D2" w14:textId="42FC8C05" w:rsidR="003836C2" w:rsidRDefault="000034E3" w:rsidP="003836C2">
      <w:pPr>
        <w:pStyle w:val="Brdtext"/>
        <w:rPr>
          <w:rFonts w:asciiTheme="minorHAnsi" w:hAnsiTheme="minorHAnsi"/>
        </w:rPr>
      </w:pPr>
      <w:r>
        <w:rPr>
          <w:rFonts w:asciiTheme="minorHAnsi" w:hAnsiTheme="minorHAnsi"/>
        </w:rPr>
        <w:t>Havs- och vattenmyndigheten 2014</w:t>
      </w:r>
      <w:r w:rsidR="003836C2" w:rsidRPr="003836C2">
        <w:rPr>
          <w:rFonts w:asciiTheme="minorHAnsi" w:hAnsiTheme="minorHAnsi"/>
        </w:rPr>
        <w:t>. God havsmiljö 2020. Marin strategi för Nordsjön och</w:t>
      </w:r>
      <w:r>
        <w:rPr>
          <w:rFonts w:asciiTheme="minorHAnsi" w:hAnsiTheme="minorHAnsi"/>
        </w:rPr>
        <w:t xml:space="preserve"> </w:t>
      </w:r>
      <w:r w:rsidR="003836C2" w:rsidRPr="003836C2">
        <w:rPr>
          <w:rFonts w:asciiTheme="minorHAnsi" w:hAnsiTheme="minorHAnsi"/>
        </w:rPr>
        <w:t>Östersjön. Del 3: Övervakningsprogram. Havs- och vattenmyndigheten 2014:20, 210 pp</w:t>
      </w:r>
      <w:r w:rsidR="00EC306B">
        <w:rPr>
          <w:rFonts w:asciiTheme="minorHAnsi" w:hAnsiTheme="minorHAnsi"/>
        </w:rPr>
        <w:t>.</w:t>
      </w:r>
    </w:p>
    <w:p w14:paraId="37910B9E" w14:textId="1143A1E7" w:rsidR="00845155" w:rsidRPr="00845155" w:rsidRDefault="00845155" w:rsidP="003836C2">
      <w:pPr>
        <w:pStyle w:val="Brdtext"/>
        <w:rPr>
          <w:rFonts w:asciiTheme="minorHAnsi" w:hAnsiTheme="minorHAnsi"/>
          <w:lang w:val="en-GB"/>
        </w:rPr>
      </w:pPr>
      <w:r w:rsidRPr="0061488F">
        <w:rPr>
          <w:rFonts w:asciiTheme="minorHAnsi" w:hAnsiTheme="minorHAnsi"/>
        </w:rPr>
        <w:t xml:space="preserve">Hiddink, J. G., ter Hofstede, R. 2008. </w:t>
      </w:r>
      <w:r w:rsidRPr="00D858C2">
        <w:rPr>
          <w:rFonts w:asciiTheme="minorHAnsi" w:hAnsiTheme="minorHAnsi"/>
          <w:lang w:val="en-GB"/>
        </w:rPr>
        <w:t>Climate induced increases in species richness of marine fish. Global Change Biology, 14</w:t>
      </w:r>
      <w:r w:rsidR="00DA3345">
        <w:rPr>
          <w:rFonts w:asciiTheme="minorHAnsi" w:hAnsiTheme="minorHAnsi"/>
          <w:lang w:val="en-GB"/>
        </w:rPr>
        <w:t>:</w:t>
      </w:r>
      <w:r w:rsidRPr="00D858C2">
        <w:rPr>
          <w:rFonts w:asciiTheme="minorHAnsi" w:hAnsiTheme="minorHAnsi"/>
          <w:lang w:val="en-GB"/>
        </w:rPr>
        <w:t xml:space="preserve"> 453–460.</w:t>
      </w:r>
    </w:p>
    <w:p w14:paraId="52777022" w14:textId="77777777" w:rsidR="003836C2" w:rsidRDefault="003836C2" w:rsidP="003836C2">
      <w:pPr>
        <w:pStyle w:val="Brdtext"/>
        <w:rPr>
          <w:rFonts w:asciiTheme="minorHAnsi" w:hAnsiTheme="minorHAnsi"/>
          <w:lang w:val="en-US"/>
        </w:rPr>
      </w:pPr>
      <w:r w:rsidRPr="003836C2">
        <w:rPr>
          <w:rFonts w:asciiTheme="minorHAnsi" w:hAnsiTheme="minorHAnsi"/>
          <w:lang w:val="en-US"/>
        </w:rPr>
        <w:t>Hixon, M. A., Johnson, D. W. &amp; Sogard, S. M. 2014. BOFFFFs: on the importance of conserving old-growth age structure in fishery populations. ICES Journal of Marine Science, 71: 2171-2185.</w:t>
      </w:r>
    </w:p>
    <w:p w14:paraId="32BD3811" w14:textId="07ECD65E" w:rsidR="00FC5F17" w:rsidRDefault="00FC5F17" w:rsidP="003836C2">
      <w:pPr>
        <w:pStyle w:val="Brdtext"/>
        <w:rPr>
          <w:rFonts w:asciiTheme="minorHAnsi" w:hAnsiTheme="minorHAnsi"/>
          <w:lang w:val="en-US"/>
        </w:rPr>
      </w:pPr>
      <w:r>
        <w:rPr>
          <w:rFonts w:asciiTheme="minorHAnsi" w:hAnsiTheme="minorHAnsi"/>
          <w:lang w:val="en-US"/>
        </w:rPr>
        <w:t xml:space="preserve">ICES. 2007. </w:t>
      </w:r>
      <w:r w:rsidR="00130234">
        <w:rPr>
          <w:rFonts w:asciiTheme="minorHAnsi" w:hAnsiTheme="minorHAnsi"/>
          <w:lang w:val="en-US"/>
        </w:rPr>
        <w:t xml:space="preserve">Report of the Working Group on Ecosystem Effects of Fishing Activities (WGECO). </w:t>
      </w:r>
      <w:r w:rsidR="00130234" w:rsidRPr="00130234">
        <w:rPr>
          <w:rFonts w:asciiTheme="minorHAnsi" w:hAnsiTheme="minorHAnsi"/>
          <w:lang w:val="en-US"/>
        </w:rPr>
        <w:t>ICES CM 2007/ACE:04</w:t>
      </w:r>
      <w:r w:rsidR="00130234">
        <w:rPr>
          <w:rFonts w:asciiTheme="minorHAnsi" w:hAnsiTheme="minorHAnsi"/>
          <w:lang w:val="en-US"/>
        </w:rPr>
        <w:t>,  11-18 April, ICES HQ,  Copenhagen, Denmark</w:t>
      </w:r>
      <w:r w:rsidR="005C4761">
        <w:rPr>
          <w:rFonts w:asciiTheme="minorHAnsi" w:hAnsiTheme="minorHAnsi"/>
          <w:lang w:val="en-US"/>
        </w:rPr>
        <w:t>, 158 pp</w:t>
      </w:r>
      <w:r w:rsidR="00130234">
        <w:rPr>
          <w:rFonts w:asciiTheme="minorHAnsi" w:hAnsiTheme="minorHAnsi"/>
          <w:lang w:val="en-US"/>
        </w:rPr>
        <w:t>.</w:t>
      </w:r>
    </w:p>
    <w:p w14:paraId="4B15A9FC" w14:textId="77777777" w:rsidR="00845155" w:rsidRDefault="00845155" w:rsidP="003836C2">
      <w:pPr>
        <w:pStyle w:val="Brdtext"/>
        <w:rPr>
          <w:rFonts w:asciiTheme="minorHAnsi" w:hAnsiTheme="minorHAnsi"/>
          <w:lang w:val="en-GB"/>
        </w:rPr>
      </w:pPr>
      <w:r w:rsidRPr="00D858C2">
        <w:rPr>
          <w:rFonts w:asciiTheme="minorHAnsi" w:hAnsiTheme="minorHAnsi"/>
          <w:lang w:val="en-GB"/>
        </w:rPr>
        <w:t>Modica, L., Velasco, F., Preciado, I., Soto, M., Greenstreet, S.P.R., 2014. Development of the large fish indicator and associated Ecological Quality Objective for a North-East Atlantic fish community. ICES Journal of Marine Science, 71: 2403-2415.</w:t>
      </w:r>
    </w:p>
    <w:p w14:paraId="186C4B41" w14:textId="2C1DD35B" w:rsidR="001A169A" w:rsidRPr="00432703" w:rsidRDefault="001A169A" w:rsidP="003836C2">
      <w:pPr>
        <w:pStyle w:val="Brdtext"/>
        <w:rPr>
          <w:rFonts w:asciiTheme="minorHAnsi" w:hAnsiTheme="minorHAnsi"/>
          <w:lang w:val="en-US"/>
        </w:rPr>
      </w:pPr>
      <w:r w:rsidRPr="00F614C9">
        <w:rPr>
          <w:rFonts w:asciiTheme="minorHAnsi" w:hAnsiTheme="minorHAnsi"/>
          <w:lang w:val="en-US"/>
        </w:rPr>
        <w:t>Moksnes,</w:t>
      </w:r>
      <w:r w:rsidR="007D1394" w:rsidRPr="00F614C9">
        <w:rPr>
          <w:rFonts w:asciiTheme="minorHAnsi" w:hAnsiTheme="minorHAnsi"/>
          <w:lang w:val="en-US"/>
        </w:rPr>
        <w:t xml:space="preserve"> P., Gullström, M., Tryman, K.,</w:t>
      </w:r>
      <w:r w:rsidR="00432703" w:rsidRPr="00F614C9">
        <w:rPr>
          <w:rFonts w:asciiTheme="minorHAnsi" w:hAnsiTheme="minorHAnsi"/>
          <w:lang w:val="en-US"/>
        </w:rPr>
        <w:t xml:space="preserve"> Baden, S.</w:t>
      </w:r>
      <w:r w:rsidR="007D1394" w:rsidRPr="00F614C9">
        <w:rPr>
          <w:rFonts w:asciiTheme="minorHAnsi" w:hAnsiTheme="minorHAnsi"/>
          <w:lang w:val="en-US"/>
        </w:rPr>
        <w:t xml:space="preserve"> 2008.</w:t>
      </w:r>
      <w:r w:rsidR="00432703" w:rsidRPr="00F614C9">
        <w:rPr>
          <w:rFonts w:asciiTheme="minorHAnsi" w:hAnsiTheme="minorHAnsi"/>
          <w:lang w:val="en-US"/>
        </w:rPr>
        <w:t xml:space="preserve"> </w:t>
      </w:r>
      <w:r w:rsidR="00432703">
        <w:rPr>
          <w:rFonts w:asciiTheme="minorHAnsi" w:hAnsiTheme="minorHAnsi"/>
          <w:lang w:val="en-US"/>
        </w:rPr>
        <w:t>Trophic cascades in a temperate seagrass community.</w:t>
      </w:r>
      <w:r w:rsidR="007D1394" w:rsidRPr="00432703">
        <w:rPr>
          <w:rFonts w:asciiTheme="minorHAnsi" w:hAnsiTheme="minorHAnsi"/>
          <w:lang w:val="en-US"/>
        </w:rPr>
        <w:t xml:space="preserve"> Oikos, 117:763-777.</w:t>
      </w:r>
    </w:p>
    <w:p w14:paraId="1926F607" w14:textId="77777777" w:rsidR="003836C2" w:rsidRDefault="003836C2" w:rsidP="003836C2">
      <w:pPr>
        <w:pStyle w:val="Brdtext"/>
        <w:rPr>
          <w:rFonts w:asciiTheme="minorHAnsi" w:hAnsiTheme="minorHAnsi"/>
          <w:lang w:val="en-US"/>
        </w:rPr>
      </w:pPr>
      <w:r w:rsidRPr="003836C2">
        <w:rPr>
          <w:rFonts w:asciiTheme="minorHAnsi" w:hAnsiTheme="minorHAnsi"/>
          <w:lang w:val="en-US"/>
        </w:rPr>
        <w:t>Pauly, D., Christensen, V., Dalsgaard, J., Froese, R., Torres Jr. F. 1998. Fishing down food web. Science, 279: 860-863.</w:t>
      </w:r>
    </w:p>
    <w:p w14:paraId="41A85A62" w14:textId="6DED3B72" w:rsidR="001E6F9C" w:rsidRDefault="001E6F9C" w:rsidP="003836C2">
      <w:pPr>
        <w:pStyle w:val="Brdtext"/>
        <w:rPr>
          <w:rFonts w:asciiTheme="minorHAnsi" w:hAnsiTheme="minorHAnsi"/>
          <w:lang w:val="en-US"/>
        </w:rPr>
      </w:pPr>
      <w:r w:rsidRPr="00EB3D61">
        <w:rPr>
          <w:rFonts w:asciiTheme="minorHAnsi" w:hAnsiTheme="minorHAnsi"/>
          <w:lang w:val="en-US"/>
        </w:rPr>
        <w:t>Pedersen, E.J.</w:t>
      </w:r>
      <w:r w:rsidR="00EB3D61" w:rsidRPr="00EB3D61">
        <w:rPr>
          <w:rFonts w:asciiTheme="minorHAnsi" w:hAnsiTheme="minorHAnsi"/>
          <w:lang w:val="en-US"/>
        </w:rPr>
        <w:t xml:space="preserve">, </w:t>
      </w:r>
      <w:r w:rsidR="00EB3D61">
        <w:rPr>
          <w:rFonts w:asciiTheme="minorHAnsi" w:hAnsiTheme="minorHAnsi"/>
          <w:lang w:val="en-US"/>
        </w:rPr>
        <w:t xml:space="preserve">Thompson, P. L., Ball, R. A., Fortin, M-J., Gouhier, T. C., Link, H., Moritz, C., Nenzen, H., Stanley, R. R. R., Taranu, Z. E., Gonzalez, A., Guichard, F., Pepin, P. 2017. Signatures of the collapse and incipient recovery of an overexploited marine ecosystem. Royal Society Open Science, </w:t>
      </w:r>
      <w:r w:rsidR="00EB3D61" w:rsidRPr="00EB3D61">
        <w:rPr>
          <w:rFonts w:asciiTheme="minorHAnsi" w:hAnsiTheme="minorHAnsi"/>
          <w:lang w:val="en-US"/>
        </w:rPr>
        <w:t>DOI: 10.1098/rsos.170215</w:t>
      </w:r>
      <w:r w:rsidR="00414E3B">
        <w:rPr>
          <w:rFonts w:asciiTheme="minorHAnsi" w:hAnsiTheme="minorHAnsi"/>
          <w:lang w:val="en-US"/>
        </w:rPr>
        <w:t>.</w:t>
      </w:r>
    </w:p>
    <w:p w14:paraId="06B916FB" w14:textId="1AC4BBD3" w:rsidR="00845155" w:rsidRDefault="00845155" w:rsidP="003836C2">
      <w:pPr>
        <w:pStyle w:val="Brdtext"/>
        <w:rPr>
          <w:rFonts w:asciiTheme="minorHAnsi" w:hAnsiTheme="minorHAnsi"/>
          <w:lang w:val="en-GB"/>
        </w:rPr>
      </w:pPr>
      <w:r w:rsidRPr="00D858C2">
        <w:rPr>
          <w:rFonts w:asciiTheme="minorHAnsi" w:hAnsiTheme="minorHAnsi"/>
          <w:lang w:val="en-GB"/>
        </w:rPr>
        <w:t>Piet, G. J., van Hal, R., Greenstreet, S. P. R. 2009. Modelling the direct impact of bottom trawling on the North Sea fish community to derive estimates of fishing mortality for non-target fish species. ICES Journal of Marine Science, 66</w:t>
      </w:r>
      <w:r w:rsidR="00DA3345">
        <w:rPr>
          <w:rFonts w:asciiTheme="minorHAnsi" w:hAnsiTheme="minorHAnsi"/>
          <w:lang w:val="en-GB"/>
        </w:rPr>
        <w:t>:</w:t>
      </w:r>
      <w:r w:rsidRPr="00D858C2">
        <w:rPr>
          <w:rFonts w:asciiTheme="minorHAnsi" w:hAnsiTheme="minorHAnsi"/>
          <w:lang w:val="en-GB"/>
        </w:rPr>
        <w:t xml:space="preserve"> 1985–1998.</w:t>
      </w:r>
    </w:p>
    <w:p w14:paraId="4B1F32D6" w14:textId="2D1294AF" w:rsidR="00880C0F" w:rsidRPr="00845155" w:rsidRDefault="00880C0F" w:rsidP="003836C2">
      <w:pPr>
        <w:pStyle w:val="Brdtext"/>
        <w:rPr>
          <w:rFonts w:asciiTheme="minorHAnsi" w:hAnsiTheme="minorHAnsi"/>
          <w:lang w:val="en-GB"/>
        </w:rPr>
      </w:pPr>
      <w:r>
        <w:rPr>
          <w:rFonts w:asciiTheme="minorHAnsi" w:hAnsiTheme="minorHAnsi"/>
          <w:lang w:val="en-GB"/>
        </w:rPr>
        <w:t>Rose, G. A., Rowe, S. 2015. Northern cod comeback. Canadian Journal of Fisheries and Aquatic Sciences, 72: 1789-1798.</w:t>
      </w:r>
    </w:p>
    <w:p w14:paraId="05B343A6" w14:textId="77777777" w:rsidR="00845155" w:rsidRPr="003836C2" w:rsidRDefault="003836C2" w:rsidP="003836C2">
      <w:pPr>
        <w:pStyle w:val="Brdtext"/>
        <w:rPr>
          <w:rFonts w:asciiTheme="minorHAnsi" w:hAnsiTheme="minorHAnsi"/>
          <w:lang w:val="en-US"/>
        </w:rPr>
      </w:pPr>
      <w:r w:rsidRPr="003836C2">
        <w:rPr>
          <w:rFonts w:asciiTheme="minorHAnsi" w:hAnsiTheme="minorHAnsi"/>
          <w:lang w:val="en-US"/>
        </w:rPr>
        <w:t>Scheffer, M., Carpenter, S. &amp; de Young, B. 2005. Cascading effects of overfishing marine systems. Trends in Ecology and Evolution, 20: 579-581.</w:t>
      </w:r>
    </w:p>
    <w:p w14:paraId="4936EE14" w14:textId="77777777" w:rsidR="00D858C2" w:rsidRPr="00D858C2" w:rsidRDefault="00D858C2" w:rsidP="00D858C2">
      <w:pPr>
        <w:pStyle w:val="Brdtext"/>
        <w:rPr>
          <w:rFonts w:asciiTheme="minorHAnsi" w:hAnsiTheme="minorHAnsi"/>
          <w:lang w:val="en-GB"/>
        </w:rPr>
      </w:pPr>
      <w:r w:rsidRPr="00D858C2">
        <w:rPr>
          <w:rFonts w:asciiTheme="minorHAnsi" w:hAnsiTheme="minorHAnsi"/>
          <w:lang w:val="en-GB"/>
        </w:rPr>
        <w:t>Shephard, S., Fung, T., Rossberg, A.G., Farnsworth, K., Reid, D.G., Greenstreet, S.P.R. &amp; Warnes, S. 2013. Modelling recovery of Celtic Sea demersal fish community size-structure. Fisheries Research, 140: 91-95.</w:t>
      </w:r>
    </w:p>
    <w:p w14:paraId="5B5846A3" w14:textId="58AEE033" w:rsidR="00D858C2" w:rsidRPr="00D858C2" w:rsidRDefault="00D858C2" w:rsidP="00D858C2">
      <w:pPr>
        <w:pStyle w:val="Brdtext"/>
        <w:rPr>
          <w:rFonts w:asciiTheme="minorHAnsi" w:hAnsiTheme="minorHAnsi"/>
          <w:lang w:val="en-GB"/>
        </w:rPr>
      </w:pPr>
      <w:r w:rsidRPr="00D858C2">
        <w:rPr>
          <w:rFonts w:asciiTheme="minorHAnsi" w:hAnsiTheme="minorHAnsi"/>
          <w:lang w:val="en-GB"/>
        </w:rPr>
        <w:t>Shephard, S., Reid, D.G., Greenstreet, S.P.R. 2011. Interpreting the Large Fish Indicator for the Celtic Sea. ICES Journal of Marine Science, 68</w:t>
      </w:r>
      <w:r w:rsidR="00DA3345">
        <w:rPr>
          <w:rFonts w:asciiTheme="minorHAnsi" w:hAnsiTheme="minorHAnsi"/>
          <w:lang w:val="en-GB"/>
        </w:rPr>
        <w:t>:</w:t>
      </w:r>
      <w:r w:rsidRPr="00D858C2">
        <w:rPr>
          <w:rFonts w:asciiTheme="minorHAnsi" w:hAnsiTheme="minorHAnsi"/>
          <w:lang w:val="en-GB"/>
        </w:rPr>
        <w:t xml:space="preserve"> 1963-1972.</w:t>
      </w:r>
    </w:p>
    <w:p w14:paraId="649ABF18" w14:textId="5913EC23" w:rsidR="00D858C2" w:rsidRPr="00D858C2" w:rsidRDefault="00D858C2" w:rsidP="00D858C2">
      <w:pPr>
        <w:pStyle w:val="Brdtext"/>
        <w:rPr>
          <w:rFonts w:asciiTheme="minorHAnsi" w:hAnsiTheme="minorHAnsi"/>
          <w:lang w:val="en-GB"/>
        </w:rPr>
      </w:pPr>
      <w:r w:rsidRPr="00D858C2">
        <w:rPr>
          <w:rFonts w:asciiTheme="minorHAnsi" w:hAnsiTheme="minorHAnsi"/>
          <w:lang w:val="en-GB"/>
        </w:rPr>
        <w:t>Simpson</w:t>
      </w:r>
      <w:r w:rsidR="004B4E7B">
        <w:rPr>
          <w:rFonts w:asciiTheme="minorHAnsi" w:hAnsiTheme="minorHAnsi"/>
          <w:lang w:val="en-GB"/>
        </w:rPr>
        <w:t>,</w:t>
      </w:r>
      <w:r w:rsidRPr="00D858C2">
        <w:rPr>
          <w:rFonts w:asciiTheme="minorHAnsi" w:hAnsiTheme="minorHAnsi"/>
          <w:lang w:val="en-GB"/>
        </w:rPr>
        <w:t xml:space="preserve"> S</w:t>
      </w:r>
      <w:r w:rsidR="004B4E7B">
        <w:rPr>
          <w:rFonts w:asciiTheme="minorHAnsi" w:hAnsiTheme="minorHAnsi"/>
          <w:lang w:val="en-GB"/>
        </w:rPr>
        <w:t>.</w:t>
      </w:r>
      <w:r w:rsidRPr="00D858C2">
        <w:rPr>
          <w:rFonts w:asciiTheme="minorHAnsi" w:hAnsiTheme="minorHAnsi"/>
          <w:lang w:val="en-GB"/>
        </w:rPr>
        <w:t>D</w:t>
      </w:r>
      <w:r w:rsidR="004B4E7B">
        <w:rPr>
          <w:rFonts w:asciiTheme="minorHAnsi" w:hAnsiTheme="minorHAnsi"/>
          <w:lang w:val="en-GB"/>
        </w:rPr>
        <w:t>.</w:t>
      </w:r>
      <w:r w:rsidRPr="00D858C2">
        <w:rPr>
          <w:rFonts w:asciiTheme="minorHAnsi" w:hAnsiTheme="minorHAnsi"/>
          <w:lang w:val="en-GB"/>
        </w:rPr>
        <w:t>, Jennings</w:t>
      </w:r>
      <w:r w:rsidR="004B4E7B">
        <w:rPr>
          <w:rFonts w:asciiTheme="minorHAnsi" w:hAnsiTheme="minorHAnsi"/>
          <w:lang w:val="en-GB"/>
        </w:rPr>
        <w:t>,</w:t>
      </w:r>
      <w:r w:rsidRPr="00D858C2">
        <w:rPr>
          <w:rFonts w:asciiTheme="minorHAnsi" w:hAnsiTheme="minorHAnsi"/>
          <w:lang w:val="en-GB"/>
        </w:rPr>
        <w:t xml:space="preserve"> S</w:t>
      </w:r>
      <w:r w:rsidR="004B4E7B">
        <w:rPr>
          <w:rFonts w:asciiTheme="minorHAnsi" w:hAnsiTheme="minorHAnsi"/>
          <w:lang w:val="en-GB"/>
        </w:rPr>
        <w:t>.</w:t>
      </w:r>
      <w:r w:rsidRPr="00D858C2">
        <w:rPr>
          <w:rFonts w:asciiTheme="minorHAnsi" w:hAnsiTheme="minorHAnsi"/>
          <w:lang w:val="en-GB"/>
        </w:rPr>
        <w:t>, Johnson</w:t>
      </w:r>
      <w:r w:rsidR="004B4E7B">
        <w:rPr>
          <w:rFonts w:asciiTheme="minorHAnsi" w:hAnsiTheme="minorHAnsi"/>
          <w:lang w:val="en-GB"/>
        </w:rPr>
        <w:t>,</w:t>
      </w:r>
      <w:r w:rsidRPr="00D858C2">
        <w:rPr>
          <w:rFonts w:asciiTheme="minorHAnsi" w:hAnsiTheme="minorHAnsi"/>
          <w:lang w:val="en-GB"/>
        </w:rPr>
        <w:t xml:space="preserve"> M</w:t>
      </w:r>
      <w:r w:rsidR="004B4E7B">
        <w:rPr>
          <w:rFonts w:asciiTheme="minorHAnsi" w:hAnsiTheme="minorHAnsi"/>
          <w:lang w:val="en-GB"/>
        </w:rPr>
        <w:t>.</w:t>
      </w:r>
      <w:r w:rsidRPr="00D858C2">
        <w:rPr>
          <w:rFonts w:asciiTheme="minorHAnsi" w:hAnsiTheme="minorHAnsi"/>
          <w:lang w:val="en-GB"/>
        </w:rPr>
        <w:t>P</w:t>
      </w:r>
      <w:r w:rsidR="004B4E7B">
        <w:rPr>
          <w:rFonts w:asciiTheme="minorHAnsi" w:hAnsiTheme="minorHAnsi"/>
          <w:lang w:val="en-GB"/>
        </w:rPr>
        <w:t>.</w:t>
      </w:r>
      <w:r w:rsidRPr="00D858C2">
        <w:rPr>
          <w:rFonts w:asciiTheme="minorHAnsi" w:hAnsiTheme="minorHAnsi"/>
          <w:lang w:val="en-GB"/>
        </w:rPr>
        <w:t>, Blanchard</w:t>
      </w:r>
      <w:r w:rsidR="004B4E7B">
        <w:rPr>
          <w:rFonts w:asciiTheme="minorHAnsi" w:hAnsiTheme="minorHAnsi"/>
          <w:lang w:val="en-GB"/>
        </w:rPr>
        <w:t>,</w:t>
      </w:r>
      <w:r w:rsidRPr="00D858C2">
        <w:rPr>
          <w:rFonts w:asciiTheme="minorHAnsi" w:hAnsiTheme="minorHAnsi"/>
          <w:lang w:val="en-GB"/>
        </w:rPr>
        <w:t xml:space="preserve"> J</w:t>
      </w:r>
      <w:r w:rsidR="004B4E7B">
        <w:rPr>
          <w:rFonts w:asciiTheme="minorHAnsi" w:hAnsiTheme="minorHAnsi"/>
          <w:lang w:val="en-GB"/>
        </w:rPr>
        <w:t>.</w:t>
      </w:r>
      <w:r w:rsidRPr="00D858C2">
        <w:rPr>
          <w:rFonts w:asciiTheme="minorHAnsi" w:hAnsiTheme="minorHAnsi"/>
          <w:lang w:val="en-GB"/>
        </w:rPr>
        <w:t>L</w:t>
      </w:r>
      <w:r w:rsidR="004B4E7B">
        <w:rPr>
          <w:rFonts w:asciiTheme="minorHAnsi" w:hAnsiTheme="minorHAnsi"/>
          <w:lang w:val="en-GB"/>
        </w:rPr>
        <w:t>.</w:t>
      </w:r>
      <w:r w:rsidRPr="00D858C2">
        <w:rPr>
          <w:rFonts w:asciiTheme="minorHAnsi" w:hAnsiTheme="minorHAnsi"/>
          <w:lang w:val="en-GB"/>
        </w:rPr>
        <w:t>, Schon</w:t>
      </w:r>
      <w:r w:rsidR="004B4E7B">
        <w:rPr>
          <w:rFonts w:asciiTheme="minorHAnsi" w:hAnsiTheme="minorHAnsi"/>
          <w:lang w:val="en-GB"/>
        </w:rPr>
        <w:t>,</w:t>
      </w:r>
      <w:r w:rsidRPr="00D858C2">
        <w:rPr>
          <w:rFonts w:asciiTheme="minorHAnsi" w:hAnsiTheme="minorHAnsi"/>
          <w:lang w:val="en-GB"/>
        </w:rPr>
        <w:t xml:space="preserve"> P-J</w:t>
      </w:r>
      <w:r w:rsidR="004B4E7B">
        <w:rPr>
          <w:rFonts w:asciiTheme="minorHAnsi" w:hAnsiTheme="minorHAnsi"/>
          <w:lang w:val="en-GB"/>
        </w:rPr>
        <w:t>.</w:t>
      </w:r>
      <w:r w:rsidRPr="00D858C2">
        <w:rPr>
          <w:rFonts w:asciiTheme="minorHAnsi" w:hAnsiTheme="minorHAnsi"/>
          <w:lang w:val="en-GB"/>
        </w:rPr>
        <w:t>, Sims</w:t>
      </w:r>
      <w:r w:rsidR="004B4E7B">
        <w:rPr>
          <w:rFonts w:asciiTheme="minorHAnsi" w:hAnsiTheme="minorHAnsi"/>
          <w:lang w:val="en-GB"/>
        </w:rPr>
        <w:t>,</w:t>
      </w:r>
      <w:r w:rsidRPr="00D858C2">
        <w:rPr>
          <w:rFonts w:asciiTheme="minorHAnsi" w:hAnsiTheme="minorHAnsi"/>
          <w:lang w:val="en-GB"/>
        </w:rPr>
        <w:t xml:space="preserve"> D</w:t>
      </w:r>
      <w:r w:rsidR="004B4E7B">
        <w:rPr>
          <w:rFonts w:asciiTheme="minorHAnsi" w:hAnsiTheme="minorHAnsi"/>
          <w:lang w:val="en-GB"/>
        </w:rPr>
        <w:t>.</w:t>
      </w:r>
      <w:r w:rsidRPr="00D858C2">
        <w:rPr>
          <w:rFonts w:asciiTheme="minorHAnsi" w:hAnsiTheme="minorHAnsi"/>
          <w:lang w:val="en-GB"/>
        </w:rPr>
        <w:t>W</w:t>
      </w:r>
      <w:r w:rsidR="004B4E7B">
        <w:rPr>
          <w:rFonts w:asciiTheme="minorHAnsi" w:hAnsiTheme="minorHAnsi"/>
          <w:lang w:val="en-GB"/>
        </w:rPr>
        <w:t>.</w:t>
      </w:r>
      <w:r w:rsidRPr="00D858C2">
        <w:rPr>
          <w:rFonts w:asciiTheme="minorHAnsi" w:hAnsiTheme="minorHAnsi"/>
          <w:lang w:val="en-GB"/>
        </w:rPr>
        <w:t>, Genner</w:t>
      </w:r>
      <w:r w:rsidR="004B4E7B">
        <w:rPr>
          <w:rFonts w:asciiTheme="minorHAnsi" w:hAnsiTheme="minorHAnsi"/>
          <w:lang w:val="en-GB"/>
        </w:rPr>
        <w:t>,</w:t>
      </w:r>
      <w:r w:rsidRPr="00D858C2">
        <w:rPr>
          <w:rFonts w:asciiTheme="minorHAnsi" w:hAnsiTheme="minorHAnsi"/>
          <w:lang w:val="en-GB"/>
        </w:rPr>
        <w:t xml:space="preserve"> M</w:t>
      </w:r>
      <w:r w:rsidR="004B4E7B">
        <w:rPr>
          <w:rFonts w:asciiTheme="minorHAnsi" w:hAnsiTheme="minorHAnsi"/>
          <w:lang w:val="en-GB"/>
        </w:rPr>
        <w:t>.</w:t>
      </w:r>
      <w:r w:rsidRPr="00D858C2">
        <w:rPr>
          <w:rFonts w:asciiTheme="minorHAnsi" w:hAnsiTheme="minorHAnsi"/>
          <w:lang w:val="en-GB"/>
        </w:rPr>
        <w:t>J. 2011. Continental shelf-wide response of a fish assemblage to rapid warming of the sea. Current Biology 21</w:t>
      </w:r>
      <w:r w:rsidR="00DA3345">
        <w:rPr>
          <w:rFonts w:asciiTheme="minorHAnsi" w:hAnsiTheme="minorHAnsi"/>
          <w:lang w:val="en-GB"/>
        </w:rPr>
        <w:t>:</w:t>
      </w:r>
      <w:r w:rsidRPr="00D858C2">
        <w:rPr>
          <w:rFonts w:asciiTheme="minorHAnsi" w:hAnsiTheme="minorHAnsi"/>
          <w:lang w:val="en-GB"/>
        </w:rPr>
        <w:t xml:space="preserve"> 1565–1570.</w:t>
      </w:r>
    </w:p>
    <w:p w14:paraId="1FA1DA6E" w14:textId="0A4E1FB0" w:rsidR="00D858C2" w:rsidRPr="00D858C2" w:rsidRDefault="00D858C2" w:rsidP="00D858C2">
      <w:pPr>
        <w:pStyle w:val="Brdtext"/>
        <w:rPr>
          <w:rFonts w:asciiTheme="minorHAnsi" w:hAnsiTheme="minorHAnsi"/>
          <w:lang w:val="en-GB"/>
        </w:rPr>
      </w:pPr>
      <w:r w:rsidRPr="00D858C2">
        <w:rPr>
          <w:rFonts w:asciiTheme="minorHAnsi" w:hAnsiTheme="minorHAnsi"/>
          <w:lang w:val="en-GB"/>
        </w:rPr>
        <w:lastRenderedPageBreak/>
        <w:t>Spiers, D.C., Greenstreet, S.P.R., Heath, M.R. 2016. Modelling the effects of fishing on the North Sea fish community size composition. Ecological Modelling. 321</w:t>
      </w:r>
      <w:r w:rsidR="00DA3345">
        <w:rPr>
          <w:rFonts w:asciiTheme="minorHAnsi" w:hAnsiTheme="minorHAnsi"/>
          <w:lang w:val="en-GB"/>
        </w:rPr>
        <w:t>:</w:t>
      </w:r>
      <w:r w:rsidRPr="00D858C2">
        <w:rPr>
          <w:rFonts w:asciiTheme="minorHAnsi" w:hAnsiTheme="minorHAnsi"/>
          <w:lang w:val="en-GB"/>
        </w:rPr>
        <w:t xml:space="preserve"> 35-45</w:t>
      </w:r>
    </w:p>
    <w:p w14:paraId="1F457838" w14:textId="28B08552" w:rsidR="00D858C2" w:rsidRDefault="00D858C2" w:rsidP="00D858C2">
      <w:pPr>
        <w:pStyle w:val="Brdtext"/>
        <w:rPr>
          <w:rFonts w:asciiTheme="minorHAnsi" w:hAnsiTheme="minorHAnsi"/>
          <w:lang w:val="en-GB"/>
        </w:rPr>
      </w:pPr>
      <w:r w:rsidRPr="00D858C2">
        <w:rPr>
          <w:rFonts w:asciiTheme="minorHAnsi" w:hAnsiTheme="minorHAnsi"/>
          <w:lang w:val="en-GB"/>
        </w:rPr>
        <w:t>ter Hofstede</w:t>
      </w:r>
      <w:r w:rsidR="004B4E7B">
        <w:rPr>
          <w:rFonts w:asciiTheme="minorHAnsi" w:hAnsiTheme="minorHAnsi"/>
          <w:lang w:val="en-GB"/>
        </w:rPr>
        <w:t>,</w:t>
      </w:r>
      <w:r w:rsidRPr="00D858C2">
        <w:rPr>
          <w:rFonts w:asciiTheme="minorHAnsi" w:hAnsiTheme="minorHAnsi"/>
          <w:lang w:val="en-GB"/>
        </w:rPr>
        <w:t xml:space="preserve"> R</w:t>
      </w:r>
      <w:r w:rsidR="004B4E7B">
        <w:rPr>
          <w:rFonts w:asciiTheme="minorHAnsi" w:hAnsiTheme="minorHAnsi"/>
          <w:lang w:val="en-GB"/>
        </w:rPr>
        <w:t>.</w:t>
      </w:r>
      <w:r w:rsidRPr="00D858C2">
        <w:rPr>
          <w:rFonts w:asciiTheme="minorHAnsi" w:hAnsiTheme="minorHAnsi"/>
          <w:lang w:val="en-GB"/>
        </w:rPr>
        <w:t>, Hiddink</w:t>
      </w:r>
      <w:r w:rsidR="004B4E7B">
        <w:rPr>
          <w:rFonts w:asciiTheme="minorHAnsi" w:hAnsiTheme="minorHAnsi"/>
          <w:lang w:val="en-GB"/>
        </w:rPr>
        <w:t>,</w:t>
      </w:r>
      <w:r w:rsidRPr="00D858C2">
        <w:rPr>
          <w:rFonts w:asciiTheme="minorHAnsi" w:hAnsiTheme="minorHAnsi"/>
          <w:lang w:val="en-GB"/>
        </w:rPr>
        <w:t xml:space="preserve"> J</w:t>
      </w:r>
      <w:r w:rsidR="004B4E7B">
        <w:rPr>
          <w:rFonts w:asciiTheme="minorHAnsi" w:hAnsiTheme="minorHAnsi"/>
          <w:lang w:val="en-GB"/>
        </w:rPr>
        <w:t>.</w:t>
      </w:r>
      <w:r w:rsidRPr="00D858C2">
        <w:rPr>
          <w:rFonts w:asciiTheme="minorHAnsi" w:hAnsiTheme="minorHAnsi"/>
          <w:lang w:val="en-GB"/>
        </w:rPr>
        <w:t>G</w:t>
      </w:r>
      <w:r w:rsidR="004B4E7B">
        <w:rPr>
          <w:rFonts w:asciiTheme="minorHAnsi" w:hAnsiTheme="minorHAnsi"/>
          <w:lang w:val="en-GB"/>
        </w:rPr>
        <w:t>.</w:t>
      </w:r>
      <w:r w:rsidRPr="00D858C2">
        <w:rPr>
          <w:rFonts w:asciiTheme="minorHAnsi" w:hAnsiTheme="minorHAnsi"/>
          <w:lang w:val="en-GB"/>
        </w:rPr>
        <w:t>, Rijnsdorp</w:t>
      </w:r>
      <w:r w:rsidR="004B4E7B">
        <w:rPr>
          <w:rFonts w:asciiTheme="minorHAnsi" w:hAnsiTheme="minorHAnsi"/>
          <w:lang w:val="en-GB"/>
        </w:rPr>
        <w:t>,</w:t>
      </w:r>
      <w:r w:rsidRPr="00D858C2">
        <w:rPr>
          <w:rFonts w:asciiTheme="minorHAnsi" w:hAnsiTheme="minorHAnsi"/>
          <w:lang w:val="en-GB"/>
        </w:rPr>
        <w:t xml:space="preserve"> A</w:t>
      </w:r>
      <w:r w:rsidR="004B4E7B">
        <w:rPr>
          <w:rFonts w:asciiTheme="minorHAnsi" w:hAnsiTheme="minorHAnsi"/>
          <w:lang w:val="en-GB"/>
        </w:rPr>
        <w:t>.</w:t>
      </w:r>
      <w:r w:rsidRPr="00D858C2">
        <w:rPr>
          <w:rFonts w:asciiTheme="minorHAnsi" w:hAnsiTheme="minorHAnsi"/>
          <w:lang w:val="en-GB"/>
        </w:rPr>
        <w:t>D. 2010. Regional warming changes fish species richness in the eastern North Atlantic</w:t>
      </w:r>
      <w:r w:rsidR="00080323">
        <w:rPr>
          <w:rFonts w:asciiTheme="minorHAnsi" w:hAnsiTheme="minorHAnsi"/>
          <w:lang w:val="en-GB"/>
        </w:rPr>
        <w:t xml:space="preserve"> </w:t>
      </w:r>
      <w:r w:rsidRPr="00D858C2">
        <w:rPr>
          <w:rFonts w:asciiTheme="minorHAnsi" w:hAnsiTheme="minorHAnsi"/>
          <w:lang w:val="en-GB"/>
        </w:rPr>
        <w:t>Ocean. Marine Ecology Progress Series, 414</w:t>
      </w:r>
      <w:r w:rsidR="00DA3345">
        <w:rPr>
          <w:rFonts w:asciiTheme="minorHAnsi" w:hAnsiTheme="minorHAnsi"/>
          <w:lang w:val="en-GB"/>
        </w:rPr>
        <w:t>:</w:t>
      </w:r>
      <w:r w:rsidRPr="00D858C2">
        <w:rPr>
          <w:rFonts w:asciiTheme="minorHAnsi" w:hAnsiTheme="minorHAnsi"/>
          <w:lang w:val="en-GB"/>
        </w:rPr>
        <w:t xml:space="preserve"> 1–9.</w:t>
      </w:r>
    </w:p>
    <w:p w14:paraId="7418DFCC" w14:textId="1B6829E9" w:rsidR="00080323" w:rsidRPr="004B4E7B" w:rsidRDefault="00080323" w:rsidP="00D858C2">
      <w:pPr>
        <w:pStyle w:val="Brdtext"/>
        <w:rPr>
          <w:rFonts w:asciiTheme="minorHAnsi" w:hAnsiTheme="minorHAnsi"/>
          <w:lang w:val="en-US"/>
        </w:rPr>
      </w:pPr>
      <w:r w:rsidRPr="00B00436">
        <w:rPr>
          <w:rFonts w:asciiTheme="minorHAnsi" w:hAnsiTheme="minorHAnsi"/>
          <w:lang w:val="en-GB"/>
        </w:rPr>
        <w:t>Östman</w:t>
      </w:r>
      <w:r w:rsidR="004B4E7B" w:rsidRPr="00B00436">
        <w:rPr>
          <w:rFonts w:asciiTheme="minorHAnsi" w:hAnsiTheme="minorHAnsi"/>
          <w:lang w:val="en-GB"/>
        </w:rPr>
        <w:t>,</w:t>
      </w:r>
      <w:r w:rsidRPr="00B00436">
        <w:rPr>
          <w:rFonts w:asciiTheme="minorHAnsi" w:hAnsiTheme="minorHAnsi"/>
          <w:lang w:val="en-GB"/>
        </w:rPr>
        <w:t xml:space="preserve"> Ö., Eklöf J., </w:t>
      </w:r>
      <w:r w:rsidR="004B4E7B" w:rsidRPr="00B00436">
        <w:rPr>
          <w:rFonts w:asciiTheme="minorHAnsi" w:hAnsiTheme="minorHAnsi"/>
          <w:lang w:val="en-GB"/>
        </w:rPr>
        <w:t xml:space="preserve">Eriksson, B. K., Olsson, J., Moksnes, P-O., Bergström, U. 2016. </w:t>
      </w:r>
      <w:r w:rsidR="004B4E7B" w:rsidRPr="004B4E7B">
        <w:rPr>
          <w:rFonts w:asciiTheme="minorHAnsi" w:hAnsiTheme="minorHAnsi"/>
          <w:lang w:val="en-US"/>
        </w:rPr>
        <w:t>Top-</w:t>
      </w:r>
      <w:r w:rsidR="002F092B">
        <w:rPr>
          <w:rFonts w:asciiTheme="minorHAnsi" w:hAnsiTheme="minorHAnsi"/>
          <w:lang w:val="en-US"/>
        </w:rPr>
        <w:t xml:space="preserve"> d</w:t>
      </w:r>
      <w:r w:rsidR="004B4E7B" w:rsidRPr="004B4E7B">
        <w:rPr>
          <w:rFonts w:asciiTheme="minorHAnsi" w:hAnsiTheme="minorHAnsi"/>
          <w:lang w:val="en-US"/>
        </w:rPr>
        <w:t>own control as important as nutrient enrichment for eutrophication effects in North Atlantic coastal ecosystem.</w:t>
      </w:r>
      <w:r w:rsidR="004B4E7B">
        <w:rPr>
          <w:rFonts w:asciiTheme="minorHAnsi" w:hAnsiTheme="minorHAnsi"/>
          <w:lang w:val="en-US"/>
        </w:rPr>
        <w:t xml:space="preserve"> J</w:t>
      </w:r>
      <w:r w:rsidR="00DA3345">
        <w:rPr>
          <w:rFonts w:asciiTheme="minorHAnsi" w:hAnsiTheme="minorHAnsi"/>
          <w:lang w:val="en-US"/>
        </w:rPr>
        <w:t>ournal of Applied Ecology, 53: 1138-1147.</w:t>
      </w:r>
      <w:r w:rsidR="004B4E7B" w:rsidRPr="004B4E7B">
        <w:rPr>
          <w:rFonts w:asciiTheme="minorHAnsi" w:hAnsiTheme="minorHAnsi"/>
          <w:lang w:val="en-US"/>
        </w:rPr>
        <w:t xml:space="preserve"> </w:t>
      </w:r>
    </w:p>
    <w:p w14:paraId="4721B00B" w14:textId="77777777" w:rsidR="00D858C2" w:rsidRPr="004B4E7B" w:rsidRDefault="00D858C2" w:rsidP="00D858C2">
      <w:pPr>
        <w:pStyle w:val="Brdtext"/>
        <w:rPr>
          <w:rFonts w:asciiTheme="minorHAnsi" w:hAnsiTheme="minorHAnsi"/>
          <w:lang w:val="en-US"/>
        </w:rPr>
      </w:pPr>
    </w:p>
    <w:p w14:paraId="726B7C92" w14:textId="77777777" w:rsidR="00D858C2" w:rsidRPr="004B4E7B" w:rsidRDefault="00D858C2" w:rsidP="007C6A94">
      <w:pPr>
        <w:pStyle w:val="Brdtext"/>
        <w:rPr>
          <w:b/>
          <w:lang w:val="en-US"/>
        </w:rPr>
      </w:pPr>
    </w:p>
    <w:sectPr w:rsidR="00D858C2" w:rsidRPr="004B4E7B">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B3D95" w14:textId="77777777" w:rsidR="001437F9" w:rsidRDefault="001437F9" w:rsidP="00D846CA">
      <w:r>
        <w:separator/>
      </w:r>
    </w:p>
  </w:endnote>
  <w:endnote w:type="continuationSeparator" w:id="0">
    <w:p w14:paraId="62A4C5E7" w14:textId="77777777" w:rsidR="001437F9" w:rsidRDefault="001437F9" w:rsidP="00D84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874715"/>
      <w:docPartObj>
        <w:docPartGallery w:val="Page Numbers (Bottom of Page)"/>
        <w:docPartUnique/>
      </w:docPartObj>
    </w:sdtPr>
    <w:sdtEndPr/>
    <w:sdtContent>
      <w:p w14:paraId="4EEDEA50" w14:textId="58E0424F" w:rsidR="001A169A" w:rsidRDefault="001A169A">
        <w:pPr>
          <w:pStyle w:val="Sidfot"/>
          <w:jc w:val="right"/>
        </w:pPr>
        <w:r w:rsidRPr="00D403D0">
          <w:rPr>
            <w:sz w:val="18"/>
            <w:szCs w:val="18"/>
          </w:rPr>
          <w:fldChar w:fldCharType="begin"/>
        </w:r>
        <w:r w:rsidRPr="00D403D0">
          <w:rPr>
            <w:sz w:val="18"/>
            <w:szCs w:val="18"/>
          </w:rPr>
          <w:instrText>PAGE   \* MERGEFORMAT</w:instrText>
        </w:r>
        <w:r w:rsidRPr="00D403D0">
          <w:rPr>
            <w:sz w:val="18"/>
            <w:szCs w:val="18"/>
          </w:rPr>
          <w:fldChar w:fldCharType="separate"/>
        </w:r>
        <w:r w:rsidR="00876FF2">
          <w:rPr>
            <w:sz w:val="18"/>
            <w:szCs w:val="18"/>
          </w:rPr>
          <w:t>15</w:t>
        </w:r>
        <w:r w:rsidRPr="00D403D0">
          <w:rPr>
            <w:sz w:val="18"/>
            <w:szCs w:val="18"/>
          </w:rPr>
          <w:fldChar w:fldCharType="end"/>
        </w:r>
      </w:p>
    </w:sdtContent>
  </w:sdt>
  <w:p w14:paraId="1842D229" w14:textId="77777777" w:rsidR="001A169A" w:rsidRPr="00356C54" w:rsidRDefault="001A169A" w:rsidP="00356C5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F7796B" w14:textId="77777777" w:rsidR="001437F9" w:rsidRDefault="001437F9" w:rsidP="00D846CA">
      <w:r>
        <w:separator/>
      </w:r>
    </w:p>
  </w:footnote>
  <w:footnote w:type="continuationSeparator" w:id="0">
    <w:p w14:paraId="3C4372EF" w14:textId="77777777" w:rsidR="001437F9" w:rsidRDefault="001437F9" w:rsidP="00D84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9F48A" w14:textId="77777777" w:rsidR="001A169A" w:rsidRDefault="001A169A">
    <w:pPr>
      <w:pStyle w:val="Sidhuvud"/>
    </w:pPr>
    <w:bookmarkStart w:id="1" w:name="bmLogga"/>
    <w:r>
      <w:rPr>
        <w:lang w:eastAsia="sv-SE"/>
      </w:rPr>
      <w:drawing>
        <wp:inline distT="0" distB="0" distL="0" distR="0" wp14:anchorId="7A80BDDC" wp14:editId="38009D14">
          <wp:extent cx="1443231" cy="58369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_SvFar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3231" cy="583693"/>
                  </a:xfrm>
                  <a:prstGeom prst="rect">
                    <a:avLst/>
                  </a:prstGeom>
                </pic:spPr>
              </pic:pic>
            </a:graphicData>
          </a:graphic>
        </wp:inline>
      </w:drawing>
    </w:r>
    <w:bookmarkEnd w:id="1"/>
  </w:p>
  <w:p w14:paraId="5DC754F5" w14:textId="77777777" w:rsidR="001A169A" w:rsidRPr="005A4563" w:rsidRDefault="001A169A" w:rsidP="005A456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14057F6"/>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A481705"/>
    <w:multiLevelType w:val="hybridMultilevel"/>
    <w:tmpl w:val="0994F0D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F1F5CDD"/>
    <w:multiLevelType w:val="hybridMultilevel"/>
    <w:tmpl w:val="BA2EF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15DEF"/>
    <w:multiLevelType w:val="hybridMultilevel"/>
    <w:tmpl w:val="1AD49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D43DA"/>
    <w:multiLevelType w:val="hybridMultilevel"/>
    <w:tmpl w:val="900480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42D3D0D"/>
    <w:multiLevelType w:val="hybridMultilevel"/>
    <w:tmpl w:val="F0966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2261D"/>
    <w:multiLevelType w:val="hybridMultilevel"/>
    <w:tmpl w:val="B5B20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23C15"/>
    <w:multiLevelType w:val="hybridMultilevel"/>
    <w:tmpl w:val="12FCA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E019B"/>
    <w:multiLevelType w:val="hybridMultilevel"/>
    <w:tmpl w:val="9780B50E"/>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0" w15:restartNumberingAfterBreak="0">
    <w:nsid w:val="260374B6"/>
    <w:multiLevelType w:val="hybridMultilevel"/>
    <w:tmpl w:val="02361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C30B8D"/>
    <w:multiLevelType w:val="hybridMultilevel"/>
    <w:tmpl w:val="AD669C0C"/>
    <w:lvl w:ilvl="0" w:tplc="041D000F">
      <w:start w:val="1"/>
      <w:numFmt w:val="decimal"/>
      <w:lvlText w:val="%1."/>
      <w:lvlJc w:val="left"/>
      <w:pPr>
        <w:ind w:left="810" w:hanging="360"/>
      </w:pPr>
    </w:lvl>
    <w:lvl w:ilvl="1" w:tplc="041D0019">
      <w:start w:val="1"/>
      <w:numFmt w:val="lowerLetter"/>
      <w:lvlText w:val="%2."/>
      <w:lvlJc w:val="left"/>
      <w:pPr>
        <w:ind w:left="1530" w:hanging="360"/>
      </w:pPr>
    </w:lvl>
    <w:lvl w:ilvl="2" w:tplc="041D001B">
      <w:start w:val="1"/>
      <w:numFmt w:val="lowerRoman"/>
      <w:lvlText w:val="%3."/>
      <w:lvlJc w:val="right"/>
      <w:pPr>
        <w:ind w:left="2250" w:hanging="180"/>
      </w:pPr>
    </w:lvl>
    <w:lvl w:ilvl="3" w:tplc="041D000F" w:tentative="1">
      <w:start w:val="1"/>
      <w:numFmt w:val="decimal"/>
      <w:lvlText w:val="%4."/>
      <w:lvlJc w:val="left"/>
      <w:pPr>
        <w:ind w:left="2970" w:hanging="360"/>
      </w:pPr>
    </w:lvl>
    <w:lvl w:ilvl="4" w:tplc="041D0019" w:tentative="1">
      <w:start w:val="1"/>
      <w:numFmt w:val="lowerLetter"/>
      <w:lvlText w:val="%5."/>
      <w:lvlJc w:val="left"/>
      <w:pPr>
        <w:ind w:left="3690" w:hanging="360"/>
      </w:pPr>
    </w:lvl>
    <w:lvl w:ilvl="5" w:tplc="041D001B" w:tentative="1">
      <w:start w:val="1"/>
      <w:numFmt w:val="lowerRoman"/>
      <w:lvlText w:val="%6."/>
      <w:lvlJc w:val="right"/>
      <w:pPr>
        <w:ind w:left="4410" w:hanging="180"/>
      </w:pPr>
    </w:lvl>
    <w:lvl w:ilvl="6" w:tplc="041D000F" w:tentative="1">
      <w:start w:val="1"/>
      <w:numFmt w:val="decimal"/>
      <w:lvlText w:val="%7."/>
      <w:lvlJc w:val="left"/>
      <w:pPr>
        <w:ind w:left="5130" w:hanging="360"/>
      </w:pPr>
    </w:lvl>
    <w:lvl w:ilvl="7" w:tplc="041D0019" w:tentative="1">
      <w:start w:val="1"/>
      <w:numFmt w:val="lowerLetter"/>
      <w:lvlText w:val="%8."/>
      <w:lvlJc w:val="left"/>
      <w:pPr>
        <w:ind w:left="5850" w:hanging="360"/>
      </w:pPr>
    </w:lvl>
    <w:lvl w:ilvl="8" w:tplc="041D001B" w:tentative="1">
      <w:start w:val="1"/>
      <w:numFmt w:val="lowerRoman"/>
      <w:lvlText w:val="%9."/>
      <w:lvlJc w:val="right"/>
      <w:pPr>
        <w:ind w:left="6570" w:hanging="180"/>
      </w:pPr>
    </w:lvl>
  </w:abstractNum>
  <w:abstractNum w:abstractNumId="12" w15:restartNumberingAfterBreak="0">
    <w:nsid w:val="2A617EA7"/>
    <w:multiLevelType w:val="hybridMultilevel"/>
    <w:tmpl w:val="1F3A6FF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3" w15:restartNumberingAfterBreak="0">
    <w:nsid w:val="2C7536D3"/>
    <w:multiLevelType w:val="hybridMultilevel"/>
    <w:tmpl w:val="534A9A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4C36BB5"/>
    <w:multiLevelType w:val="hybridMultilevel"/>
    <w:tmpl w:val="9A961C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0F030C"/>
    <w:multiLevelType w:val="hybridMultilevel"/>
    <w:tmpl w:val="E5E41442"/>
    <w:lvl w:ilvl="0" w:tplc="B10A3E20">
      <w:start w:val="1"/>
      <w:numFmt w:val="bullet"/>
      <w:pStyle w:val="Lista-Punkter"/>
      <w:lvlText w:val=""/>
      <w:lvlJc w:val="left"/>
      <w:pPr>
        <w:tabs>
          <w:tab w:val="num" w:pos="360"/>
        </w:tabs>
        <w:ind w:left="360" w:hanging="360"/>
      </w:pPr>
      <w:rPr>
        <w:rFonts w:ascii="Symbol" w:hAnsi="Symbol" w:hint="default"/>
        <w:color w:val="80808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4E1F81"/>
    <w:multiLevelType w:val="hybridMultilevel"/>
    <w:tmpl w:val="AD7AA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0F7711"/>
    <w:multiLevelType w:val="hybridMultilevel"/>
    <w:tmpl w:val="2304D5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3EE4F55"/>
    <w:multiLevelType w:val="hybridMultilevel"/>
    <w:tmpl w:val="71148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47421B"/>
    <w:multiLevelType w:val="hybridMultilevel"/>
    <w:tmpl w:val="E0EA34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E665A29"/>
    <w:multiLevelType w:val="hybridMultilevel"/>
    <w:tmpl w:val="A90A8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BF7E4E"/>
    <w:multiLevelType w:val="hybridMultilevel"/>
    <w:tmpl w:val="B41C19F0"/>
    <w:lvl w:ilvl="0" w:tplc="AE1034CA">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5D5376ED"/>
    <w:multiLevelType w:val="hybridMultilevel"/>
    <w:tmpl w:val="5390200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3" w15:restartNumberingAfterBreak="0">
    <w:nsid w:val="5D73414D"/>
    <w:multiLevelType w:val="multilevel"/>
    <w:tmpl w:val="D4B0EFF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15:restartNumberingAfterBreak="0">
    <w:nsid w:val="5E720D13"/>
    <w:multiLevelType w:val="hybridMultilevel"/>
    <w:tmpl w:val="83EEEA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FE822EE"/>
    <w:multiLevelType w:val="hybridMultilevel"/>
    <w:tmpl w:val="5B820840"/>
    <w:lvl w:ilvl="0" w:tplc="041D0001">
      <w:start w:val="1"/>
      <w:numFmt w:val="bullet"/>
      <w:lvlText w:val=""/>
      <w:lvlJc w:val="left"/>
      <w:pPr>
        <w:tabs>
          <w:tab w:val="num" w:pos="644"/>
        </w:tabs>
        <w:ind w:left="644" w:hanging="360"/>
      </w:pPr>
      <w:rPr>
        <w:rFonts w:ascii="Symbol" w:hAnsi="Symbol" w:hint="default"/>
      </w:rPr>
    </w:lvl>
    <w:lvl w:ilvl="1" w:tplc="041D0003" w:tentative="1">
      <w:start w:val="1"/>
      <w:numFmt w:val="bullet"/>
      <w:lvlText w:val="o"/>
      <w:lvlJc w:val="left"/>
      <w:pPr>
        <w:tabs>
          <w:tab w:val="num" w:pos="1364"/>
        </w:tabs>
        <w:ind w:left="1364" w:hanging="360"/>
      </w:pPr>
      <w:rPr>
        <w:rFonts w:ascii="Courier New" w:hAnsi="Courier New" w:hint="default"/>
      </w:rPr>
    </w:lvl>
    <w:lvl w:ilvl="2" w:tplc="041D0005" w:tentative="1">
      <w:start w:val="1"/>
      <w:numFmt w:val="bullet"/>
      <w:lvlText w:val=""/>
      <w:lvlJc w:val="left"/>
      <w:pPr>
        <w:tabs>
          <w:tab w:val="num" w:pos="2084"/>
        </w:tabs>
        <w:ind w:left="2084" w:hanging="360"/>
      </w:pPr>
      <w:rPr>
        <w:rFonts w:ascii="Wingdings" w:hAnsi="Wingdings" w:hint="default"/>
      </w:rPr>
    </w:lvl>
    <w:lvl w:ilvl="3" w:tplc="041D0001" w:tentative="1">
      <w:start w:val="1"/>
      <w:numFmt w:val="bullet"/>
      <w:lvlText w:val=""/>
      <w:lvlJc w:val="left"/>
      <w:pPr>
        <w:tabs>
          <w:tab w:val="num" w:pos="2804"/>
        </w:tabs>
        <w:ind w:left="2804" w:hanging="360"/>
      </w:pPr>
      <w:rPr>
        <w:rFonts w:ascii="Symbol" w:hAnsi="Symbol" w:hint="default"/>
      </w:rPr>
    </w:lvl>
    <w:lvl w:ilvl="4" w:tplc="041D0003" w:tentative="1">
      <w:start w:val="1"/>
      <w:numFmt w:val="bullet"/>
      <w:lvlText w:val="o"/>
      <w:lvlJc w:val="left"/>
      <w:pPr>
        <w:tabs>
          <w:tab w:val="num" w:pos="3524"/>
        </w:tabs>
        <w:ind w:left="3524" w:hanging="360"/>
      </w:pPr>
      <w:rPr>
        <w:rFonts w:ascii="Courier New" w:hAnsi="Courier New" w:hint="default"/>
      </w:rPr>
    </w:lvl>
    <w:lvl w:ilvl="5" w:tplc="041D0005" w:tentative="1">
      <w:start w:val="1"/>
      <w:numFmt w:val="bullet"/>
      <w:lvlText w:val=""/>
      <w:lvlJc w:val="left"/>
      <w:pPr>
        <w:tabs>
          <w:tab w:val="num" w:pos="4244"/>
        </w:tabs>
        <w:ind w:left="4244" w:hanging="360"/>
      </w:pPr>
      <w:rPr>
        <w:rFonts w:ascii="Wingdings" w:hAnsi="Wingdings" w:hint="default"/>
      </w:rPr>
    </w:lvl>
    <w:lvl w:ilvl="6" w:tplc="041D0001" w:tentative="1">
      <w:start w:val="1"/>
      <w:numFmt w:val="bullet"/>
      <w:lvlText w:val=""/>
      <w:lvlJc w:val="left"/>
      <w:pPr>
        <w:tabs>
          <w:tab w:val="num" w:pos="4964"/>
        </w:tabs>
        <w:ind w:left="4964" w:hanging="360"/>
      </w:pPr>
      <w:rPr>
        <w:rFonts w:ascii="Symbol" w:hAnsi="Symbol" w:hint="default"/>
      </w:rPr>
    </w:lvl>
    <w:lvl w:ilvl="7" w:tplc="041D0003" w:tentative="1">
      <w:start w:val="1"/>
      <w:numFmt w:val="bullet"/>
      <w:lvlText w:val="o"/>
      <w:lvlJc w:val="left"/>
      <w:pPr>
        <w:tabs>
          <w:tab w:val="num" w:pos="5684"/>
        </w:tabs>
        <w:ind w:left="5684" w:hanging="360"/>
      </w:pPr>
      <w:rPr>
        <w:rFonts w:ascii="Courier New" w:hAnsi="Courier New" w:hint="default"/>
      </w:rPr>
    </w:lvl>
    <w:lvl w:ilvl="8" w:tplc="041D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610B294B"/>
    <w:multiLevelType w:val="hybridMultilevel"/>
    <w:tmpl w:val="5B4E25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AF21CCD"/>
    <w:multiLevelType w:val="hybridMultilevel"/>
    <w:tmpl w:val="149851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BE50789"/>
    <w:multiLevelType w:val="hybridMultilevel"/>
    <w:tmpl w:val="8244E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F7C42F8"/>
    <w:multiLevelType w:val="hybridMultilevel"/>
    <w:tmpl w:val="C35E7B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BA713A"/>
    <w:multiLevelType w:val="hybridMultilevel"/>
    <w:tmpl w:val="03764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1"/>
  </w:num>
  <w:num w:numId="5">
    <w:abstractNumId w:val="1"/>
  </w:num>
  <w:num w:numId="6">
    <w:abstractNumId w:val="1"/>
  </w:num>
  <w:num w:numId="7">
    <w:abstractNumId w:val="0"/>
  </w:num>
  <w:num w:numId="8">
    <w:abstractNumId w:val="1"/>
  </w:num>
  <w:num w:numId="9">
    <w:abstractNumId w:val="0"/>
  </w:num>
  <w:num w:numId="10">
    <w:abstractNumId w:val="1"/>
  </w:num>
  <w:num w:numId="11">
    <w:abstractNumId w:val="0"/>
  </w:num>
  <w:num w:numId="12">
    <w:abstractNumId w:val="13"/>
  </w:num>
  <w:num w:numId="13">
    <w:abstractNumId w:val="22"/>
  </w:num>
  <w:num w:numId="14">
    <w:abstractNumId w:val="2"/>
  </w:num>
  <w:num w:numId="15">
    <w:abstractNumId w:val="23"/>
  </w:num>
  <w:num w:numId="16">
    <w:abstractNumId w:val="9"/>
  </w:num>
  <w:num w:numId="17">
    <w:abstractNumId w:val="5"/>
  </w:num>
  <w:num w:numId="18">
    <w:abstractNumId w:val="25"/>
  </w:num>
  <w:num w:numId="19">
    <w:abstractNumId w:val="24"/>
  </w:num>
  <w:num w:numId="20">
    <w:abstractNumId w:val="19"/>
  </w:num>
  <w:num w:numId="21">
    <w:abstractNumId w:val="11"/>
  </w:num>
  <w:num w:numId="22">
    <w:abstractNumId w:val="15"/>
  </w:num>
  <w:num w:numId="23">
    <w:abstractNumId w:val="17"/>
  </w:num>
  <w:num w:numId="24">
    <w:abstractNumId w:val="10"/>
  </w:num>
  <w:num w:numId="25">
    <w:abstractNumId w:val="20"/>
  </w:num>
  <w:num w:numId="26">
    <w:abstractNumId w:val="12"/>
  </w:num>
  <w:num w:numId="27">
    <w:abstractNumId w:val="21"/>
  </w:num>
  <w:num w:numId="28">
    <w:abstractNumId w:val="16"/>
  </w:num>
  <w:num w:numId="29">
    <w:abstractNumId w:val="6"/>
  </w:num>
  <w:num w:numId="30">
    <w:abstractNumId w:val="26"/>
  </w:num>
  <w:num w:numId="31">
    <w:abstractNumId w:val="30"/>
  </w:num>
  <w:num w:numId="32">
    <w:abstractNumId w:val="18"/>
  </w:num>
  <w:num w:numId="33">
    <w:abstractNumId w:val="8"/>
  </w:num>
  <w:num w:numId="34">
    <w:abstractNumId w:val="14"/>
  </w:num>
  <w:num w:numId="35">
    <w:abstractNumId w:val="29"/>
  </w:num>
  <w:num w:numId="36">
    <w:abstractNumId w:val="7"/>
  </w:num>
  <w:num w:numId="37">
    <w:abstractNumId w:val="27"/>
  </w:num>
  <w:num w:numId="38">
    <w:abstractNumId w:val="3"/>
  </w:num>
  <w:num w:numId="39">
    <w:abstractNumId w:val="28"/>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563"/>
    <w:rsid w:val="00002BB5"/>
    <w:rsid w:val="000034E3"/>
    <w:rsid w:val="00003C6D"/>
    <w:rsid w:val="000133D9"/>
    <w:rsid w:val="00013EF4"/>
    <w:rsid w:val="00014DBF"/>
    <w:rsid w:val="00017F8E"/>
    <w:rsid w:val="00020FB2"/>
    <w:rsid w:val="00025198"/>
    <w:rsid w:val="000373D5"/>
    <w:rsid w:val="00050D0A"/>
    <w:rsid w:val="000537AF"/>
    <w:rsid w:val="00054772"/>
    <w:rsid w:val="00071C11"/>
    <w:rsid w:val="00075D07"/>
    <w:rsid w:val="00080323"/>
    <w:rsid w:val="0008257F"/>
    <w:rsid w:val="00083A83"/>
    <w:rsid w:val="0008484B"/>
    <w:rsid w:val="00086028"/>
    <w:rsid w:val="0009349B"/>
    <w:rsid w:val="00096F5B"/>
    <w:rsid w:val="000B2C75"/>
    <w:rsid w:val="000C3DFC"/>
    <w:rsid w:val="000C5D2A"/>
    <w:rsid w:val="000D6530"/>
    <w:rsid w:val="000D6766"/>
    <w:rsid w:val="000D6984"/>
    <w:rsid w:val="000D7ADC"/>
    <w:rsid w:val="000E47A1"/>
    <w:rsid w:val="00101389"/>
    <w:rsid w:val="0010594C"/>
    <w:rsid w:val="0011411D"/>
    <w:rsid w:val="0012190D"/>
    <w:rsid w:val="001247BD"/>
    <w:rsid w:val="00130234"/>
    <w:rsid w:val="001319EF"/>
    <w:rsid w:val="00134617"/>
    <w:rsid w:val="00134D83"/>
    <w:rsid w:val="00136FAA"/>
    <w:rsid w:val="00141392"/>
    <w:rsid w:val="001437F9"/>
    <w:rsid w:val="0014572F"/>
    <w:rsid w:val="00151EF7"/>
    <w:rsid w:val="001543DF"/>
    <w:rsid w:val="001544D6"/>
    <w:rsid w:val="001659F1"/>
    <w:rsid w:val="001670F2"/>
    <w:rsid w:val="00170F06"/>
    <w:rsid w:val="00192AF0"/>
    <w:rsid w:val="00193C25"/>
    <w:rsid w:val="001A1464"/>
    <w:rsid w:val="001A169A"/>
    <w:rsid w:val="001A460F"/>
    <w:rsid w:val="001B300A"/>
    <w:rsid w:val="001B3FF5"/>
    <w:rsid w:val="001B602A"/>
    <w:rsid w:val="001B6F45"/>
    <w:rsid w:val="001B703D"/>
    <w:rsid w:val="001C2668"/>
    <w:rsid w:val="001C2CEC"/>
    <w:rsid w:val="001C677F"/>
    <w:rsid w:val="001E231A"/>
    <w:rsid w:val="001E6610"/>
    <w:rsid w:val="001E6F9C"/>
    <w:rsid w:val="002047A7"/>
    <w:rsid w:val="002110E2"/>
    <w:rsid w:val="00215646"/>
    <w:rsid w:val="002218FA"/>
    <w:rsid w:val="00243C2C"/>
    <w:rsid w:val="00245BCB"/>
    <w:rsid w:val="00246824"/>
    <w:rsid w:val="00253AFF"/>
    <w:rsid w:val="002546A4"/>
    <w:rsid w:val="00261373"/>
    <w:rsid w:val="002621CE"/>
    <w:rsid w:val="002650E6"/>
    <w:rsid w:val="00265EB7"/>
    <w:rsid w:val="00266B3C"/>
    <w:rsid w:val="00276C8B"/>
    <w:rsid w:val="00280C8B"/>
    <w:rsid w:val="0028242D"/>
    <w:rsid w:val="00283D73"/>
    <w:rsid w:val="00293851"/>
    <w:rsid w:val="0029684C"/>
    <w:rsid w:val="002A1915"/>
    <w:rsid w:val="002A24A2"/>
    <w:rsid w:val="002A3098"/>
    <w:rsid w:val="002A7375"/>
    <w:rsid w:val="002A75E8"/>
    <w:rsid w:val="002D4C6A"/>
    <w:rsid w:val="002E4450"/>
    <w:rsid w:val="002E7F02"/>
    <w:rsid w:val="002F092B"/>
    <w:rsid w:val="002F1464"/>
    <w:rsid w:val="002F2609"/>
    <w:rsid w:val="002F35E1"/>
    <w:rsid w:val="002F7D9B"/>
    <w:rsid w:val="00306D7A"/>
    <w:rsid w:val="00320540"/>
    <w:rsid w:val="0034175C"/>
    <w:rsid w:val="003523FF"/>
    <w:rsid w:val="00353501"/>
    <w:rsid w:val="00353866"/>
    <w:rsid w:val="00354126"/>
    <w:rsid w:val="00356C54"/>
    <w:rsid w:val="00376C2D"/>
    <w:rsid w:val="003836C2"/>
    <w:rsid w:val="00390007"/>
    <w:rsid w:val="003909FA"/>
    <w:rsid w:val="00396167"/>
    <w:rsid w:val="00396AB5"/>
    <w:rsid w:val="00397D26"/>
    <w:rsid w:val="003A2B6B"/>
    <w:rsid w:val="003B4CD1"/>
    <w:rsid w:val="003B718B"/>
    <w:rsid w:val="003B7C17"/>
    <w:rsid w:val="003C0056"/>
    <w:rsid w:val="003C1776"/>
    <w:rsid w:val="003C4075"/>
    <w:rsid w:val="003D4CD0"/>
    <w:rsid w:val="003D5053"/>
    <w:rsid w:val="003D70BF"/>
    <w:rsid w:val="003D7857"/>
    <w:rsid w:val="003E29E9"/>
    <w:rsid w:val="00414CE6"/>
    <w:rsid w:val="00414E3B"/>
    <w:rsid w:val="00427C7F"/>
    <w:rsid w:val="00431FD1"/>
    <w:rsid w:val="00432703"/>
    <w:rsid w:val="00434ABB"/>
    <w:rsid w:val="00434F93"/>
    <w:rsid w:val="004363B3"/>
    <w:rsid w:val="0045136E"/>
    <w:rsid w:val="0045155F"/>
    <w:rsid w:val="00461334"/>
    <w:rsid w:val="004705C4"/>
    <w:rsid w:val="00472353"/>
    <w:rsid w:val="00473D1A"/>
    <w:rsid w:val="00475B09"/>
    <w:rsid w:val="004770BC"/>
    <w:rsid w:val="00477D2E"/>
    <w:rsid w:val="00481BD5"/>
    <w:rsid w:val="004823C7"/>
    <w:rsid w:val="00487A83"/>
    <w:rsid w:val="00490417"/>
    <w:rsid w:val="00491C63"/>
    <w:rsid w:val="00494C42"/>
    <w:rsid w:val="004A1AD0"/>
    <w:rsid w:val="004A54CC"/>
    <w:rsid w:val="004A65D2"/>
    <w:rsid w:val="004B4E7B"/>
    <w:rsid w:val="004B7657"/>
    <w:rsid w:val="004B7E8F"/>
    <w:rsid w:val="004C26EC"/>
    <w:rsid w:val="004C65B7"/>
    <w:rsid w:val="004D08B4"/>
    <w:rsid w:val="004D547B"/>
    <w:rsid w:val="004D5D59"/>
    <w:rsid w:val="004D6EF6"/>
    <w:rsid w:val="004D76B4"/>
    <w:rsid w:val="004D7898"/>
    <w:rsid w:val="004E35C5"/>
    <w:rsid w:val="004E4A90"/>
    <w:rsid w:val="004F1A3B"/>
    <w:rsid w:val="00504259"/>
    <w:rsid w:val="00507177"/>
    <w:rsid w:val="005201F8"/>
    <w:rsid w:val="005215C9"/>
    <w:rsid w:val="00522488"/>
    <w:rsid w:val="00526D92"/>
    <w:rsid w:val="00533574"/>
    <w:rsid w:val="0053513D"/>
    <w:rsid w:val="0054286E"/>
    <w:rsid w:val="00543DA2"/>
    <w:rsid w:val="00544886"/>
    <w:rsid w:val="00546A93"/>
    <w:rsid w:val="00547459"/>
    <w:rsid w:val="005557FA"/>
    <w:rsid w:val="00557D0B"/>
    <w:rsid w:val="00560FF2"/>
    <w:rsid w:val="00564817"/>
    <w:rsid w:val="00565E25"/>
    <w:rsid w:val="005700BE"/>
    <w:rsid w:val="0057175A"/>
    <w:rsid w:val="0057595F"/>
    <w:rsid w:val="0058316D"/>
    <w:rsid w:val="00585FEE"/>
    <w:rsid w:val="0059289C"/>
    <w:rsid w:val="005A057A"/>
    <w:rsid w:val="005A4400"/>
    <w:rsid w:val="005A4563"/>
    <w:rsid w:val="005A788C"/>
    <w:rsid w:val="005A7979"/>
    <w:rsid w:val="005B0FF4"/>
    <w:rsid w:val="005B126E"/>
    <w:rsid w:val="005B1621"/>
    <w:rsid w:val="005B76FC"/>
    <w:rsid w:val="005B7929"/>
    <w:rsid w:val="005C417C"/>
    <w:rsid w:val="005C4761"/>
    <w:rsid w:val="005C5024"/>
    <w:rsid w:val="005D0CB9"/>
    <w:rsid w:val="005D132C"/>
    <w:rsid w:val="005D2CAB"/>
    <w:rsid w:val="005D3F1D"/>
    <w:rsid w:val="005D439F"/>
    <w:rsid w:val="005D7CBA"/>
    <w:rsid w:val="005F067F"/>
    <w:rsid w:val="005F1023"/>
    <w:rsid w:val="005F537A"/>
    <w:rsid w:val="005F79DE"/>
    <w:rsid w:val="006024F8"/>
    <w:rsid w:val="00606CA1"/>
    <w:rsid w:val="00606DE3"/>
    <w:rsid w:val="00610375"/>
    <w:rsid w:val="006122F7"/>
    <w:rsid w:val="0061488F"/>
    <w:rsid w:val="0061598D"/>
    <w:rsid w:val="00616EF0"/>
    <w:rsid w:val="0062144B"/>
    <w:rsid w:val="006275DF"/>
    <w:rsid w:val="006335B8"/>
    <w:rsid w:val="00635F96"/>
    <w:rsid w:val="006502C2"/>
    <w:rsid w:val="00660C5F"/>
    <w:rsid w:val="00665204"/>
    <w:rsid w:val="00665D84"/>
    <w:rsid w:val="00676A5D"/>
    <w:rsid w:val="00680367"/>
    <w:rsid w:val="006854FF"/>
    <w:rsid w:val="006944D5"/>
    <w:rsid w:val="006A032B"/>
    <w:rsid w:val="006A06D8"/>
    <w:rsid w:val="006A13D8"/>
    <w:rsid w:val="006A1C72"/>
    <w:rsid w:val="006A1D78"/>
    <w:rsid w:val="006B0E66"/>
    <w:rsid w:val="006B3A21"/>
    <w:rsid w:val="006B793D"/>
    <w:rsid w:val="006C168E"/>
    <w:rsid w:val="006C75CD"/>
    <w:rsid w:val="006C7C63"/>
    <w:rsid w:val="006D5A25"/>
    <w:rsid w:val="006D63D7"/>
    <w:rsid w:val="006D77E0"/>
    <w:rsid w:val="006D78B0"/>
    <w:rsid w:val="006E3BFE"/>
    <w:rsid w:val="006E53FF"/>
    <w:rsid w:val="006F3C77"/>
    <w:rsid w:val="006F4BEC"/>
    <w:rsid w:val="006F60DE"/>
    <w:rsid w:val="006F648D"/>
    <w:rsid w:val="00700384"/>
    <w:rsid w:val="0070387B"/>
    <w:rsid w:val="00710884"/>
    <w:rsid w:val="00715342"/>
    <w:rsid w:val="0072158D"/>
    <w:rsid w:val="00726393"/>
    <w:rsid w:val="007327FD"/>
    <w:rsid w:val="00732E5E"/>
    <w:rsid w:val="00744D37"/>
    <w:rsid w:val="0074555C"/>
    <w:rsid w:val="00752455"/>
    <w:rsid w:val="00754000"/>
    <w:rsid w:val="00757867"/>
    <w:rsid w:val="00757F0E"/>
    <w:rsid w:val="007605D9"/>
    <w:rsid w:val="007620E9"/>
    <w:rsid w:val="0076326F"/>
    <w:rsid w:val="00764336"/>
    <w:rsid w:val="00771C78"/>
    <w:rsid w:val="00773B4E"/>
    <w:rsid w:val="00785BB5"/>
    <w:rsid w:val="00793107"/>
    <w:rsid w:val="00796C21"/>
    <w:rsid w:val="007A0C77"/>
    <w:rsid w:val="007A1071"/>
    <w:rsid w:val="007A1EFA"/>
    <w:rsid w:val="007A2FB0"/>
    <w:rsid w:val="007A39EC"/>
    <w:rsid w:val="007A4DC2"/>
    <w:rsid w:val="007A4E95"/>
    <w:rsid w:val="007B2CD2"/>
    <w:rsid w:val="007C0D98"/>
    <w:rsid w:val="007C1370"/>
    <w:rsid w:val="007C6A94"/>
    <w:rsid w:val="007C7C4A"/>
    <w:rsid w:val="007D0B24"/>
    <w:rsid w:val="007D1394"/>
    <w:rsid w:val="007E2256"/>
    <w:rsid w:val="007E2CB3"/>
    <w:rsid w:val="007E5376"/>
    <w:rsid w:val="007F0CFB"/>
    <w:rsid w:val="0080281F"/>
    <w:rsid w:val="00804043"/>
    <w:rsid w:val="00804DBE"/>
    <w:rsid w:val="00807D9C"/>
    <w:rsid w:val="00812B14"/>
    <w:rsid w:val="008141A7"/>
    <w:rsid w:val="0081709F"/>
    <w:rsid w:val="008215F5"/>
    <w:rsid w:val="00823C4E"/>
    <w:rsid w:val="00831FA3"/>
    <w:rsid w:val="008324C1"/>
    <w:rsid w:val="00833841"/>
    <w:rsid w:val="00833901"/>
    <w:rsid w:val="0083775B"/>
    <w:rsid w:val="00845155"/>
    <w:rsid w:val="008455AA"/>
    <w:rsid w:val="00845C52"/>
    <w:rsid w:val="008475DF"/>
    <w:rsid w:val="0085292F"/>
    <w:rsid w:val="00852C42"/>
    <w:rsid w:val="00852EEC"/>
    <w:rsid w:val="0085440F"/>
    <w:rsid w:val="008568D7"/>
    <w:rsid w:val="00871A86"/>
    <w:rsid w:val="00871A93"/>
    <w:rsid w:val="00871B13"/>
    <w:rsid w:val="00876FF2"/>
    <w:rsid w:val="00880C0F"/>
    <w:rsid w:val="00884E7A"/>
    <w:rsid w:val="00884FCF"/>
    <w:rsid w:val="008879D8"/>
    <w:rsid w:val="00893BC8"/>
    <w:rsid w:val="008A483A"/>
    <w:rsid w:val="008B010A"/>
    <w:rsid w:val="008B1796"/>
    <w:rsid w:val="008B26A3"/>
    <w:rsid w:val="008B5020"/>
    <w:rsid w:val="008B5F1F"/>
    <w:rsid w:val="008C3A39"/>
    <w:rsid w:val="008C4013"/>
    <w:rsid w:val="008C4950"/>
    <w:rsid w:val="008D1CB2"/>
    <w:rsid w:val="008D4006"/>
    <w:rsid w:val="008D5ACF"/>
    <w:rsid w:val="008D71D8"/>
    <w:rsid w:val="008E759E"/>
    <w:rsid w:val="008F7342"/>
    <w:rsid w:val="00900A52"/>
    <w:rsid w:val="009030C6"/>
    <w:rsid w:val="0091166B"/>
    <w:rsid w:val="0092204A"/>
    <w:rsid w:val="00931192"/>
    <w:rsid w:val="009344CC"/>
    <w:rsid w:val="00935423"/>
    <w:rsid w:val="00936E12"/>
    <w:rsid w:val="009378C0"/>
    <w:rsid w:val="0094035B"/>
    <w:rsid w:val="00943417"/>
    <w:rsid w:val="009510BE"/>
    <w:rsid w:val="00953555"/>
    <w:rsid w:val="00963995"/>
    <w:rsid w:val="009737DB"/>
    <w:rsid w:val="00976CD1"/>
    <w:rsid w:val="00983754"/>
    <w:rsid w:val="009865CE"/>
    <w:rsid w:val="0099593C"/>
    <w:rsid w:val="009A4A67"/>
    <w:rsid w:val="009A768D"/>
    <w:rsid w:val="009B14AC"/>
    <w:rsid w:val="009B28AC"/>
    <w:rsid w:val="009B348E"/>
    <w:rsid w:val="009B4BAE"/>
    <w:rsid w:val="009C0553"/>
    <w:rsid w:val="009C4377"/>
    <w:rsid w:val="009D5271"/>
    <w:rsid w:val="009D5ECF"/>
    <w:rsid w:val="009E0A7F"/>
    <w:rsid w:val="009E1C01"/>
    <w:rsid w:val="009E23BB"/>
    <w:rsid w:val="009E23C1"/>
    <w:rsid w:val="009E418C"/>
    <w:rsid w:val="00A03643"/>
    <w:rsid w:val="00A1077B"/>
    <w:rsid w:val="00A1192B"/>
    <w:rsid w:val="00A126B2"/>
    <w:rsid w:val="00A1284B"/>
    <w:rsid w:val="00A12910"/>
    <w:rsid w:val="00A14805"/>
    <w:rsid w:val="00A17D2C"/>
    <w:rsid w:val="00A24594"/>
    <w:rsid w:val="00A24B08"/>
    <w:rsid w:val="00A410B2"/>
    <w:rsid w:val="00A455FF"/>
    <w:rsid w:val="00A61316"/>
    <w:rsid w:val="00A63CB7"/>
    <w:rsid w:val="00A71BFA"/>
    <w:rsid w:val="00A71DAA"/>
    <w:rsid w:val="00A732CC"/>
    <w:rsid w:val="00A82AAC"/>
    <w:rsid w:val="00A84F48"/>
    <w:rsid w:val="00A9271D"/>
    <w:rsid w:val="00AA0079"/>
    <w:rsid w:val="00AA30A2"/>
    <w:rsid w:val="00AA3789"/>
    <w:rsid w:val="00AB22B4"/>
    <w:rsid w:val="00AB333D"/>
    <w:rsid w:val="00AC2496"/>
    <w:rsid w:val="00AC2815"/>
    <w:rsid w:val="00AC3B7F"/>
    <w:rsid w:val="00AC5AED"/>
    <w:rsid w:val="00AD43C1"/>
    <w:rsid w:val="00AD48E9"/>
    <w:rsid w:val="00B00436"/>
    <w:rsid w:val="00B0348F"/>
    <w:rsid w:val="00B03FF0"/>
    <w:rsid w:val="00B05DD9"/>
    <w:rsid w:val="00B06388"/>
    <w:rsid w:val="00B079C1"/>
    <w:rsid w:val="00B11685"/>
    <w:rsid w:val="00B11A85"/>
    <w:rsid w:val="00B11D0A"/>
    <w:rsid w:val="00B13809"/>
    <w:rsid w:val="00B154C1"/>
    <w:rsid w:val="00B17202"/>
    <w:rsid w:val="00B22B22"/>
    <w:rsid w:val="00B26DEC"/>
    <w:rsid w:val="00B336D9"/>
    <w:rsid w:val="00B33F16"/>
    <w:rsid w:val="00B41AE8"/>
    <w:rsid w:val="00B41CBA"/>
    <w:rsid w:val="00B45879"/>
    <w:rsid w:val="00B4698F"/>
    <w:rsid w:val="00B46C78"/>
    <w:rsid w:val="00B54F8E"/>
    <w:rsid w:val="00B56F8B"/>
    <w:rsid w:val="00B63A59"/>
    <w:rsid w:val="00B7632E"/>
    <w:rsid w:val="00B765A8"/>
    <w:rsid w:val="00B83C7B"/>
    <w:rsid w:val="00B87348"/>
    <w:rsid w:val="00B94615"/>
    <w:rsid w:val="00B94E43"/>
    <w:rsid w:val="00B966B8"/>
    <w:rsid w:val="00B96D3D"/>
    <w:rsid w:val="00BA53A9"/>
    <w:rsid w:val="00BC1B8A"/>
    <w:rsid w:val="00BC37A8"/>
    <w:rsid w:val="00BC4AC5"/>
    <w:rsid w:val="00BC4CFB"/>
    <w:rsid w:val="00BC5D3C"/>
    <w:rsid w:val="00BC6F9E"/>
    <w:rsid w:val="00BD396F"/>
    <w:rsid w:val="00BE3240"/>
    <w:rsid w:val="00C00D60"/>
    <w:rsid w:val="00C075F4"/>
    <w:rsid w:val="00C25454"/>
    <w:rsid w:val="00C32E53"/>
    <w:rsid w:val="00C336D1"/>
    <w:rsid w:val="00C35FDA"/>
    <w:rsid w:val="00C368A7"/>
    <w:rsid w:val="00C412F0"/>
    <w:rsid w:val="00C466B0"/>
    <w:rsid w:val="00C467DE"/>
    <w:rsid w:val="00C5124C"/>
    <w:rsid w:val="00C64BE7"/>
    <w:rsid w:val="00C65497"/>
    <w:rsid w:val="00C71015"/>
    <w:rsid w:val="00C76203"/>
    <w:rsid w:val="00C76A0C"/>
    <w:rsid w:val="00C76BC1"/>
    <w:rsid w:val="00C7719E"/>
    <w:rsid w:val="00C8208C"/>
    <w:rsid w:val="00C83BE3"/>
    <w:rsid w:val="00C844EE"/>
    <w:rsid w:val="00C92DEA"/>
    <w:rsid w:val="00CA526E"/>
    <w:rsid w:val="00CA7B54"/>
    <w:rsid w:val="00CB57D2"/>
    <w:rsid w:val="00CB688E"/>
    <w:rsid w:val="00CB6DA4"/>
    <w:rsid w:val="00CC405E"/>
    <w:rsid w:val="00CC49DC"/>
    <w:rsid w:val="00CD0774"/>
    <w:rsid w:val="00CD7EEE"/>
    <w:rsid w:val="00CE2426"/>
    <w:rsid w:val="00CE44D5"/>
    <w:rsid w:val="00CE47B2"/>
    <w:rsid w:val="00CE4CB2"/>
    <w:rsid w:val="00CE6559"/>
    <w:rsid w:val="00CE71D2"/>
    <w:rsid w:val="00CF1FBD"/>
    <w:rsid w:val="00CF2AEF"/>
    <w:rsid w:val="00CF363B"/>
    <w:rsid w:val="00CF44DA"/>
    <w:rsid w:val="00CF517E"/>
    <w:rsid w:val="00CF57F2"/>
    <w:rsid w:val="00CF63E2"/>
    <w:rsid w:val="00CF6615"/>
    <w:rsid w:val="00D00924"/>
    <w:rsid w:val="00D0220B"/>
    <w:rsid w:val="00D05BBE"/>
    <w:rsid w:val="00D07703"/>
    <w:rsid w:val="00D110E3"/>
    <w:rsid w:val="00D22971"/>
    <w:rsid w:val="00D37AB0"/>
    <w:rsid w:val="00D403D0"/>
    <w:rsid w:val="00D42684"/>
    <w:rsid w:val="00D44830"/>
    <w:rsid w:val="00D4552B"/>
    <w:rsid w:val="00D45D75"/>
    <w:rsid w:val="00D4684E"/>
    <w:rsid w:val="00D4756C"/>
    <w:rsid w:val="00D56729"/>
    <w:rsid w:val="00D6037E"/>
    <w:rsid w:val="00D607A5"/>
    <w:rsid w:val="00D60C47"/>
    <w:rsid w:val="00D7415C"/>
    <w:rsid w:val="00D77DBE"/>
    <w:rsid w:val="00D80C15"/>
    <w:rsid w:val="00D846CA"/>
    <w:rsid w:val="00D858C2"/>
    <w:rsid w:val="00DA3345"/>
    <w:rsid w:val="00DA4751"/>
    <w:rsid w:val="00DA66D1"/>
    <w:rsid w:val="00DA6F93"/>
    <w:rsid w:val="00DB34D6"/>
    <w:rsid w:val="00DB5432"/>
    <w:rsid w:val="00DC5BCA"/>
    <w:rsid w:val="00DD2099"/>
    <w:rsid w:val="00DD2762"/>
    <w:rsid w:val="00DE61F2"/>
    <w:rsid w:val="00DE67DC"/>
    <w:rsid w:val="00DF3B55"/>
    <w:rsid w:val="00DF56BE"/>
    <w:rsid w:val="00E026EA"/>
    <w:rsid w:val="00E03EB4"/>
    <w:rsid w:val="00E05291"/>
    <w:rsid w:val="00E05C07"/>
    <w:rsid w:val="00E07A16"/>
    <w:rsid w:val="00E1054E"/>
    <w:rsid w:val="00E118E3"/>
    <w:rsid w:val="00E13817"/>
    <w:rsid w:val="00E14BA4"/>
    <w:rsid w:val="00E16EBC"/>
    <w:rsid w:val="00E233A0"/>
    <w:rsid w:val="00E274F8"/>
    <w:rsid w:val="00E34D20"/>
    <w:rsid w:val="00E353E5"/>
    <w:rsid w:val="00E369ED"/>
    <w:rsid w:val="00E373B3"/>
    <w:rsid w:val="00E5118F"/>
    <w:rsid w:val="00E62EF9"/>
    <w:rsid w:val="00E828FB"/>
    <w:rsid w:val="00E8559F"/>
    <w:rsid w:val="00E951E1"/>
    <w:rsid w:val="00EA4CE3"/>
    <w:rsid w:val="00EB1145"/>
    <w:rsid w:val="00EB221F"/>
    <w:rsid w:val="00EB3D61"/>
    <w:rsid w:val="00EB77EE"/>
    <w:rsid w:val="00EC306B"/>
    <w:rsid w:val="00EC352B"/>
    <w:rsid w:val="00EC37DC"/>
    <w:rsid w:val="00ED4A3E"/>
    <w:rsid w:val="00ED5433"/>
    <w:rsid w:val="00EE332F"/>
    <w:rsid w:val="00EE4909"/>
    <w:rsid w:val="00EF0761"/>
    <w:rsid w:val="00EF2335"/>
    <w:rsid w:val="00EF2BC0"/>
    <w:rsid w:val="00EF4F54"/>
    <w:rsid w:val="00EF6A3C"/>
    <w:rsid w:val="00F0270F"/>
    <w:rsid w:val="00F03297"/>
    <w:rsid w:val="00F0386D"/>
    <w:rsid w:val="00F10452"/>
    <w:rsid w:val="00F159CF"/>
    <w:rsid w:val="00F15E4A"/>
    <w:rsid w:val="00F161CF"/>
    <w:rsid w:val="00F21AC7"/>
    <w:rsid w:val="00F21DEC"/>
    <w:rsid w:val="00F22C53"/>
    <w:rsid w:val="00F23544"/>
    <w:rsid w:val="00F23571"/>
    <w:rsid w:val="00F265B9"/>
    <w:rsid w:val="00F26E56"/>
    <w:rsid w:val="00F33717"/>
    <w:rsid w:val="00F33A0E"/>
    <w:rsid w:val="00F3546E"/>
    <w:rsid w:val="00F36A8C"/>
    <w:rsid w:val="00F36D1A"/>
    <w:rsid w:val="00F41989"/>
    <w:rsid w:val="00F45946"/>
    <w:rsid w:val="00F45A1B"/>
    <w:rsid w:val="00F45D44"/>
    <w:rsid w:val="00F525BE"/>
    <w:rsid w:val="00F56FB3"/>
    <w:rsid w:val="00F614C9"/>
    <w:rsid w:val="00F61D18"/>
    <w:rsid w:val="00F62CEC"/>
    <w:rsid w:val="00F71A1F"/>
    <w:rsid w:val="00F77DC3"/>
    <w:rsid w:val="00F82A2F"/>
    <w:rsid w:val="00F85FE3"/>
    <w:rsid w:val="00F87720"/>
    <w:rsid w:val="00F87DD4"/>
    <w:rsid w:val="00F93C0F"/>
    <w:rsid w:val="00FB2747"/>
    <w:rsid w:val="00FC5278"/>
    <w:rsid w:val="00FC5460"/>
    <w:rsid w:val="00FC5F17"/>
    <w:rsid w:val="00FC757E"/>
    <w:rsid w:val="00FD3278"/>
    <w:rsid w:val="00FD537A"/>
    <w:rsid w:val="00FD639B"/>
    <w:rsid w:val="00FE451A"/>
    <w:rsid w:val="00FF60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50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uiPriority="5"/>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5"/>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qFormat="1"/>
    <w:lsdException w:name="List Number"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uiPriority="2"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563"/>
    <w:pPr>
      <w:tabs>
        <w:tab w:val="left" w:pos="5041"/>
      </w:tabs>
      <w:spacing w:after="120"/>
    </w:pPr>
    <w:rPr>
      <w:rFonts w:ascii="Times New Roman" w:eastAsia="Times New Roman" w:hAnsi="Times New Roman" w:cs="Times New Roman"/>
      <w:sz w:val="24"/>
      <w:szCs w:val="24"/>
      <w:lang w:eastAsia="sv-SE"/>
    </w:rPr>
  </w:style>
  <w:style w:type="paragraph" w:styleId="Rubrik1">
    <w:name w:val="heading 1"/>
    <w:next w:val="Brdtext"/>
    <w:link w:val="Rubrik1Char"/>
    <w:uiPriority w:val="9"/>
    <w:qFormat/>
    <w:rsid w:val="00D110E3"/>
    <w:pPr>
      <w:keepNext/>
      <w:keepLines/>
      <w:spacing w:after="120" w:line="520" w:lineRule="atLeast"/>
      <w:outlineLvl w:val="0"/>
    </w:pPr>
    <w:rPr>
      <w:rFonts w:ascii="Arial" w:eastAsiaTheme="majorEastAsia" w:hAnsi="Arial" w:cstheme="majorBidi"/>
      <w:b/>
      <w:bCs/>
      <w:sz w:val="36"/>
      <w:szCs w:val="28"/>
    </w:rPr>
  </w:style>
  <w:style w:type="paragraph" w:styleId="Rubrik2">
    <w:name w:val="heading 2"/>
    <w:next w:val="Brdtext"/>
    <w:link w:val="Rubrik2Char"/>
    <w:uiPriority w:val="9"/>
    <w:qFormat/>
    <w:rsid w:val="00D110E3"/>
    <w:pPr>
      <w:keepNext/>
      <w:keepLines/>
      <w:spacing w:before="360" w:after="80" w:line="340" w:lineRule="atLeast"/>
      <w:outlineLvl w:val="1"/>
    </w:pPr>
    <w:rPr>
      <w:rFonts w:ascii="Arial" w:eastAsiaTheme="majorEastAsia" w:hAnsi="Arial" w:cstheme="majorBidi"/>
      <w:b/>
      <w:bCs/>
      <w:sz w:val="28"/>
      <w:szCs w:val="26"/>
    </w:rPr>
  </w:style>
  <w:style w:type="paragraph" w:styleId="Rubrik3">
    <w:name w:val="heading 3"/>
    <w:next w:val="Brdtext"/>
    <w:link w:val="Rubrik3Char"/>
    <w:uiPriority w:val="1"/>
    <w:qFormat/>
    <w:rsid w:val="00D110E3"/>
    <w:pPr>
      <w:keepNext/>
      <w:keepLines/>
      <w:spacing w:before="240" w:after="80" w:line="280" w:lineRule="atLeast"/>
      <w:outlineLvl w:val="2"/>
    </w:pPr>
    <w:rPr>
      <w:rFonts w:ascii="Arial" w:eastAsiaTheme="majorEastAsia" w:hAnsi="Arial" w:cstheme="majorBidi"/>
      <w:b/>
      <w:bCs/>
    </w:rPr>
  </w:style>
  <w:style w:type="paragraph" w:styleId="Rubrik4">
    <w:name w:val="heading 4"/>
    <w:basedOn w:val="Normal"/>
    <w:next w:val="Normal"/>
    <w:link w:val="Rubrik4Char"/>
    <w:uiPriority w:val="1"/>
    <w:rsid w:val="00D110E3"/>
    <w:pPr>
      <w:keepNext/>
      <w:keepLines/>
      <w:spacing w:before="200" w:after="80" w:line="280" w:lineRule="atLeast"/>
      <w:outlineLvl w:val="3"/>
    </w:pPr>
    <w:rPr>
      <w:rFonts w:eastAsiaTheme="majorEastAsia" w:cstheme="majorBidi"/>
      <w:bCs/>
      <w:i/>
      <w:iCs/>
      <w:sz w:val="23"/>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link w:val="BrdtextChar"/>
    <w:uiPriority w:val="2"/>
    <w:qFormat/>
    <w:rsid w:val="00D110E3"/>
    <w:pPr>
      <w:spacing w:after="120" w:line="280" w:lineRule="atLeast"/>
    </w:pPr>
    <w:rPr>
      <w:rFonts w:ascii="Georgia" w:hAnsi="Georgia"/>
    </w:rPr>
  </w:style>
  <w:style w:type="character" w:customStyle="1" w:styleId="BrdtextChar">
    <w:name w:val="Brödtext Char"/>
    <w:basedOn w:val="Standardstycketeckensnitt"/>
    <w:link w:val="Brdtext"/>
    <w:uiPriority w:val="2"/>
    <w:rsid w:val="00D110E3"/>
    <w:rPr>
      <w:rFonts w:ascii="Georgia" w:hAnsi="Georgia"/>
    </w:rPr>
  </w:style>
  <w:style w:type="character" w:customStyle="1" w:styleId="Rubrik1Char">
    <w:name w:val="Rubrik 1 Char"/>
    <w:basedOn w:val="Standardstycketeckensnitt"/>
    <w:link w:val="Rubrik1"/>
    <w:uiPriority w:val="9"/>
    <w:rsid w:val="00D110E3"/>
    <w:rPr>
      <w:rFonts w:ascii="Arial" w:eastAsiaTheme="majorEastAsia" w:hAnsi="Arial" w:cstheme="majorBidi"/>
      <w:b/>
      <w:bCs/>
      <w:sz w:val="36"/>
      <w:szCs w:val="28"/>
    </w:rPr>
  </w:style>
  <w:style w:type="character" w:customStyle="1" w:styleId="Rubrik2Char">
    <w:name w:val="Rubrik 2 Char"/>
    <w:basedOn w:val="Standardstycketeckensnitt"/>
    <w:link w:val="Rubrik2"/>
    <w:uiPriority w:val="9"/>
    <w:rsid w:val="00D110E3"/>
    <w:rPr>
      <w:rFonts w:ascii="Arial" w:eastAsiaTheme="majorEastAsia" w:hAnsi="Arial" w:cstheme="majorBidi"/>
      <w:b/>
      <w:bCs/>
      <w:sz w:val="28"/>
      <w:szCs w:val="26"/>
    </w:rPr>
  </w:style>
  <w:style w:type="character" w:customStyle="1" w:styleId="Rubrik3Char">
    <w:name w:val="Rubrik 3 Char"/>
    <w:basedOn w:val="Standardstycketeckensnitt"/>
    <w:link w:val="Rubrik3"/>
    <w:uiPriority w:val="1"/>
    <w:rsid w:val="00D110E3"/>
    <w:rPr>
      <w:rFonts w:ascii="Arial" w:eastAsiaTheme="majorEastAsia" w:hAnsi="Arial" w:cstheme="majorBidi"/>
      <w:b/>
      <w:bCs/>
    </w:rPr>
  </w:style>
  <w:style w:type="paragraph" w:styleId="Adress-brev">
    <w:name w:val="envelope address"/>
    <w:uiPriority w:val="5"/>
    <w:semiHidden/>
    <w:rsid w:val="00BC6F9E"/>
    <w:rPr>
      <w:rFonts w:ascii="Times New Roman" w:eastAsiaTheme="majorEastAsia" w:hAnsi="Times New Roman" w:cstheme="majorBidi"/>
      <w:noProof/>
      <w:sz w:val="24"/>
      <w:szCs w:val="24"/>
    </w:rPr>
  </w:style>
  <w:style w:type="paragraph" w:styleId="Datum">
    <w:name w:val="Date"/>
    <w:link w:val="DatumChar"/>
    <w:uiPriority w:val="5"/>
    <w:rsid w:val="00BC6F9E"/>
    <w:rPr>
      <w:rFonts w:ascii="Times New Roman" w:hAnsi="Times New Roman"/>
      <w:sz w:val="24"/>
    </w:rPr>
  </w:style>
  <w:style w:type="character" w:customStyle="1" w:styleId="DatumChar">
    <w:name w:val="Datum Char"/>
    <w:basedOn w:val="Standardstycketeckensnitt"/>
    <w:link w:val="Datum"/>
    <w:uiPriority w:val="5"/>
    <w:rsid w:val="00F45A1B"/>
    <w:rPr>
      <w:rFonts w:ascii="Times New Roman" w:hAnsi="Times New Roman"/>
      <w:sz w:val="24"/>
    </w:rPr>
  </w:style>
  <w:style w:type="paragraph" w:styleId="Sidhuvud">
    <w:name w:val="header"/>
    <w:link w:val="SidhuvudChar"/>
    <w:uiPriority w:val="99"/>
    <w:rsid w:val="00BC6F9E"/>
    <w:rPr>
      <w:rFonts w:ascii="Arial" w:hAnsi="Arial"/>
      <w:noProof/>
      <w:sz w:val="14"/>
    </w:rPr>
  </w:style>
  <w:style w:type="character" w:customStyle="1" w:styleId="SidhuvudChar">
    <w:name w:val="Sidhuvud Char"/>
    <w:basedOn w:val="Standardstycketeckensnitt"/>
    <w:link w:val="Sidhuvud"/>
    <w:uiPriority w:val="99"/>
    <w:rsid w:val="00F45A1B"/>
    <w:rPr>
      <w:rFonts w:ascii="Arial" w:hAnsi="Arial"/>
      <w:noProof/>
      <w:sz w:val="14"/>
    </w:rPr>
  </w:style>
  <w:style w:type="character" w:styleId="Sidnummer">
    <w:name w:val="page number"/>
    <w:basedOn w:val="Standardstycketeckensnitt"/>
    <w:uiPriority w:val="5"/>
    <w:semiHidden/>
    <w:rsid w:val="00BC6F9E"/>
    <w:rPr>
      <w:rFonts w:ascii="Arial" w:hAnsi="Arial"/>
      <w:sz w:val="16"/>
    </w:rPr>
  </w:style>
  <w:style w:type="paragraph" w:styleId="Numreradlista">
    <w:name w:val="List Number"/>
    <w:basedOn w:val="Brdtext"/>
    <w:uiPriority w:val="3"/>
    <w:qFormat/>
    <w:rsid w:val="00F45A1B"/>
    <w:pPr>
      <w:numPr>
        <w:numId w:val="11"/>
      </w:numPr>
      <w:spacing w:before="120"/>
    </w:pPr>
  </w:style>
  <w:style w:type="paragraph" w:styleId="Punktlista">
    <w:name w:val="List Bullet"/>
    <w:basedOn w:val="Brdtext"/>
    <w:uiPriority w:val="3"/>
    <w:qFormat/>
    <w:rsid w:val="00F45A1B"/>
    <w:pPr>
      <w:numPr>
        <w:numId w:val="10"/>
      </w:numPr>
      <w:spacing w:before="120"/>
    </w:pPr>
  </w:style>
  <w:style w:type="paragraph" w:styleId="Sidfot">
    <w:name w:val="footer"/>
    <w:link w:val="SidfotChar"/>
    <w:uiPriority w:val="99"/>
    <w:rsid w:val="00BC6F9E"/>
    <w:pPr>
      <w:spacing w:line="180" w:lineRule="exact"/>
    </w:pPr>
    <w:rPr>
      <w:rFonts w:ascii="Arial" w:hAnsi="Arial"/>
      <w:noProof/>
      <w:sz w:val="14"/>
    </w:rPr>
  </w:style>
  <w:style w:type="character" w:customStyle="1" w:styleId="SidfotChar">
    <w:name w:val="Sidfot Char"/>
    <w:basedOn w:val="Standardstycketeckensnitt"/>
    <w:link w:val="Sidfot"/>
    <w:uiPriority w:val="99"/>
    <w:rsid w:val="00F45A1B"/>
    <w:rPr>
      <w:rFonts w:ascii="Arial" w:hAnsi="Arial"/>
      <w:noProof/>
      <w:sz w:val="14"/>
    </w:rPr>
  </w:style>
  <w:style w:type="character" w:customStyle="1" w:styleId="Rubrik4Char">
    <w:name w:val="Rubrik 4 Char"/>
    <w:basedOn w:val="Standardstycketeckensnitt"/>
    <w:link w:val="Rubrik4"/>
    <w:uiPriority w:val="1"/>
    <w:rsid w:val="00D110E3"/>
    <w:rPr>
      <w:rFonts w:ascii="Georgia" w:eastAsiaTheme="majorEastAsia" w:hAnsi="Georgia" w:cstheme="majorBidi"/>
      <w:bCs/>
      <w:i/>
      <w:iCs/>
      <w:sz w:val="23"/>
    </w:rPr>
  </w:style>
  <w:style w:type="paragraph" w:customStyle="1" w:styleId="Rubrik-1">
    <w:name w:val="Rubrik-1"/>
    <w:basedOn w:val="Normal"/>
    <w:next w:val="Normal"/>
    <w:rsid w:val="005A4563"/>
    <w:pPr>
      <w:keepNext/>
      <w:suppressAutoHyphens/>
      <w:spacing w:after="40"/>
      <w:outlineLvl w:val="0"/>
    </w:pPr>
    <w:rPr>
      <w:b/>
      <w:sz w:val="28"/>
    </w:rPr>
  </w:style>
  <w:style w:type="table" w:styleId="Tabellrutnt">
    <w:name w:val="Table Grid"/>
    <w:basedOn w:val="Normaltabell"/>
    <w:uiPriority w:val="59"/>
    <w:rsid w:val="005A4563"/>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rsid w:val="005A4563"/>
    <w:rPr>
      <w:color w:val="0000FF"/>
      <w:u w:val="single"/>
    </w:rPr>
  </w:style>
  <w:style w:type="paragraph" w:styleId="Liststycke">
    <w:name w:val="List Paragraph"/>
    <w:basedOn w:val="Normal"/>
    <w:link w:val="ListstyckeChar"/>
    <w:uiPriority w:val="34"/>
    <w:qFormat/>
    <w:rsid w:val="005A4563"/>
    <w:pPr>
      <w:tabs>
        <w:tab w:val="clear" w:pos="5041"/>
      </w:tabs>
      <w:spacing w:after="200" w:line="276" w:lineRule="auto"/>
      <w:ind w:left="720"/>
      <w:contextualSpacing/>
    </w:pPr>
    <w:rPr>
      <w:rFonts w:ascii="Calibri" w:eastAsia="Calibri" w:hAnsi="Calibri"/>
      <w:sz w:val="22"/>
      <w:szCs w:val="22"/>
      <w:lang w:eastAsia="en-US"/>
    </w:rPr>
  </w:style>
  <w:style w:type="character" w:customStyle="1" w:styleId="ListstyckeChar">
    <w:name w:val="Liststycke Char"/>
    <w:basedOn w:val="Standardstycketeckensnitt"/>
    <w:link w:val="Liststycke"/>
    <w:uiPriority w:val="34"/>
    <w:rsid w:val="005A4563"/>
    <w:rPr>
      <w:rFonts w:ascii="Calibri" w:eastAsia="Calibri" w:hAnsi="Calibri" w:cs="Times New Roman"/>
    </w:rPr>
  </w:style>
  <w:style w:type="paragraph" w:customStyle="1" w:styleId="brevhuvud">
    <w:name w:val="brevhuvud"/>
    <w:basedOn w:val="Normal"/>
    <w:rsid w:val="005A4563"/>
    <w:pPr>
      <w:tabs>
        <w:tab w:val="clear" w:pos="5041"/>
      </w:tabs>
      <w:overflowPunct w:val="0"/>
      <w:autoSpaceDE w:val="0"/>
      <w:autoSpaceDN w:val="0"/>
      <w:adjustRightInd w:val="0"/>
      <w:spacing w:after="0"/>
      <w:textAlignment w:val="baseline"/>
    </w:pPr>
    <w:rPr>
      <w:szCs w:val="20"/>
    </w:rPr>
  </w:style>
  <w:style w:type="paragraph" w:customStyle="1" w:styleId="LedRubrik">
    <w:name w:val="LedRubrik"/>
    <w:uiPriority w:val="5"/>
    <w:semiHidden/>
    <w:rsid w:val="005A4563"/>
    <w:pPr>
      <w:spacing w:after="20"/>
    </w:pPr>
    <w:rPr>
      <w:rFonts w:ascii="Arial" w:hAnsi="Arial"/>
      <w:b/>
      <w:sz w:val="15"/>
    </w:rPr>
  </w:style>
  <w:style w:type="paragraph" w:customStyle="1" w:styleId="LedText">
    <w:name w:val="LedText"/>
    <w:basedOn w:val="LedRubrik"/>
    <w:uiPriority w:val="5"/>
    <w:semiHidden/>
    <w:rsid w:val="005A4563"/>
    <w:pPr>
      <w:spacing w:after="40"/>
    </w:pPr>
    <w:rPr>
      <w:b w:val="0"/>
      <w:sz w:val="16"/>
    </w:rPr>
  </w:style>
  <w:style w:type="paragraph" w:customStyle="1" w:styleId="Default">
    <w:name w:val="Default"/>
    <w:rsid w:val="005A4563"/>
    <w:pPr>
      <w:autoSpaceDE w:val="0"/>
      <w:autoSpaceDN w:val="0"/>
      <w:adjustRightInd w:val="0"/>
    </w:pPr>
    <w:rPr>
      <w:rFonts w:ascii="Times New Roman" w:hAnsi="Times New Roman" w:cs="Times New Roman"/>
      <w:color w:val="000000"/>
      <w:sz w:val="24"/>
      <w:szCs w:val="24"/>
    </w:rPr>
  </w:style>
  <w:style w:type="paragraph" w:styleId="Brdtextmedindrag">
    <w:name w:val="Body Text Indent"/>
    <w:basedOn w:val="Normal"/>
    <w:link w:val="BrdtextmedindragChar"/>
    <w:uiPriority w:val="99"/>
    <w:semiHidden/>
    <w:unhideWhenUsed/>
    <w:rsid w:val="005A4563"/>
    <w:pPr>
      <w:tabs>
        <w:tab w:val="clear" w:pos="5041"/>
      </w:tabs>
      <w:ind w:left="283"/>
    </w:pPr>
    <w:rPr>
      <w:color w:val="000000"/>
    </w:rPr>
  </w:style>
  <w:style w:type="character" w:customStyle="1" w:styleId="BrdtextmedindragChar">
    <w:name w:val="Brödtext med indrag Char"/>
    <w:basedOn w:val="Standardstycketeckensnitt"/>
    <w:link w:val="Brdtextmedindrag"/>
    <w:uiPriority w:val="99"/>
    <w:semiHidden/>
    <w:rsid w:val="005A4563"/>
    <w:rPr>
      <w:rFonts w:ascii="Times New Roman" w:eastAsia="Times New Roman" w:hAnsi="Times New Roman" w:cs="Times New Roman"/>
      <w:color w:val="000000"/>
      <w:sz w:val="24"/>
      <w:szCs w:val="24"/>
      <w:lang w:eastAsia="sv-SE"/>
    </w:rPr>
  </w:style>
  <w:style w:type="paragraph" w:styleId="Brdtext2">
    <w:name w:val="Body Text 2"/>
    <w:basedOn w:val="Normal"/>
    <w:link w:val="Brdtext2Char"/>
    <w:uiPriority w:val="99"/>
    <w:unhideWhenUsed/>
    <w:rsid w:val="005A4563"/>
    <w:pPr>
      <w:tabs>
        <w:tab w:val="clear" w:pos="5041"/>
      </w:tabs>
      <w:spacing w:line="480" w:lineRule="auto"/>
    </w:pPr>
    <w:rPr>
      <w:color w:val="000000"/>
    </w:rPr>
  </w:style>
  <w:style w:type="character" w:customStyle="1" w:styleId="Brdtext2Char">
    <w:name w:val="Brödtext 2 Char"/>
    <w:basedOn w:val="Standardstycketeckensnitt"/>
    <w:link w:val="Brdtext2"/>
    <w:uiPriority w:val="99"/>
    <w:rsid w:val="005A4563"/>
    <w:rPr>
      <w:rFonts w:ascii="Times New Roman" w:eastAsia="Times New Roman" w:hAnsi="Times New Roman" w:cs="Times New Roman"/>
      <w:color w:val="000000"/>
      <w:sz w:val="24"/>
      <w:szCs w:val="24"/>
      <w:lang w:eastAsia="sv-SE"/>
    </w:rPr>
  </w:style>
  <w:style w:type="character" w:customStyle="1" w:styleId="st">
    <w:name w:val="st"/>
    <w:basedOn w:val="Standardstycketeckensnitt"/>
    <w:rsid w:val="005A4563"/>
  </w:style>
  <w:style w:type="paragraph" w:customStyle="1" w:styleId="Dokumenttyp">
    <w:name w:val="Dokumenttyp"/>
    <w:basedOn w:val="Normal"/>
    <w:next w:val="Normal"/>
    <w:rsid w:val="005A4563"/>
    <w:pPr>
      <w:spacing w:after="0"/>
    </w:pPr>
  </w:style>
  <w:style w:type="paragraph" w:customStyle="1" w:styleId="Datum-Beslut">
    <w:name w:val="Datum-Beslut"/>
    <w:basedOn w:val="Normal"/>
    <w:next w:val="Normal"/>
    <w:rsid w:val="005A4563"/>
    <w:pPr>
      <w:spacing w:after="0"/>
    </w:pPr>
  </w:style>
  <w:style w:type="paragraph" w:customStyle="1" w:styleId="Diarienr-Ert">
    <w:name w:val="Diarienr-Ert"/>
    <w:basedOn w:val="Normal"/>
    <w:next w:val="Normal"/>
    <w:rsid w:val="005A4563"/>
    <w:pPr>
      <w:spacing w:after="0"/>
    </w:pPr>
  </w:style>
  <w:style w:type="paragraph" w:customStyle="1" w:styleId="Logo-Namn">
    <w:name w:val="Logo-Namn"/>
    <w:basedOn w:val="Normal"/>
    <w:next w:val="Normal"/>
    <w:rsid w:val="005A4563"/>
    <w:pPr>
      <w:spacing w:after="0"/>
    </w:pPr>
  </w:style>
  <w:style w:type="paragraph" w:customStyle="1" w:styleId="Sidnumering-Frstasida">
    <w:name w:val="Sidnumering-Förstasida"/>
    <w:basedOn w:val="Normal"/>
    <w:next w:val="Normal"/>
    <w:rsid w:val="005A4563"/>
    <w:pPr>
      <w:spacing w:after="0"/>
      <w:jc w:val="right"/>
    </w:pPr>
  </w:style>
  <w:style w:type="paragraph" w:styleId="Ballongtext">
    <w:name w:val="Balloon Text"/>
    <w:basedOn w:val="Normal"/>
    <w:link w:val="BallongtextChar"/>
    <w:uiPriority w:val="99"/>
    <w:semiHidden/>
    <w:unhideWhenUsed/>
    <w:rsid w:val="005A4563"/>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A4563"/>
    <w:rPr>
      <w:rFonts w:ascii="Tahoma" w:eastAsia="Times New Roman" w:hAnsi="Tahoma" w:cs="Tahoma"/>
      <w:sz w:val="16"/>
      <w:szCs w:val="16"/>
      <w:lang w:eastAsia="sv-SE"/>
    </w:rPr>
  </w:style>
  <w:style w:type="character" w:customStyle="1" w:styleId="pp-headline-item">
    <w:name w:val="pp-headline-item"/>
    <w:basedOn w:val="Standardstycketeckensnitt"/>
    <w:rsid w:val="009344CC"/>
  </w:style>
  <w:style w:type="paragraph" w:customStyle="1" w:styleId="Lista-Punkter">
    <w:name w:val="Lista-Punkter"/>
    <w:basedOn w:val="Normal"/>
    <w:rsid w:val="0045136E"/>
    <w:pPr>
      <w:numPr>
        <w:numId w:val="22"/>
      </w:numPr>
      <w:tabs>
        <w:tab w:val="clear" w:pos="5041"/>
        <w:tab w:val="left" w:pos="567"/>
      </w:tabs>
    </w:pPr>
    <w:rPr>
      <w:color w:val="000000"/>
    </w:rPr>
  </w:style>
  <w:style w:type="paragraph" w:styleId="Fotnotstext">
    <w:name w:val="footnote text"/>
    <w:basedOn w:val="Normal"/>
    <w:link w:val="FotnotstextChar"/>
    <w:uiPriority w:val="99"/>
    <w:unhideWhenUsed/>
    <w:qFormat/>
    <w:rsid w:val="00610375"/>
    <w:pPr>
      <w:tabs>
        <w:tab w:val="clear" w:pos="5041"/>
      </w:tabs>
      <w:suppressAutoHyphens/>
      <w:spacing w:after="0"/>
    </w:pPr>
    <w:rPr>
      <w:kern w:val="2"/>
      <w:sz w:val="20"/>
      <w:szCs w:val="20"/>
      <w:lang w:val="nl-NL" w:eastAsia="ar-SA"/>
    </w:rPr>
  </w:style>
  <w:style w:type="character" w:customStyle="1" w:styleId="FotnotstextChar">
    <w:name w:val="Fotnotstext Char"/>
    <w:basedOn w:val="Standardstycketeckensnitt"/>
    <w:link w:val="Fotnotstext"/>
    <w:uiPriority w:val="99"/>
    <w:rsid w:val="00610375"/>
    <w:rPr>
      <w:rFonts w:ascii="Times New Roman" w:eastAsia="Times New Roman" w:hAnsi="Times New Roman" w:cs="Times New Roman"/>
      <w:kern w:val="2"/>
      <w:sz w:val="20"/>
      <w:szCs w:val="20"/>
      <w:lang w:val="nl-NL" w:eastAsia="ar-SA"/>
    </w:rPr>
  </w:style>
  <w:style w:type="character" w:styleId="Kommentarsreferens">
    <w:name w:val="annotation reference"/>
    <w:basedOn w:val="Standardstycketeckensnitt"/>
    <w:uiPriority w:val="99"/>
    <w:semiHidden/>
    <w:unhideWhenUsed/>
    <w:rsid w:val="00DB34D6"/>
    <w:rPr>
      <w:sz w:val="16"/>
      <w:szCs w:val="16"/>
    </w:rPr>
  </w:style>
  <w:style w:type="paragraph" w:styleId="Kommentarer">
    <w:name w:val="annotation text"/>
    <w:basedOn w:val="Normal"/>
    <w:link w:val="KommentarerChar"/>
    <w:uiPriority w:val="99"/>
    <w:semiHidden/>
    <w:unhideWhenUsed/>
    <w:rsid w:val="00DB34D6"/>
    <w:rPr>
      <w:sz w:val="20"/>
      <w:szCs w:val="20"/>
    </w:rPr>
  </w:style>
  <w:style w:type="character" w:customStyle="1" w:styleId="KommentarerChar">
    <w:name w:val="Kommentarer Char"/>
    <w:basedOn w:val="Standardstycketeckensnitt"/>
    <w:link w:val="Kommentarer"/>
    <w:uiPriority w:val="99"/>
    <w:semiHidden/>
    <w:rsid w:val="00DB34D6"/>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DB34D6"/>
    <w:rPr>
      <w:b/>
      <w:bCs/>
    </w:rPr>
  </w:style>
  <w:style w:type="character" w:customStyle="1" w:styleId="KommentarsmneChar">
    <w:name w:val="Kommentarsämne Char"/>
    <w:basedOn w:val="KommentarerChar"/>
    <w:link w:val="Kommentarsmne"/>
    <w:uiPriority w:val="99"/>
    <w:semiHidden/>
    <w:rsid w:val="00DB34D6"/>
    <w:rPr>
      <w:rFonts w:ascii="Times New Roman" w:eastAsia="Times New Roman" w:hAnsi="Times New Roman" w:cs="Times New Roman"/>
      <w:b/>
      <w:bCs/>
      <w:sz w:val="20"/>
      <w:szCs w:val="20"/>
      <w:lang w:eastAsia="sv-SE"/>
    </w:rPr>
  </w:style>
  <w:style w:type="paragraph" w:customStyle="1" w:styleId="default0">
    <w:name w:val="default"/>
    <w:basedOn w:val="Normal"/>
    <w:uiPriority w:val="99"/>
    <w:rsid w:val="007A0C77"/>
    <w:pPr>
      <w:tabs>
        <w:tab w:val="clear" w:pos="5041"/>
      </w:tabs>
      <w:spacing w:after="0"/>
    </w:pPr>
    <w:rPr>
      <w:rFonts w:eastAsiaTheme="minorHAnsi"/>
      <w:color w:val="000000"/>
    </w:rPr>
  </w:style>
  <w:style w:type="character" w:styleId="AnvndHyperlnk">
    <w:name w:val="FollowedHyperlink"/>
    <w:basedOn w:val="Standardstycketeckensnitt"/>
    <w:uiPriority w:val="99"/>
    <w:semiHidden/>
    <w:unhideWhenUsed/>
    <w:rsid w:val="00192AF0"/>
    <w:rPr>
      <w:color w:val="800080" w:themeColor="followedHyperlink"/>
      <w:u w:val="single"/>
    </w:rPr>
  </w:style>
  <w:style w:type="character" w:customStyle="1" w:styleId="apple-converted-space">
    <w:name w:val="apple-converted-space"/>
    <w:basedOn w:val="Standardstycketeckensnitt"/>
    <w:rsid w:val="00533574"/>
  </w:style>
  <w:style w:type="table" w:styleId="Ljusskuggning">
    <w:name w:val="Light Shading"/>
    <w:basedOn w:val="Normaltabell"/>
    <w:uiPriority w:val="60"/>
    <w:rsid w:val="00D4483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D44830"/>
    <w:rPr>
      <w:color w:val="147763" w:themeColor="accent1" w:themeShade="BF"/>
    </w:rPr>
    <w:tblPr>
      <w:tblStyleRowBandSize w:val="1"/>
      <w:tblStyleColBandSize w:val="1"/>
      <w:tblBorders>
        <w:top w:val="single" w:sz="8" w:space="0" w:color="1BA085" w:themeColor="accent1"/>
        <w:bottom w:val="single" w:sz="8" w:space="0" w:color="1BA085" w:themeColor="accent1"/>
      </w:tblBorders>
    </w:tblPr>
    <w:tblStylePr w:type="fir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lastRow">
      <w:pPr>
        <w:spacing w:before="0" w:after="0" w:line="240" w:lineRule="auto"/>
      </w:pPr>
      <w:rPr>
        <w:b/>
        <w:bCs/>
      </w:rPr>
      <w:tblPr/>
      <w:tcPr>
        <w:tcBorders>
          <w:top w:val="single" w:sz="8" w:space="0" w:color="1BA085" w:themeColor="accent1"/>
          <w:left w:val="nil"/>
          <w:bottom w:val="single" w:sz="8" w:space="0" w:color="1BA08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3E7" w:themeFill="accent1" w:themeFillTint="3F"/>
      </w:tcPr>
    </w:tblStylePr>
    <w:tblStylePr w:type="band1Horz">
      <w:tblPr/>
      <w:tcPr>
        <w:tcBorders>
          <w:left w:val="nil"/>
          <w:right w:val="nil"/>
          <w:insideH w:val="nil"/>
          <w:insideV w:val="nil"/>
        </w:tcBorders>
        <w:shd w:val="clear" w:color="auto" w:fill="BAF3E7" w:themeFill="accent1" w:themeFillTint="3F"/>
      </w:tcPr>
    </w:tblStylePr>
  </w:style>
  <w:style w:type="table" w:styleId="Ljusskuggning-dekorfrg2">
    <w:name w:val="Light Shading Accent 2"/>
    <w:basedOn w:val="Normaltabell"/>
    <w:uiPriority w:val="60"/>
    <w:rsid w:val="00D44830"/>
    <w:rPr>
      <w:color w:val="0999C3" w:themeColor="accent2" w:themeShade="BF"/>
    </w:rPr>
    <w:tblPr>
      <w:tblStyleRowBandSize w:val="1"/>
      <w:tblStyleColBandSize w:val="1"/>
      <w:tblBorders>
        <w:top w:val="single" w:sz="8" w:space="0" w:color="1FC4F4" w:themeColor="accent2"/>
        <w:bottom w:val="single" w:sz="8" w:space="0" w:color="1FC4F4" w:themeColor="accent2"/>
      </w:tblBorders>
    </w:tblPr>
    <w:tblStylePr w:type="fir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lastRow">
      <w:pPr>
        <w:spacing w:before="0" w:after="0" w:line="240" w:lineRule="auto"/>
      </w:pPr>
      <w:rPr>
        <w:b/>
        <w:bCs/>
      </w:rPr>
      <w:tblPr/>
      <w:tcPr>
        <w:tcBorders>
          <w:top w:val="single" w:sz="8" w:space="0" w:color="1FC4F4" w:themeColor="accent2"/>
          <w:left w:val="nil"/>
          <w:bottom w:val="single" w:sz="8" w:space="0" w:color="1FC4F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F0FC" w:themeFill="accent2" w:themeFillTint="3F"/>
      </w:tcPr>
    </w:tblStylePr>
    <w:tblStylePr w:type="band1Horz">
      <w:tblPr/>
      <w:tcPr>
        <w:tcBorders>
          <w:left w:val="nil"/>
          <w:right w:val="nil"/>
          <w:insideH w:val="nil"/>
          <w:insideV w:val="nil"/>
        </w:tcBorders>
        <w:shd w:val="clear" w:color="auto" w:fill="C7F0FC" w:themeFill="accent2" w:themeFillTint="3F"/>
      </w:tcPr>
    </w:tblStylePr>
  </w:style>
  <w:style w:type="table" w:styleId="Ljusskuggning-dekorfrg3">
    <w:name w:val="Light Shading Accent 3"/>
    <w:basedOn w:val="Normaltabell"/>
    <w:uiPriority w:val="60"/>
    <w:rsid w:val="00D44830"/>
    <w:rPr>
      <w:color w:val="002648" w:themeColor="accent3" w:themeShade="BF"/>
    </w:rPr>
    <w:tblPr>
      <w:tblStyleRowBandSize w:val="1"/>
      <w:tblStyleColBandSize w:val="1"/>
      <w:tblBorders>
        <w:top w:val="single" w:sz="8" w:space="0" w:color="003461" w:themeColor="accent3"/>
        <w:bottom w:val="single" w:sz="8" w:space="0" w:color="003461" w:themeColor="accent3"/>
      </w:tblBorders>
    </w:tblPr>
    <w:tblStylePr w:type="fir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lastRow">
      <w:pPr>
        <w:spacing w:before="0" w:after="0" w:line="240" w:lineRule="auto"/>
      </w:pPr>
      <w:rPr>
        <w:b/>
        <w:bCs/>
      </w:rPr>
      <w:tblPr/>
      <w:tcPr>
        <w:tcBorders>
          <w:top w:val="single" w:sz="8" w:space="0" w:color="003461" w:themeColor="accent3"/>
          <w:left w:val="nil"/>
          <w:bottom w:val="single" w:sz="8" w:space="0" w:color="00346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CFFF" w:themeFill="accent3" w:themeFillTint="3F"/>
      </w:tcPr>
    </w:tblStylePr>
    <w:tblStylePr w:type="band1Horz">
      <w:tblPr/>
      <w:tcPr>
        <w:tcBorders>
          <w:left w:val="nil"/>
          <w:right w:val="nil"/>
          <w:insideH w:val="nil"/>
          <w:insideV w:val="nil"/>
        </w:tcBorders>
        <w:shd w:val="clear" w:color="auto" w:fill="98CFFF" w:themeFill="accent3" w:themeFillTint="3F"/>
      </w:tcPr>
    </w:tblStylePr>
  </w:style>
  <w:style w:type="table" w:styleId="Ljuslista-dekorfrg5">
    <w:name w:val="Light List Accent 5"/>
    <w:basedOn w:val="Normaltabell"/>
    <w:uiPriority w:val="61"/>
    <w:rsid w:val="00D44830"/>
    <w:tblPr>
      <w:tblStyleRowBandSize w:val="1"/>
      <w:tblStyleColBandSize w:val="1"/>
      <w:tblBorders>
        <w:top w:val="single" w:sz="8" w:space="0" w:color="9DDCF9" w:themeColor="accent5"/>
        <w:left w:val="single" w:sz="8" w:space="0" w:color="9DDCF9" w:themeColor="accent5"/>
        <w:bottom w:val="single" w:sz="8" w:space="0" w:color="9DDCF9" w:themeColor="accent5"/>
        <w:right w:val="single" w:sz="8" w:space="0" w:color="9DDCF9" w:themeColor="accent5"/>
      </w:tblBorders>
    </w:tblPr>
    <w:tblStylePr w:type="firstRow">
      <w:pPr>
        <w:spacing w:before="0" w:after="0" w:line="240" w:lineRule="auto"/>
      </w:pPr>
      <w:rPr>
        <w:b/>
        <w:bCs/>
        <w:color w:val="FFFFFF" w:themeColor="background1"/>
      </w:rPr>
      <w:tblPr/>
      <w:tcPr>
        <w:shd w:val="clear" w:color="auto" w:fill="9DDCF9" w:themeFill="accent5"/>
      </w:tcPr>
    </w:tblStylePr>
    <w:tblStylePr w:type="lastRow">
      <w:pPr>
        <w:spacing w:before="0" w:after="0" w:line="240" w:lineRule="auto"/>
      </w:pPr>
      <w:rPr>
        <w:b/>
        <w:bCs/>
      </w:rPr>
      <w:tblPr/>
      <w:tcPr>
        <w:tcBorders>
          <w:top w:val="double" w:sz="6" w:space="0" w:color="9DDCF9" w:themeColor="accent5"/>
          <w:left w:val="single" w:sz="8" w:space="0" w:color="9DDCF9" w:themeColor="accent5"/>
          <w:bottom w:val="single" w:sz="8" w:space="0" w:color="9DDCF9" w:themeColor="accent5"/>
          <w:right w:val="single" w:sz="8" w:space="0" w:color="9DDCF9" w:themeColor="accent5"/>
        </w:tcBorders>
      </w:tcPr>
    </w:tblStylePr>
    <w:tblStylePr w:type="firstCol">
      <w:rPr>
        <w:b/>
        <w:bCs/>
      </w:rPr>
    </w:tblStylePr>
    <w:tblStylePr w:type="lastCol">
      <w:rPr>
        <w:b/>
        <w:bCs/>
      </w:rPr>
    </w:tblStylePr>
    <w:tblStylePr w:type="band1Vert">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tblStylePr w:type="band1Horz">
      <w:tblPr/>
      <w:tcPr>
        <w:tcBorders>
          <w:top w:val="single" w:sz="8" w:space="0" w:color="9DDCF9" w:themeColor="accent5"/>
          <w:left w:val="single" w:sz="8" w:space="0" w:color="9DDCF9" w:themeColor="accent5"/>
          <w:bottom w:val="single" w:sz="8" w:space="0" w:color="9DDCF9" w:themeColor="accent5"/>
          <w:right w:val="single" w:sz="8" w:space="0" w:color="9DDCF9" w:themeColor="accent5"/>
        </w:tcBorders>
      </w:tcPr>
    </w:tblStylePr>
  </w:style>
  <w:style w:type="table" w:styleId="Ljuslista-dekorfrg4">
    <w:name w:val="Light List Accent 4"/>
    <w:basedOn w:val="Normaltabell"/>
    <w:uiPriority w:val="61"/>
    <w:rsid w:val="00D44830"/>
    <w:tblPr>
      <w:tblStyleRowBandSize w:val="1"/>
      <w:tblStyleColBandSize w:val="1"/>
      <w:tblBorders>
        <w:top w:val="single" w:sz="8" w:space="0" w:color="9AD3B7" w:themeColor="accent4"/>
        <w:left w:val="single" w:sz="8" w:space="0" w:color="9AD3B7" w:themeColor="accent4"/>
        <w:bottom w:val="single" w:sz="8" w:space="0" w:color="9AD3B7" w:themeColor="accent4"/>
        <w:right w:val="single" w:sz="8" w:space="0" w:color="9AD3B7" w:themeColor="accent4"/>
      </w:tblBorders>
    </w:tblPr>
    <w:tblStylePr w:type="firstRow">
      <w:pPr>
        <w:spacing w:before="0" w:after="0" w:line="240" w:lineRule="auto"/>
      </w:pPr>
      <w:rPr>
        <w:b/>
        <w:bCs/>
        <w:color w:val="FFFFFF" w:themeColor="background1"/>
      </w:rPr>
      <w:tblPr/>
      <w:tcPr>
        <w:shd w:val="clear" w:color="auto" w:fill="9AD3B7" w:themeFill="accent4"/>
      </w:tcPr>
    </w:tblStylePr>
    <w:tblStylePr w:type="lastRow">
      <w:pPr>
        <w:spacing w:before="0" w:after="0" w:line="240" w:lineRule="auto"/>
      </w:pPr>
      <w:rPr>
        <w:b/>
        <w:bCs/>
      </w:rPr>
      <w:tblPr/>
      <w:tcPr>
        <w:tcBorders>
          <w:top w:val="double" w:sz="6" w:space="0" w:color="9AD3B7" w:themeColor="accent4"/>
          <w:left w:val="single" w:sz="8" w:space="0" w:color="9AD3B7" w:themeColor="accent4"/>
          <w:bottom w:val="single" w:sz="8" w:space="0" w:color="9AD3B7" w:themeColor="accent4"/>
          <w:right w:val="single" w:sz="8" w:space="0" w:color="9AD3B7" w:themeColor="accent4"/>
        </w:tcBorders>
      </w:tcPr>
    </w:tblStylePr>
    <w:tblStylePr w:type="firstCol">
      <w:rPr>
        <w:b/>
        <w:bCs/>
      </w:rPr>
    </w:tblStylePr>
    <w:tblStylePr w:type="lastCol">
      <w:rPr>
        <w:b/>
        <w:bCs/>
      </w:rPr>
    </w:tblStylePr>
    <w:tblStylePr w:type="band1Vert">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tblStylePr w:type="band1Horz">
      <w:tblPr/>
      <w:tcPr>
        <w:tcBorders>
          <w:top w:val="single" w:sz="8" w:space="0" w:color="9AD3B7" w:themeColor="accent4"/>
          <w:left w:val="single" w:sz="8" w:space="0" w:color="9AD3B7" w:themeColor="accent4"/>
          <w:bottom w:val="single" w:sz="8" w:space="0" w:color="9AD3B7" w:themeColor="accent4"/>
          <w:right w:val="single" w:sz="8" w:space="0" w:color="9AD3B7" w:themeColor="accent4"/>
        </w:tcBorders>
      </w:tcPr>
    </w:tblStylePr>
  </w:style>
  <w:style w:type="paragraph" w:styleId="Ingetavstnd">
    <w:name w:val="No Spacing"/>
    <w:link w:val="IngetavstndChar"/>
    <w:uiPriority w:val="1"/>
    <w:qFormat/>
    <w:rsid w:val="00D05BBE"/>
    <w:rPr>
      <w:rFonts w:eastAsiaTheme="minorEastAsia"/>
      <w:lang w:eastAsia="sv-SE"/>
    </w:rPr>
  </w:style>
  <w:style w:type="character" w:customStyle="1" w:styleId="IngetavstndChar">
    <w:name w:val="Inget avstånd Char"/>
    <w:basedOn w:val="Standardstycketeckensnitt"/>
    <w:link w:val="Ingetavstnd"/>
    <w:uiPriority w:val="1"/>
    <w:rsid w:val="00D05BBE"/>
    <w:rPr>
      <w:rFonts w:eastAsiaTheme="minorEastAsia"/>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174037">
      <w:bodyDiv w:val="1"/>
      <w:marLeft w:val="0"/>
      <w:marRight w:val="0"/>
      <w:marTop w:val="0"/>
      <w:marBottom w:val="0"/>
      <w:divBdr>
        <w:top w:val="none" w:sz="0" w:space="0" w:color="auto"/>
        <w:left w:val="none" w:sz="0" w:space="0" w:color="auto"/>
        <w:bottom w:val="none" w:sz="0" w:space="0" w:color="auto"/>
        <w:right w:val="none" w:sz="0" w:space="0" w:color="auto"/>
      </w:divBdr>
    </w:div>
    <w:div w:id="1350255765">
      <w:bodyDiv w:val="1"/>
      <w:marLeft w:val="0"/>
      <w:marRight w:val="0"/>
      <w:marTop w:val="0"/>
      <w:marBottom w:val="0"/>
      <w:divBdr>
        <w:top w:val="none" w:sz="0" w:space="0" w:color="auto"/>
        <w:left w:val="none" w:sz="0" w:space="0" w:color="auto"/>
        <w:bottom w:val="none" w:sz="0" w:space="0" w:color="auto"/>
        <w:right w:val="none" w:sz="0" w:space="0" w:color="auto"/>
      </w:divBdr>
      <w:divsChild>
        <w:div w:id="284039975">
          <w:marLeft w:val="0"/>
          <w:marRight w:val="0"/>
          <w:marTop w:val="0"/>
          <w:marBottom w:val="0"/>
          <w:divBdr>
            <w:top w:val="none" w:sz="0" w:space="0" w:color="auto"/>
            <w:left w:val="none" w:sz="0" w:space="0" w:color="auto"/>
            <w:bottom w:val="none" w:sz="0" w:space="0" w:color="auto"/>
            <w:right w:val="none" w:sz="0" w:space="0" w:color="auto"/>
          </w:divBdr>
        </w:div>
        <w:div w:id="794983000">
          <w:marLeft w:val="0"/>
          <w:marRight w:val="0"/>
          <w:marTop w:val="0"/>
          <w:marBottom w:val="0"/>
          <w:divBdr>
            <w:top w:val="none" w:sz="0" w:space="0" w:color="auto"/>
            <w:left w:val="none" w:sz="0" w:space="0" w:color="auto"/>
            <w:bottom w:val="none" w:sz="0" w:space="0" w:color="auto"/>
            <w:right w:val="none" w:sz="0" w:space="0" w:color="auto"/>
          </w:divBdr>
        </w:div>
        <w:div w:id="1015424835">
          <w:marLeft w:val="0"/>
          <w:marRight w:val="0"/>
          <w:marTop w:val="0"/>
          <w:marBottom w:val="0"/>
          <w:divBdr>
            <w:top w:val="none" w:sz="0" w:space="0" w:color="auto"/>
            <w:left w:val="none" w:sz="0" w:space="0" w:color="auto"/>
            <w:bottom w:val="none" w:sz="0" w:space="0" w:color="auto"/>
            <w:right w:val="none" w:sz="0" w:space="0" w:color="auto"/>
          </w:divBdr>
        </w:div>
      </w:divsChild>
    </w:div>
    <w:div w:id="1539472443">
      <w:bodyDiv w:val="1"/>
      <w:marLeft w:val="0"/>
      <w:marRight w:val="0"/>
      <w:marTop w:val="0"/>
      <w:marBottom w:val="0"/>
      <w:divBdr>
        <w:top w:val="none" w:sz="0" w:space="0" w:color="auto"/>
        <w:left w:val="none" w:sz="0" w:space="0" w:color="auto"/>
        <w:bottom w:val="none" w:sz="0" w:space="0" w:color="auto"/>
        <w:right w:val="none" w:sz="0" w:space="0" w:color="auto"/>
      </w:divBdr>
    </w:div>
    <w:div w:id="181089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Färger - HaV">
      <a:dk1>
        <a:sysClr val="windowText" lastClr="000000"/>
      </a:dk1>
      <a:lt1>
        <a:sysClr val="window" lastClr="FFFFFF"/>
      </a:lt1>
      <a:dk2>
        <a:srgbClr val="000000"/>
      </a:dk2>
      <a:lt2>
        <a:srgbClr val="FFFFFF"/>
      </a:lt2>
      <a:accent1>
        <a:srgbClr val="1BA085"/>
      </a:accent1>
      <a:accent2>
        <a:srgbClr val="1FC4F4"/>
      </a:accent2>
      <a:accent3>
        <a:srgbClr val="003461"/>
      </a:accent3>
      <a:accent4>
        <a:srgbClr val="9AD3B7"/>
      </a:accent4>
      <a:accent5>
        <a:srgbClr val="9DDCF9"/>
      </a:accent5>
      <a:accent6>
        <a:srgbClr val="597281"/>
      </a:accent6>
      <a:hlink>
        <a:srgbClr val="0000FF"/>
      </a:hlink>
      <a:folHlink>
        <a:srgbClr val="800080"/>
      </a:folHlink>
    </a:clrScheme>
    <a:fontScheme name="Word-typsnitt-HaV">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16552-7EB0-4590-B0DE-C7BAEB0A8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5582</Words>
  <Characters>29588</Characters>
  <Application>Microsoft Office Word</Application>
  <DocSecurity>0</DocSecurity>
  <Lines>246</Lines>
  <Paragraphs>70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35100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Normal - HaV</cp:keywords>
  <cp:lastModifiedBy/>
  <cp:revision>1</cp:revision>
  <dcterms:created xsi:type="dcterms:W3CDTF">2017-11-27T08:14:00Z</dcterms:created>
  <dcterms:modified xsi:type="dcterms:W3CDTF">2017-11-27T08:14:00Z</dcterms:modified>
</cp:coreProperties>
</file>