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horzAnchor="margin" w:tblpXSpec="center" w:tblpY="-855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834"/>
        <w:gridCol w:w="4765"/>
      </w:tblGrid>
      <w:tr w:rsidR="002100B9" w:rsidRPr="00627163" w:rsidTr="004A5A09">
        <w:trPr>
          <w:trHeight w:hRule="exact" w:val="711"/>
        </w:trPr>
        <w:tc>
          <w:tcPr>
            <w:tcW w:w="4834" w:type="dxa"/>
          </w:tcPr>
          <w:p w:rsidR="006A4A90" w:rsidRPr="00627163" w:rsidRDefault="006A4A90" w:rsidP="004A5A09">
            <w:pPr>
              <w:pStyle w:val="Datum"/>
            </w:pPr>
            <w:bookmarkStart w:id="0" w:name="bmDatum" w:colFirst="0" w:colLast="0"/>
            <w:bookmarkStart w:id="1" w:name="bmMottagare" w:colFirst="1" w:colLast="1"/>
          </w:p>
        </w:tc>
        <w:tc>
          <w:tcPr>
            <w:tcW w:w="4765" w:type="dxa"/>
          </w:tcPr>
          <w:p w:rsidR="00FD79D1" w:rsidRPr="00627163" w:rsidRDefault="00FD79D1" w:rsidP="004A5A09">
            <w:pPr>
              <w:pStyle w:val="Adress-brev"/>
              <w:rPr>
                <w:noProof w:val="0"/>
              </w:rPr>
            </w:pPr>
          </w:p>
        </w:tc>
      </w:tr>
      <w:tr w:rsidR="004A5A09" w:rsidRPr="00627163" w:rsidTr="004A5A09">
        <w:trPr>
          <w:trHeight w:hRule="exact" w:val="711"/>
        </w:trPr>
        <w:tc>
          <w:tcPr>
            <w:tcW w:w="4834" w:type="dxa"/>
          </w:tcPr>
          <w:p w:rsidR="004A5A09" w:rsidRPr="00627163" w:rsidRDefault="004A5A09" w:rsidP="004A5A09">
            <w:pPr>
              <w:pStyle w:val="Datum"/>
            </w:pPr>
          </w:p>
        </w:tc>
        <w:tc>
          <w:tcPr>
            <w:tcW w:w="4765" w:type="dxa"/>
          </w:tcPr>
          <w:p w:rsidR="004A5A09" w:rsidRPr="00627163" w:rsidRDefault="004A5A09" w:rsidP="004A5A09">
            <w:pPr>
              <w:pStyle w:val="Adress-brev"/>
              <w:rPr>
                <w:noProof w:val="0"/>
              </w:rPr>
            </w:pPr>
          </w:p>
        </w:tc>
      </w:tr>
    </w:tbl>
    <w:p w:rsidR="00627163" w:rsidRPr="0028245B" w:rsidRDefault="00627163" w:rsidP="00627163">
      <w:pPr>
        <w:pStyle w:val="Brdtext"/>
        <w:rPr>
          <w:rFonts w:asciiTheme="minorHAnsi" w:hAnsiTheme="minorHAnsi" w:cstheme="minorHAnsi"/>
          <w:sz w:val="24"/>
          <w:szCs w:val="24"/>
        </w:rPr>
      </w:pPr>
      <w:bookmarkStart w:id="2" w:name="bmDate"/>
      <w:bookmarkStart w:id="3" w:name="bmRubrik"/>
      <w:bookmarkStart w:id="4" w:name="bmStart"/>
      <w:bookmarkEnd w:id="0"/>
      <w:bookmarkEnd w:id="1"/>
      <w:bookmarkEnd w:id="2"/>
      <w:bookmarkEnd w:id="3"/>
      <w:bookmarkEnd w:id="4"/>
      <w:r w:rsidRPr="0028245B">
        <w:rPr>
          <w:rFonts w:asciiTheme="minorHAnsi" w:hAnsiTheme="minorHAnsi" w:cstheme="minorHAnsi"/>
          <w:sz w:val="24"/>
          <w:szCs w:val="24"/>
        </w:rPr>
        <w:t>Blankett för befälhavare ombord</w:t>
      </w:r>
    </w:p>
    <w:p w:rsidR="00627163" w:rsidRDefault="00627163" w:rsidP="00627163">
      <w:pPr>
        <w:pStyle w:val="Normal1"/>
        <w:spacing w:before="0" w:beforeAutospacing="0" w:after="312" w:afterAutospacing="0" w:line="31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HVMFS 2014:19 Till grund för bedömning av ansökan om fiskelicens, ligger inkommen fångstredovisning i fiskeloggbok och kustfiskejournal. Även inkomna avräkningsnotor från förstahandsmottagare av fisk kan ligga till grund för bedömningen. </w:t>
      </w:r>
    </w:p>
    <w:p w:rsidR="00980B64" w:rsidRDefault="00627163" w:rsidP="00980B64">
      <w:pPr>
        <w:pStyle w:val="Brdtext"/>
        <w:rPr>
          <w:rStyle w:val="Hyperlnk"/>
          <w:rFonts w:ascii="Arial" w:hAnsi="Arial" w:cs="Arial"/>
        </w:rPr>
      </w:pPr>
      <w:r w:rsidRPr="0051634C">
        <w:rPr>
          <w:rFonts w:ascii="Arial" w:hAnsi="Arial" w:cs="Arial"/>
        </w:rPr>
        <w:t>Blanketten för befäl</w:t>
      </w:r>
      <w:r w:rsidR="00647FB8">
        <w:rPr>
          <w:rFonts w:ascii="Arial" w:hAnsi="Arial" w:cs="Arial"/>
        </w:rPr>
        <w:t>havare, samt ändringar, kan</w:t>
      </w:r>
      <w:r w:rsidRPr="0051634C">
        <w:rPr>
          <w:rFonts w:ascii="Arial" w:hAnsi="Arial" w:cs="Arial"/>
        </w:rPr>
        <w:t xml:space="preserve"> mailas till Havs- och vattenmyndigheten på adress: </w:t>
      </w:r>
      <w:hyperlink r:id="rId8" w:history="1">
        <w:r w:rsidR="00647FB8" w:rsidRPr="00C550F8">
          <w:rPr>
            <w:rStyle w:val="Hyperlnk"/>
            <w:rFonts w:ascii="Arial" w:hAnsi="Arial" w:cs="Arial"/>
          </w:rPr>
          <w:t>dokumentation@havochvatten.se</w:t>
        </w:r>
      </w:hyperlink>
    </w:p>
    <w:p w:rsidR="00627163" w:rsidRDefault="004A5A09" w:rsidP="00980B64">
      <w:pPr>
        <w:pStyle w:val="Brdtext"/>
        <w:rPr>
          <w:rFonts w:ascii="Arial" w:hAnsi="Arial" w:cs="Arial"/>
          <w:color w:val="000000"/>
        </w:rPr>
      </w:pPr>
      <w:bookmarkStart w:id="5" w:name="_GoBack"/>
      <w:bookmarkEnd w:id="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5047615</wp:posOffset>
                </wp:positionV>
                <wp:extent cx="4467225" cy="76200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09" w:rsidRPr="004A5A09" w:rsidRDefault="004A5A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A09">
                              <w:rPr>
                                <w:rFonts w:asciiTheme="minorHAnsi" w:hAnsiTheme="minorHAnsi" w:cstheme="minorHAnsi"/>
                              </w:rPr>
                              <w:t>Dokumentation</w:t>
                            </w:r>
                          </w:p>
                          <w:p w:rsidR="004A5A09" w:rsidRPr="004A5A09" w:rsidRDefault="004A5A09" w:rsidP="004A5A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A09">
                              <w:rPr>
                                <w:rFonts w:asciiTheme="minorHAnsi" w:hAnsiTheme="minorHAnsi" w:cstheme="minorHAnsi"/>
                              </w:rPr>
                              <w:t>Havs- och vattenmyndigheten</w:t>
                            </w:r>
                          </w:p>
                          <w:p w:rsidR="004A5A09" w:rsidRPr="004A5A09" w:rsidRDefault="004A5A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A09">
                              <w:rPr>
                                <w:rFonts w:asciiTheme="minorHAnsi" w:hAnsiTheme="minorHAnsi" w:cstheme="minorHAnsi"/>
                              </w:rPr>
                              <w:t xml:space="preserve">Box 11 930 </w:t>
                            </w:r>
                          </w:p>
                          <w:p w:rsidR="004A5A09" w:rsidRPr="004A5A09" w:rsidRDefault="004A5A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A09">
                              <w:rPr>
                                <w:rFonts w:asciiTheme="minorHAnsi" w:hAnsiTheme="minorHAnsi" w:cstheme="minorHAnsi"/>
                              </w:rPr>
                              <w:t>404 39 Göteborg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7.45pt;width:351.75pt;height:6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" stroked="f">
                <v:textbox>
                  <w:txbxContent>
                    <w:p w:rsidR="004A5A09" w:rsidRPr="004A5A09" w:rsidRDefault="004A5A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A5A09">
                        <w:rPr>
                          <w:rFonts w:asciiTheme="minorHAnsi" w:hAnsiTheme="minorHAnsi" w:cstheme="minorHAnsi"/>
                        </w:rPr>
                        <w:t>Dokumentation</w:t>
                      </w:r>
                    </w:p>
                    <w:p w:rsidR="004A5A09" w:rsidRPr="004A5A09" w:rsidRDefault="004A5A09" w:rsidP="004A5A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A5A09">
                        <w:rPr>
                          <w:rFonts w:asciiTheme="minorHAnsi" w:hAnsiTheme="minorHAnsi" w:cstheme="minorHAnsi"/>
                        </w:rPr>
                        <w:t>Havs- och vattenmyndigheten</w:t>
                      </w:r>
                    </w:p>
                    <w:p w:rsidR="004A5A09" w:rsidRPr="004A5A09" w:rsidRDefault="004A5A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A5A09">
                        <w:rPr>
                          <w:rFonts w:asciiTheme="minorHAnsi" w:hAnsiTheme="minorHAnsi" w:cstheme="minorHAnsi"/>
                        </w:rPr>
                        <w:t xml:space="preserve">Box 11 930 </w:t>
                      </w:r>
                    </w:p>
                    <w:p w:rsidR="004A5A09" w:rsidRPr="004A5A09" w:rsidRDefault="004A5A0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A5A09">
                        <w:rPr>
                          <w:rFonts w:asciiTheme="minorHAnsi" w:hAnsiTheme="minorHAnsi" w:cstheme="minorHAnsi"/>
                        </w:rPr>
                        <w:t>404 39 Göteborg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nt"/>
        <w:tblW w:w="8023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</w:tblGrid>
      <w:tr w:rsidR="00627163" w:rsidTr="00C11607">
        <w:trPr>
          <w:trHeight w:val="877"/>
        </w:trPr>
        <w:tc>
          <w:tcPr>
            <w:tcW w:w="2674" w:type="dxa"/>
          </w:tcPr>
          <w:p w:rsidR="00647FB8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Fartyg/Signal</w:t>
            </w:r>
          </w:p>
        </w:tc>
        <w:tc>
          <w:tcPr>
            <w:tcW w:w="2674" w:type="dxa"/>
          </w:tcPr>
          <w:p w:rsidR="00627163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2675" w:type="dxa"/>
          </w:tcPr>
          <w:p w:rsidR="00627163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Personnummer</w:t>
            </w:r>
          </w:p>
        </w:tc>
      </w:tr>
      <w:tr w:rsidR="00627163" w:rsidTr="00C11607">
        <w:trPr>
          <w:trHeight w:val="892"/>
        </w:trPr>
        <w:tc>
          <w:tcPr>
            <w:tcW w:w="2674" w:type="dxa"/>
          </w:tcPr>
          <w:p w:rsidR="00627163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2674" w:type="dxa"/>
          </w:tcPr>
          <w:p w:rsidR="00627163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75" w:type="dxa"/>
          </w:tcPr>
          <w:p w:rsidR="00627163" w:rsidRDefault="00627163" w:rsidP="00C11607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</w:tr>
      <w:tr w:rsidR="00627163" w:rsidTr="00627163">
        <w:trPr>
          <w:trHeight w:val="877"/>
        </w:trPr>
        <w:tc>
          <w:tcPr>
            <w:tcW w:w="2674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Fartyg/Signal</w:t>
            </w:r>
          </w:p>
        </w:tc>
        <w:tc>
          <w:tcPr>
            <w:tcW w:w="2674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2675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Personnummer</w:t>
            </w:r>
          </w:p>
        </w:tc>
      </w:tr>
      <w:tr w:rsidR="00627163" w:rsidTr="00627163">
        <w:trPr>
          <w:trHeight w:val="892"/>
        </w:trPr>
        <w:tc>
          <w:tcPr>
            <w:tcW w:w="2674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2674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75" w:type="dxa"/>
          </w:tcPr>
          <w:p w:rsidR="00627163" w:rsidRDefault="00627163" w:rsidP="00737E8F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</w:tr>
      <w:tr w:rsidR="00627163" w:rsidTr="00627163">
        <w:trPr>
          <w:trHeight w:val="877"/>
        </w:trPr>
        <w:tc>
          <w:tcPr>
            <w:tcW w:w="2674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Fartyg/Signal</w:t>
            </w:r>
          </w:p>
        </w:tc>
        <w:tc>
          <w:tcPr>
            <w:tcW w:w="2674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2675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Personnummer</w:t>
            </w:r>
          </w:p>
        </w:tc>
      </w:tr>
      <w:tr w:rsidR="00627163" w:rsidTr="00627163">
        <w:trPr>
          <w:trHeight w:val="892"/>
        </w:trPr>
        <w:tc>
          <w:tcPr>
            <w:tcW w:w="2674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2674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75" w:type="dxa"/>
          </w:tcPr>
          <w:p w:rsidR="00627163" w:rsidRDefault="00627163" w:rsidP="00D016A0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</w:tr>
      <w:tr w:rsidR="00627163" w:rsidTr="00627163">
        <w:trPr>
          <w:trHeight w:val="877"/>
        </w:trPr>
        <w:tc>
          <w:tcPr>
            <w:tcW w:w="2674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Fartyg/Signal</w:t>
            </w:r>
          </w:p>
        </w:tc>
        <w:tc>
          <w:tcPr>
            <w:tcW w:w="2674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2675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Personnummer</w:t>
            </w:r>
          </w:p>
        </w:tc>
      </w:tr>
      <w:tr w:rsidR="00627163" w:rsidTr="00627163">
        <w:trPr>
          <w:trHeight w:val="892"/>
        </w:trPr>
        <w:tc>
          <w:tcPr>
            <w:tcW w:w="2674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2674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75" w:type="dxa"/>
          </w:tcPr>
          <w:p w:rsidR="00627163" w:rsidRDefault="00627163" w:rsidP="00A133F8">
            <w:pPr>
              <w:pStyle w:val="Normal1"/>
              <w:spacing w:before="0" w:beforeAutospacing="0" w:after="312" w:afterAutospacing="0" w:line="315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</w:tr>
    </w:tbl>
    <w:p w:rsidR="004A5A09" w:rsidRDefault="004A5A09" w:rsidP="005D70C6">
      <w:pPr>
        <w:pStyle w:val="Brdtext"/>
      </w:pPr>
    </w:p>
    <w:sectPr w:rsidR="004A5A09" w:rsidSect="00DE4C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63" w:rsidRDefault="00627163" w:rsidP="00A63795">
      <w:r>
        <w:separator/>
      </w:r>
    </w:p>
  </w:endnote>
  <w:endnote w:type="continuationSeparator" w:id="0">
    <w:p w:rsidR="00627163" w:rsidRDefault="00627163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:rsidR="00C0090D" w:rsidRPr="00407291" w:rsidRDefault="00C0090D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91065" w:rsidRPr="00406F43" w:rsidTr="002E0E67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791065" w:rsidRPr="00207570" w:rsidRDefault="00791065" w:rsidP="002E0E67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First"/>
          <w:bookmarkStart w:id="13" w:name="bmFot"/>
          <w:bookmarkEnd w:id="12"/>
        </w:p>
      </w:tc>
    </w:tr>
  </w:tbl>
  <w:tbl>
    <w:tblPr>
      <w:tblStyle w:val="Tabellrutnt"/>
      <w:tblW w:w="7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474"/>
    </w:tblGrid>
    <w:tr w:rsidR="00791065" w:rsidRPr="00233FC4" w:rsidTr="00367E51">
      <w:tc>
        <w:tcPr>
          <w:tcW w:w="1276" w:type="dxa"/>
          <w:vMerge w:val="restart"/>
        </w:tcPr>
        <w:p w:rsidR="00791065" w:rsidRPr="00233FC4" w:rsidRDefault="00791065" w:rsidP="002E0E67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559" w:type="dxa"/>
        </w:tcPr>
        <w:p w:rsidR="00791065" w:rsidRPr="00233FC4" w:rsidRDefault="00791065" w:rsidP="002E0E67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2069" w:type="dxa"/>
        </w:tcPr>
        <w:p w:rsidR="00791065" w:rsidRPr="00233FC4" w:rsidRDefault="00791065" w:rsidP="002E0E67">
          <w:pPr>
            <w:pStyle w:val="Sidfot"/>
          </w:pPr>
          <w:r>
            <w:t xml:space="preserve">Telefon </w:t>
          </w:r>
          <w:bookmarkStart w:id="14" w:name="bmTelVxl"/>
          <w:r w:rsidR="00627163">
            <w:t>010-698 60 00</w:t>
          </w:r>
          <w:bookmarkEnd w:id="14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474" w:type="dxa"/>
        </w:tcPr>
        <w:p w:rsidR="00791065" w:rsidRPr="00233FC4" w:rsidRDefault="00407DAB" w:rsidP="00E9293D">
          <w:pPr>
            <w:pStyle w:val="Sidfot"/>
          </w:pPr>
          <w:r>
            <w:t xml:space="preserve">Bankgiro </w:t>
          </w:r>
          <w:bookmarkStart w:id="15" w:name="bmBG"/>
          <w:r w:rsidR="00627163">
            <w:t>199-6669</w:t>
          </w:r>
          <w:bookmarkEnd w:id="15"/>
        </w:p>
      </w:tc>
    </w:tr>
    <w:tr w:rsidR="00407DAB" w:rsidRPr="00233FC4" w:rsidTr="00367E51">
      <w:tc>
        <w:tcPr>
          <w:tcW w:w="1276" w:type="dxa"/>
          <w:vMerge/>
        </w:tcPr>
        <w:p w:rsidR="00407DAB" w:rsidRPr="00233FC4" w:rsidRDefault="00407DAB" w:rsidP="002E0E67">
          <w:pPr>
            <w:pStyle w:val="Sidfot"/>
          </w:pPr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559" w:type="dxa"/>
        </w:tcPr>
        <w:p w:rsidR="00407DAB" w:rsidRPr="00233FC4" w:rsidRDefault="00627163" w:rsidP="002245A5">
          <w:pPr>
            <w:pStyle w:val="Sidfot"/>
          </w:pPr>
          <w:bookmarkStart w:id="16" w:name="bmBesokAdr"/>
          <w:r>
            <w:t>Gullbergs Strandgata 15</w:t>
          </w:r>
          <w:bookmarkEnd w:id="16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2069" w:type="dxa"/>
        </w:tcPr>
        <w:p w:rsidR="00407DAB" w:rsidRPr="00233FC4" w:rsidRDefault="00407DAB" w:rsidP="002E0E67">
          <w:pPr>
            <w:pStyle w:val="Sidfot"/>
          </w:pPr>
          <w:r>
            <w:t xml:space="preserve">Fax </w:t>
          </w:r>
          <w:bookmarkStart w:id="17" w:name="bmFax"/>
          <w:r w:rsidR="00627163">
            <w:t>0106986111</w:t>
          </w:r>
          <w:bookmarkEnd w:id="17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474" w:type="dxa"/>
        </w:tcPr>
        <w:p w:rsidR="00407DAB" w:rsidRPr="00233FC4" w:rsidRDefault="00407DAB" w:rsidP="0019281E">
          <w:pPr>
            <w:pStyle w:val="Sidfot"/>
          </w:pPr>
          <w:r>
            <w:t>Organisationsnummer</w:t>
          </w:r>
        </w:p>
      </w:tc>
    </w:tr>
    <w:tr w:rsidR="00407DAB" w:rsidRPr="00233FC4" w:rsidTr="00367E51">
      <w:tc>
        <w:tcPr>
          <w:tcW w:w="1276" w:type="dxa"/>
        </w:tcPr>
        <w:p w:rsidR="00407DAB" w:rsidRPr="00233FC4" w:rsidRDefault="00627163" w:rsidP="002E0E67">
          <w:pPr>
            <w:pStyle w:val="Sidfot"/>
          </w:pPr>
          <w:bookmarkStart w:id="18" w:name="bmBoxAdr"/>
          <w:r>
            <w:t>Box 11 930</w:t>
          </w:r>
          <w:bookmarkEnd w:id="18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559" w:type="dxa"/>
        </w:tcPr>
        <w:p w:rsidR="00407DAB" w:rsidRPr="00233FC4" w:rsidRDefault="00627163" w:rsidP="002E0E67">
          <w:pPr>
            <w:pStyle w:val="Sidfot"/>
          </w:pPr>
          <w:bookmarkStart w:id="19" w:name="bmBesokPostAdr"/>
          <w:r>
            <w:t>40439 Göteborg</w:t>
          </w:r>
          <w:bookmarkEnd w:id="19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2069" w:type="dxa"/>
        </w:tcPr>
        <w:p w:rsidR="00407DAB" w:rsidRPr="00233FC4" w:rsidRDefault="00627163" w:rsidP="002E0E67">
          <w:pPr>
            <w:pStyle w:val="Sidfot"/>
          </w:pPr>
          <w:bookmarkStart w:id="20" w:name="bmEpost"/>
          <w:r>
            <w:t>havochvatten@havochvatten.se</w:t>
          </w:r>
          <w:bookmarkEnd w:id="20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474" w:type="dxa"/>
        </w:tcPr>
        <w:p w:rsidR="00407DAB" w:rsidRPr="00233FC4" w:rsidRDefault="00627163" w:rsidP="002E0E67">
          <w:pPr>
            <w:pStyle w:val="Sidfot"/>
          </w:pPr>
          <w:bookmarkStart w:id="21" w:name="bmOrgNr"/>
          <w:r>
            <w:t>202100-6420</w:t>
          </w:r>
          <w:bookmarkEnd w:id="21"/>
        </w:p>
      </w:tc>
    </w:tr>
    <w:tr w:rsidR="00407DAB" w:rsidRPr="00233FC4" w:rsidTr="00367E51">
      <w:tc>
        <w:tcPr>
          <w:tcW w:w="1276" w:type="dxa"/>
        </w:tcPr>
        <w:p w:rsidR="00407DAB" w:rsidRPr="00233FC4" w:rsidRDefault="00627163" w:rsidP="002E0E67">
          <w:pPr>
            <w:pStyle w:val="Sidfot"/>
          </w:pPr>
          <w:bookmarkStart w:id="22" w:name="bmPostAdr"/>
          <w:r>
            <w:t>404 39 Göteborg</w:t>
          </w:r>
          <w:bookmarkEnd w:id="22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559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2069" w:type="dxa"/>
        </w:tcPr>
        <w:p w:rsidR="00407DAB" w:rsidRPr="00233FC4" w:rsidRDefault="00627163" w:rsidP="002E0E67">
          <w:pPr>
            <w:pStyle w:val="Sidfot"/>
          </w:pPr>
          <w:bookmarkStart w:id="23" w:name="bmWww"/>
          <w:r>
            <w:t>www.havochvatten.se</w:t>
          </w:r>
          <w:bookmarkEnd w:id="23"/>
        </w:p>
      </w:tc>
      <w:tc>
        <w:tcPr>
          <w:tcW w:w="340" w:type="dxa"/>
        </w:tcPr>
        <w:p w:rsidR="00407DAB" w:rsidRPr="00233FC4" w:rsidRDefault="00407DAB" w:rsidP="002E0E67">
          <w:pPr>
            <w:pStyle w:val="Sidfot"/>
          </w:pPr>
        </w:p>
      </w:tc>
      <w:tc>
        <w:tcPr>
          <w:tcW w:w="1474" w:type="dxa"/>
        </w:tcPr>
        <w:p w:rsidR="00407DAB" w:rsidRPr="00233FC4" w:rsidRDefault="00407DAB" w:rsidP="002E0E67">
          <w:pPr>
            <w:pStyle w:val="Sidfot"/>
          </w:pPr>
        </w:p>
      </w:tc>
    </w:tr>
    <w:bookmarkEnd w:id="13"/>
  </w:tbl>
  <w:p w:rsidR="00F94EF6" w:rsidRPr="00791065" w:rsidRDefault="00F94EF6" w:rsidP="007910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63" w:rsidRDefault="00627163" w:rsidP="00A63795">
      <w:r>
        <w:separator/>
      </w:r>
    </w:p>
  </w:footnote>
  <w:footnote w:type="continuationSeparator" w:id="0">
    <w:p w:rsidR="00627163" w:rsidRDefault="00627163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004B2E" w:rsidP="00BE72B6"/>
      </w:tc>
      <w:bookmarkStart w:id="6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80B64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80B64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:rsidR="00004B2E" w:rsidRPr="00004B2E" w:rsidRDefault="00004B2E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627163" w:rsidTr="00004B2E">
      <w:trPr>
        <w:trHeight w:val="907"/>
      </w:trPr>
      <w:tc>
        <w:tcPr>
          <w:tcW w:w="5362" w:type="dxa"/>
        </w:tcPr>
        <w:p w:rsidR="00627163" w:rsidRDefault="00627163" w:rsidP="004161EC">
          <w:bookmarkStart w:id="9" w:name="bmLogga"/>
          <w:r>
            <w:rPr>
              <w:noProof/>
              <w:lang w:eastAsia="sv-SE"/>
            </w:rPr>
            <w:drawing>
              <wp:inline distT="0" distB="0" distL="0" distR="0" wp14:anchorId="4CD771A8" wp14:editId="00300830">
                <wp:extent cx="1443231" cy="583693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bookmarkStart w:id="10" w:name="bmSidnrFirst"/>
      <w:tc>
        <w:tcPr>
          <w:tcW w:w="4990" w:type="dxa"/>
        </w:tcPr>
        <w:p w:rsidR="00627163" w:rsidRPr="00004B2E" w:rsidRDefault="00627163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80B6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80B6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11" w:name="bmSidnrFirstTrue"/>
          <w:bookmarkEnd w:id="10"/>
          <w:bookmarkEnd w:id="11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3"/>
    <w:rsid w:val="00004B2E"/>
    <w:rsid w:val="00013475"/>
    <w:rsid w:val="0002659C"/>
    <w:rsid w:val="0003042F"/>
    <w:rsid w:val="00037850"/>
    <w:rsid w:val="0004075A"/>
    <w:rsid w:val="00053034"/>
    <w:rsid w:val="00061034"/>
    <w:rsid w:val="000671F9"/>
    <w:rsid w:val="00067499"/>
    <w:rsid w:val="000842F4"/>
    <w:rsid w:val="00086AED"/>
    <w:rsid w:val="000878C6"/>
    <w:rsid w:val="00091949"/>
    <w:rsid w:val="000A2815"/>
    <w:rsid w:val="000A37C2"/>
    <w:rsid w:val="000B72F0"/>
    <w:rsid w:val="000D254C"/>
    <w:rsid w:val="000E6218"/>
    <w:rsid w:val="000F331F"/>
    <w:rsid w:val="00101379"/>
    <w:rsid w:val="00106676"/>
    <w:rsid w:val="0010698C"/>
    <w:rsid w:val="00107D3F"/>
    <w:rsid w:val="001222AD"/>
    <w:rsid w:val="0012578D"/>
    <w:rsid w:val="001448F6"/>
    <w:rsid w:val="001539FB"/>
    <w:rsid w:val="001567DE"/>
    <w:rsid w:val="00172E04"/>
    <w:rsid w:val="001A2D47"/>
    <w:rsid w:val="001A39F9"/>
    <w:rsid w:val="001B06FF"/>
    <w:rsid w:val="001C1015"/>
    <w:rsid w:val="001C30C0"/>
    <w:rsid w:val="001D6317"/>
    <w:rsid w:val="001E2559"/>
    <w:rsid w:val="001E6A2E"/>
    <w:rsid w:val="001F086F"/>
    <w:rsid w:val="001F64E7"/>
    <w:rsid w:val="00203AD8"/>
    <w:rsid w:val="00207FE0"/>
    <w:rsid w:val="002100B9"/>
    <w:rsid w:val="002107AD"/>
    <w:rsid w:val="002245A5"/>
    <w:rsid w:val="00233FC4"/>
    <w:rsid w:val="00243916"/>
    <w:rsid w:val="00246C27"/>
    <w:rsid w:val="00267A79"/>
    <w:rsid w:val="002722D1"/>
    <w:rsid w:val="0027778C"/>
    <w:rsid w:val="00295AA4"/>
    <w:rsid w:val="002A02DB"/>
    <w:rsid w:val="002E1122"/>
    <w:rsid w:val="00300470"/>
    <w:rsid w:val="00315D71"/>
    <w:rsid w:val="00350E97"/>
    <w:rsid w:val="003570CF"/>
    <w:rsid w:val="003637D5"/>
    <w:rsid w:val="0036642B"/>
    <w:rsid w:val="00367E51"/>
    <w:rsid w:val="00370D20"/>
    <w:rsid w:val="00371653"/>
    <w:rsid w:val="003779AA"/>
    <w:rsid w:val="00383DF6"/>
    <w:rsid w:val="00385141"/>
    <w:rsid w:val="003944E7"/>
    <w:rsid w:val="0039797E"/>
    <w:rsid w:val="003A133B"/>
    <w:rsid w:val="003A4C5F"/>
    <w:rsid w:val="003B02C2"/>
    <w:rsid w:val="003B6304"/>
    <w:rsid w:val="003B7AFB"/>
    <w:rsid w:val="003C2263"/>
    <w:rsid w:val="003C22E6"/>
    <w:rsid w:val="003C6ACF"/>
    <w:rsid w:val="003D3A61"/>
    <w:rsid w:val="003D46A3"/>
    <w:rsid w:val="003E233B"/>
    <w:rsid w:val="003E4F86"/>
    <w:rsid w:val="003F1741"/>
    <w:rsid w:val="004041B0"/>
    <w:rsid w:val="00407DAB"/>
    <w:rsid w:val="00412ADE"/>
    <w:rsid w:val="00414425"/>
    <w:rsid w:val="00415009"/>
    <w:rsid w:val="00415A0C"/>
    <w:rsid w:val="00420073"/>
    <w:rsid w:val="00423074"/>
    <w:rsid w:val="0043283B"/>
    <w:rsid w:val="00446EFF"/>
    <w:rsid w:val="00450A1F"/>
    <w:rsid w:val="004548C9"/>
    <w:rsid w:val="00455BDE"/>
    <w:rsid w:val="00463B4F"/>
    <w:rsid w:val="00463D8B"/>
    <w:rsid w:val="0048122B"/>
    <w:rsid w:val="004912F6"/>
    <w:rsid w:val="00495180"/>
    <w:rsid w:val="00496CE1"/>
    <w:rsid w:val="004A4051"/>
    <w:rsid w:val="004A58B1"/>
    <w:rsid w:val="004A5A09"/>
    <w:rsid w:val="004B3510"/>
    <w:rsid w:val="004B481C"/>
    <w:rsid w:val="004B6C37"/>
    <w:rsid w:val="004C171A"/>
    <w:rsid w:val="004C26B8"/>
    <w:rsid w:val="005012D8"/>
    <w:rsid w:val="005038BD"/>
    <w:rsid w:val="0050606C"/>
    <w:rsid w:val="00506446"/>
    <w:rsid w:val="00513E45"/>
    <w:rsid w:val="00514B60"/>
    <w:rsid w:val="005254BE"/>
    <w:rsid w:val="00535C06"/>
    <w:rsid w:val="005450C9"/>
    <w:rsid w:val="00561118"/>
    <w:rsid w:val="005612EA"/>
    <w:rsid w:val="005748A7"/>
    <w:rsid w:val="005D3D15"/>
    <w:rsid w:val="005D70C6"/>
    <w:rsid w:val="005F0E99"/>
    <w:rsid w:val="005F4FA8"/>
    <w:rsid w:val="00601DAD"/>
    <w:rsid w:val="006030E6"/>
    <w:rsid w:val="00611594"/>
    <w:rsid w:val="006173A6"/>
    <w:rsid w:val="006266D9"/>
    <w:rsid w:val="00627163"/>
    <w:rsid w:val="0063320C"/>
    <w:rsid w:val="00635D22"/>
    <w:rsid w:val="00647FB8"/>
    <w:rsid w:val="006675F9"/>
    <w:rsid w:val="006966D9"/>
    <w:rsid w:val="006A4A90"/>
    <w:rsid w:val="006B1A96"/>
    <w:rsid w:val="006D5D9C"/>
    <w:rsid w:val="006E13C3"/>
    <w:rsid w:val="006E2AC0"/>
    <w:rsid w:val="007029EF"/>
    <w:rsid w:val="00723AA8"/>
    <w:rsid w:val="00726EBF"/>
    <w:rsid w:val="00734565"/>
    <w:rsid w:val="00736252"/>
    <w:rsid w:val="00736736"/>
    <w:rsid w:val="00741D4D"/>
    <w:rsid w:val="00762F4A"/>
    <w:rsid w:val="0078104F"/>
    <w:rsid w:val="0078337E"/>
    <w:rsid w:val="00786777"/>
    <w:rsid w:val="00791065"/>
    <w:rsid w:val="00794303"/>
    <w:rsid w:val="00796008"/>
    <w:rsid w:val="007A5446"/>
    <w:rsid w:val="007B40FE"/>
    <w:rsid w:val="007D5006"/>
    <w:rsid w:val="007E0ECB"/>
    <w:rsid w:val="007E1840"/>
    <w:rsid w:val="007E59FE"/>
    <w:rsid w:val="00811A91"/>
    <w:rsid w:val="008154B0"/>
    <w:rsid w:val="00815C2D"/>
    <w:rsid w:val="008167B4"/>
    <w:rsid w:val="008207CB"/>
    <w:rsid w:val="00832886"/>
    <w:rsid w:val="008373EE"/>
    <w:rsid w:val="00840195"/>
    <w:rsid w:val="00856810"/>
    <w:rsid w:val="00877676"/>
    <w:rsid w:val="00897D43"/>
    <w:rsid w:val="008A1851"/>
    <w:rsid w:val="008D1BDA"/>
    <w:rsid w:val="008F0563"/>
    <w:rsid w:val="008F2792"/>
    <w:rsid w:val="009039E2"/>
    <w:rsid w:val="00911390"/>
    <w:rsid w:val="0091206A"/>
    <w:rsid w:val="00933837"/>
    <w:rsid w:val="009364A0"/>
    <w:rsid w:val="00945F60"/>
    <w:rsid w:val="0095242D"/>
    <w:rsid w:val="0095331A"/>
    <w:rsid w:val="00960D0A"/>
    <w:rsid w:val="00975E54"/>
    <w:rsid w:val="00976C31"/>
    <w:rsid w:val="00980B64"/>
    <w:rsid w:val="00981544"/>
    <w:rsid w:val="009A40A1"/>
    <w:rsid w:val="009A5C18"/>
    <w:rsid w:val="009B032C"/>
    <w:rsid w:val="009C31E0"/>
    <w:rsid w:val="009C59C7"/>
    <w:rsid w:val="009D008D"/>
    <w:rsid w:val="00A012F8"/>
    <w:rsid w:val="00A15D6D"/>
    <w:rsid w:val="00A2028E"/>
    <w:rsid w:val="00A36E44"/>
    <w:rsid w:val="00A5299C"/>
    <w:rsid w:val="00A53ECC"/>
    <w:rsid w:val="00A60A5C"/>
    <w:rsid w:val="00A61B5E"/>
    <w:rsid w:val="00A63795"/>
    <w:rsid w:val="00A72BA0"/>
    <w:rsid w:val="00A8070F"/>
    <w:rsid w:val="00A814E0"/>
    <w:rsid w:val="00A94CF1"/>
    <w:rsid w:val="00AA3455"/>
    <w:rsid w:val="00AC5FCB"/>
    <w:rsid w:val="00AE1DD6"/>
    <w:rsid w:val="00AF230F"/>
    <w:rsid w:val="00B01B0F"/>
    <w:rsid w:val="00B10D56"/>
    <w:rsid w:val="00B21145"/>
    <w:rsid w:val="00B21F32"/>
    <w:rsid w:val="00B311AB"/>
    <w:rsid w:val="00B36433"/>
    <w:rsid w:val="00B3643B"/>
    <w:rsid w:val="00B54EB3"/>
    <w:rsid w:val="00B65D64"/>
    <w:rsid w:val="00B675B7"/>
    <w:rsid w:val="00B77178"/>
    <w:rsid w:val="00B773D4"/>
    <w:rsid w:val="00B901A6"/>
    <w:rsid w:val="00B9056B"/>
    <w:rsid w:val="00B90CF1"/>
    <w:rsid w:val="00B915BE"/>
    <w:rsid w:val="00BA3955"/>
    <w:rsid w:val="00BB63B7"/>
    <w:rsid w:val="00BB6C49"/>
    <w:rsid w:val="00BE0679"/>
    <w:rsid w:val="00BE4459"/>
    <w:rsid w:val="00BE46A6"/>
    <w:rsid w:val="00BE484F"/>
    <w:rsid w:val="00C0090D"/>
    <w:rsid w:val="00C0237D"/>
    <w:rsid w:val="00C0356F"/>
    <w:rsid w:val="00C062D3"/>
    <w:rsid w:val="00C279C4"/>
    <w:rsid w:val="00C35EFC"/>
    <w:rsid w:val="00C413B0"/>
    <w:rsid w:val="00C573FF"/>
    <w:rsid w:val="00C65A9C"/>
    <w:rsid w:val="00C7277E"/>
    <w:rsid w:val="00C90B19"/>
    <w:rsid w:val="00CC0F47"/>
    <w:rsid w:val="00CC5CAB"/>
    <w:rsid w:val="00CC5FF2"/>
    <w:rsid w:val="00CC74A9"/>
    <w:rsid w:val="00CE724C"/>
    <w:rsid w:val="00CF0C78"/>
    <w:rsid w:val="00D04453"/>
    <w:rsid w:val="00D341CF"/>
    <w:rsid w:val="00D61661"/>
    <w:rsid w:val="00D70C8E"/>
    <w:rsid w:val="00D93082"/>
    <w:rsid w:val="00DB7E8B"/>
    <w:rsid w:val="00DD48F2"/>
    <w:rsid w:val="00DD56D4"/>
    <w:rsid w:val="00DD7F43"/>
    <w:rsid w:val="00DE4C5E"/>
    <w:rsid w:val="00DF3A6D"/>
    <w:rsid w:val="00E0269E"/>
    <w:rsid w:val="00E27BBE"/>
    <w:rsid w:val="00E30AA5"/>
    <w:rsid w:val="00E3274C"/>
    <w:rsid w:val="00E40D26"/>
    <w:rsid w:val="00E42067"/>
    <w:rsid w:val="00E9147D"/>
    <w:rsid w:val="00E92408"/>
    <w:rsid w:val="00E9293D"/>
    <w:rsid w:val="00E94A29"/>
    <w:rsid w:val="00EA2D0E"/>
    <w:rsid w:val="00EB2C5A"/>
    <w:rsid w:val="00EB2DF2"/>
    <w:rsid w:val="00EB2FF5"/>
    <w:rsid w:val="00EC41C8"/>
    <w:rsid w:val="00ED0971"/>
    <w:rsid w:val="00EE0FA3"/>
    <w:rsid w:val="00EE68FC"/>
    <w:rsid w:val="00F04AAD"/>
    <w:rsid w:val="00F06F37"/>
    <w:rsid w:val="00F16E17"/>
    <w:rsid w:val="00F40337"/>
    <w:rsid w:val="00F57C13"/>
    <w:rsid w:val="00F72E5A"/>
    <w:rsid w:val="00F92B0B"/>
    <w:rsid w:val="00F94EF6"/>
    <w:rsid w:val="00FB7D15"/>
    <w:rsid w:val="00FC0FF0"/>
    <w:rsid w:val="00FC34E0"/>
    <w:rsid w:val="00FD03E5"/>
    <w:rsid w:val="00FD4CFD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4DDC1"/>
  <w15:docId w15:val="{D8A95F4F-E784-4C4F-896B-59D5DEC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7163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933837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33837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933837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33837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383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33837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933837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933837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933837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E484F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semiHidden/>
    <w:rsid w:val="00933837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933837"/>
    <w:rPr>
      <w:rFonts w:ascii="Georgia" w:eastAsiaTheme="majorEastAsia" w:hAnsi="Georgia" w:cstheme="majorBidi"/>
      <w:bCs/>
      <w:i/>
      <w:iCs/>
      <w:sz w:val="23"/>
    </w:rPr>
  </w:style>
  <w:style w:type="paragraph" w:customStyle="1" w:styleId="Normal1">
    <w:name w:val="Normal1"/>
    <w:basedOn w:val="Normal"/>
    <w:rsid w:val="00627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4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ation@havochvat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de\AppData\Roaming\Microsoft\Mallar\HaV%20Mallar\Brev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FE75-1F47-410F-856F-9E028023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107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E Andersson</dc:creator>
  <cp:keywords>Brevmall - HaV</cp:keywords>
  <cp:lastModifiedBy>Jonas Burström</cp:lastModifiedBy>
  <cp:revision>2</cp:revision>
  <dcterms:created xsi:type="dcterms:W3CDTF">2019-02-06T12:15:00Z</dcterms:created>
  <dcterms:modified xsi:type="dcterms:W3CDTF">2019-02-06T12:15:00Z</dcterms:modified>
</cp:coreProperties>
</file>