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5C5" w:rsidRDefault="000215C5">
      <w:pPr>
        <w:spacing w:after="0"/>
      </w:pPr>
      <w:bookmarkStart w:id="0" w:name="_GoBack"/>
      <w:bookmarkEnd w:id="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701"/>
      </w:tblGrid>
      <w:tr w:rsidR="000215C5" w:rsidRPr="00D95552">
        <w:tc>
          <w:tcPr>
            <w:tcW w:w="8188" w:type="dxa"/>
            <w:shd w:val="clear" w:color="auto" w:fill="D9D9D9"/>
          </w:tcPr>
          <w:p w:rsidR="000215C5" w:rsidRDefault="00703023">
            <w:pPr>
              <w:rPr>
                <w:rFonts w:ascii="Arial" w:hAnsi="Arial" w:cs="Arial"/>
                <w:b/>
                <w:sz w:val="20"/>
                <w:szCs w:val="22"/>
              </w:rPr>
            </w:pPr>
            <w:r>
              <w:rPr>
                <w:rFonts w:ascii="Arial" w:hAnsi="Arial"/>
                <w:b/>
                <w:sz w:val="20"/>
              </w:rPr>
              <w:t>Statusruta</w:t>
            </w:r>
          </w:p>
          <w:p w:rsidR="000215C5" w:rsidRDefault="00703023">
            <w:pPr>
              <w:rPr>
                <w:rFonts w:ascii="Arial" w:hAnsi="Arial" w:cs="Arial"/>
                <w:snapToGrid w:val="0"/>
                <w:sz w:val="20"/>
                <w:szCs w:val="22"/>
              </w:rPr>
            </w:pPr>
            <w:r>
              <w:rPr>
                <w:rFonts w:ascii="Arial" w:hAnsi="Arial"/>
                <w:b/>
                <w:snapToGrid w:val="0"/>
                <w:sz w:val="20"/>
                <w:u w:val="single"/>
              </w:rPr>
              <w:t>Titel</w:t>
            </w:r>
            <w:r>
              <w:rPr>
                <w:rFonts w:ascii="Arial" w:hAnsi="Arial"/>
                <w:b/>
                <w:snapToGrid w:val="0"/>
                <w:sz w:val="20"/>
              </w:rPr>
              <w:t xml:space="preserve">: Vägledning om rapporteringen i samband med ramdirektivet för vatten 2016 </w:t>
            </w:r>
          </w:p>
          <w:p w:rsidR="000215C5" w:rsidRDefault="00703023">
            <w:pPr>
              <w:rPr>
                <w:rFonts w:ascii="Arial" w:hAnsi="Arial" w:cs="Arial"/>
                <w:b/>
                <w:snapToGrid w:val="0"/>
                <w:sz w:val="20"/>
                <w:szCs w:val="22"/>
              </w:rPr>
            </w:pPr>
            <w:r>
              <w:rPr>
                <w:rFonts w:ascii="Arial" w:hAnsi="Arial"/>
                <w:b/>
                <w:snapToGrid w:val="0"/>
                <w:sz w:val="20"/>
                <w:u w:val="single"/>
              </w:rPr>
              <w:t>Version nr</w:t>
            </w:r>
            <w:r>
              <w:rPr>
                <w:rFonts w:ascii="Arial" w:hAnsi="Arial"/>
                <w:b/>
                <w:snapToGrid w:val="0"/>
                <w:sz w:val="20"/>
              </w:rPr>
              <w:t>:</w:t>
            </w:r>
            <w:r>
              <w:tab/>
            </w:r>
            <w:r>
              <w:rPr>
                <w:rFonts w:ascii="Arial" w:hAnsi="Arial"/>
                <w:b/>
                <w:snapToGrid w:val="0"/>
                <w:sz w:val="20"/>
              </w:rPr>
              <w:t>Slutligt utkast 6.0.2</w:t>
            </w:r>
          </w:p>
          <w:p w:rsidR="000215C5" w:rsidRDefault="00703023">
            <w:pPr>
              <w:rPr>
                <w:rFonts w:ascii="Arial" w:hAnsi="Arial" w:cs="Arial"/>
                <w:b/>
                <w:snapToGrid w:val="0"/>
                <w:sz w:val="20"/>
                <w:szCs w:val="22"/>
              </w:rPr>
            </w:pPr>
            <w:r>
              <w:rPr>
                <w:rFonts w:ascii="Arial" w:hAnsi="Arial"/>
                <w:b/>
                <w:snapToGrid w:val="0"/>
                <w:sz w:val="20"/>
                <w:u w:val="single"/>
              </w:rPr>
              <w:t>Datum</w:t>
            </w:r>
            <w:r>
              <w:rPr>
                <w:rFonts w:ascii="Arial" w:hAnsi="Arial"/>
                <w:b/>
                <w:snapToGrid w:val="0"/>
                <w:sz w:val="20"/>
              </w:rPr>
              <w:t xml:space="preserve">: </w:t>
            </w:r>
            <w:r w:rsidR="00623924">
              <w:tab/>
            </w:r>
            <w:r>
              <w:rPr>
                <w:rFonts w:ascii="Arial" w:hAnsi="Arial"/>
                <w:b/>
                <w:snapToGrid w:val="0"/>
                <w:sz w:val="20"/>
              </w:rPr>
              <w:t>15 oktober 2015</w:t>
            </w:r>
          </w:p>
          <w:p w:rsidR="000215C5" w:rsidRDefault="00703023">
            <w:pPr>
              <w:jc w:val="both"/>
              <w:rPr>
                <w:rFonts w:ascii="Arial" w:hAnsi="Arial"/>
                <w:sz w:val="20"/>
              </w:rPr>
            </w:pPr>
            <w:r>
              <w:rPr>
                <w:rFonts w:ascii="Arial" w:hAnsi="Arial"/>
                <w:sz w:val="20"/>
              </w:rPr>
              <w:t xml:space="preserve">Vattenförvaltningarna godkände vägledningen om rapporteringen i samband med ramdirektivet för vatten i juli 2014 och enades om en process för att ta fram verktyg och utförligt kontrollera och testa både vägledningen och rapporteringsverktygen. </w:t>
            </w:r>
          </w:p>
          <w:p w:rsidR="000215C5" w:rsidRDefault="00703023">
            <w:pPr>
              <w:jc w:val="both"/>
              <w:rPr>
                <w:rFonts w:ascii="Arial" w:hAnsi="Arial" w:cs="Arial"/>
                <w:sz w:val="20"/>
              </w:rPr>
            </w:pPr>
            <w:r>
              <w:rPr>
                <w:rFonts w:ascii="Arial" w:hAnsi="Arial"/>
                <w:sz w:val="20"/>
              </w:rPr>
              <w:t xml:space="preserve">Resultaten av testningen har tagits med i denna version 6.0 av vägledningen. Testningen pågick flera månader och medlemsstaterna hade under den tiden möjlighet att lämna synpunkter på mallarna och rapporteringsverktygen. Denna version av vägledningen innehåller de ändringar som gjorts i version 6 av mallarna. Dessa ändringar bygger i sin tur på några av de ändringar som gjordes i version 5 av vägledningen och mallarna och som utfärdades efter WG DIS möte i maj 2015, med vissa ytterligare förenklingar och ändringar av strukturen som kommer att underlätta rapporteringen. Följande ändringar har införts: </w:t>
            </w:r>
          </w:p>
          <w:p w:rsidR="000215C5" w:rsidRDefault="00703023">
            <w:pPr>
              <w:jc w:val="both"/>
              <w:rPr>
                <w:rFonts w:ascii="Arial" w:hAnsi="Arial" w:cs="Arial"/>
                <w:b/>
                <w:sz w:val="20"/>
              </w:rPr>
            </w:pPr>
            <w:r>
              <w:rPr>
                <w:rFonts w:ascii="Arial" w:hAnsi="Arial"/>
                <w:b/>
                <w:sz w:val="20"/>
              </w:rPr>
              <w:t>Attributen har flyttats från XML till GML rumsliga data</w:t>
            </w:r>
          </w:p>
          <w:p w:rsidR="000215C5" w:rsidRDefault="00703023">
            <w:pPr>
              <w:jc w:val="both"/>
              <w:rPr>
                <w:rFonts w:ascii="Arial" w:hAnsi="Arial" w:cs="Arial"/>
                <w:sz w:val="20"/>
              </w:rPr>
            </w:pPr>
            <w:r>
              <w:rPr>
                <w:rFonts w:ascii="Arial" w:hAnsi="Arial"/>
                <w:sz w:val="20"/>
              </w:rPr>
              <w:t xml:space="preserve">Vissa attribut som fanns med i XML har flyttats till GML rumsliga data. Dessa attribut beskriver de geografiska förhållandena (ändringar i vattenförekomster, 2010 års koder för vattenförekomster och stationer, flodnamn och koder, </w:t>
            </w:r>
            <w:r w:rsidR="00661070">
              <w:rPr>
                <w:rFonts w:ascii="Arial" w:hAnsi="Arial"/>
                <w:sz w:val="20"/>
              </w:rPr>
              <w:t>område och längd, skala, Eionet</w:t>
            </w:r>
            <w:r w:rsidR="00661070">
              <w:rPr>
                <w:rFonts w:ascii="Arial" w:hAnsi="Arial"/>
                <w:sz w:val="20"/>
              </w:rPr>
              <w:noBreakHyphen/>
            </w:r>
            <w:r>
              <w:rPr>
                <w:rFonts w:ascii="Arial" w:hAnsi="Arial"/>
                <w:sz w:val="20"/>
              </w:rPr>
              <w:t>koden för övervakningsstationer samt övervakningsstationernas genealogi).</w:t>
            </w:r>
          </w:p>
          <w:p w:rsidR="000215C5" w:rsidRDefault="00703023">
            <w:pPr>
              <w:jc w:val="both"/>
              <w:rPr>
                <w:rFonts w:ascii="Arial" w:hAnsi="Arial" w:cs="Arial"/>
                <w:b/>
                <w:sz w:val="20"/>
              </w:rPr>
            </w:pPr>
            <w:r>
              <w:rPr>
                <w:rFonts w:ascii="Arial" w:hAnsi="Arial"/>
                <w:b/>
                <w:sz w:val="20"/>
              </w:rPr>
              <w:t>Nya namn på attributen</w:t>
            </w:r>
          </w:p>
          <w:p w:rsidR="000215C5" w:rsidRDefault="00703023">
            <w:pPr>
              <w:jc w:val="both"/>
              <w:rPr>
                <w:rFonts w:ascii="Arial" w:hAnsi="Arial" w:cs="Arial"/>
                <w:sz w:val="20"/>
              </w:rPr>
            </w:pPr>
            <w:r>
              <w:rPr>
                <w:rFonts w:ascii="Arial" w:hAnsi="Arial"/>
                <w:sz w:val="20"/>
              </w:rPr>
              <w:t xml:space="preserve">Namnen på många attribut och uppräkningslistor har reviderats så att en systematisk nomenklatur kan tillämpas. </w:t>
            </w:r>
          </w:p>
          <w:p w:rsidR="000215C5" w:rsidRDefault="00703023">
            <w:pPr>
              <w:jc w:val="both"/>
              <w:rPr>
                <w:rFonts w:ascii="Arial" w:hAnsi="Arial" w:cs="Arial"/>
                <w:b/>
                <w:sz w:val="20"/>
              </w:rPr>
            </w:pPr>
            <w:r>
              <w:rPr>
                <w:rFonts w:ascii="Arial" w:hAnsi="Arial"/>
                <w:b/>
                <w:sz w:val="20"/>
              </w:rPr>
              <w:t>GWB har förenklats</w:t>
            </w:r>
          </w:p>
          <w:p w:rsidR="000215C5" w:rsidRDefault="00703023">
            <w:pPr>
              <w:jc w:val="both"/>
              <w:rPr>
                <w:rFonts w:ascii="Arial" w:hAnsi="Arial" w:cs="Arial"/>
                <w:sz w:val="20"/>
              </w:rPr>
            </w:pPr>
            <w:r>
              <w:rPr>
                <w:rFonts w:ascii="Arial" w:hAnsi="Arial"/>
                <w:sz w:val="20"/>
              </w:rPr>
              <w:t xml:space="preserve">GWB-mallen har förenklats avsevärt genom sammanslagning av ett antal tabeller för omvända trender, uppåtgående trender, förorenande ämnen som orsakar fel, bakgrundsnivåer, förorenande ämnen som utgör en risk och förorenande ämnen som inte räknas med i en enda tabell. De uppgifter som behövs är desamma, men de är strukturerade på ett mycket enklare sätt. </w:t>
            </w:r>
          </w:p>
          <w:p w:rsidR="000215C5" w:rsidRDefault="00703023">
            <w:pPr>
              <w:jc w:val="both"/>
              <w:rPr>
                <w:rFonts w:ascii="Arial" w:hAnsi="Arial" w:cs="Arial"/>
                <w:b/>
                <w:sz w:val="20"/>
              </w:rPr>
            </w:pPr>
            <w:r>
              <w:rPr>
                <w:rFonts w:ascii="Arial" w:hAnsi="Arial"/>
                <w:b/>
                <w:sz w:val="20"/>
              </w:rPr>
              <w:t>De tre mallarna för övervakning har integrerats och övervakningen har förenklats</w:t>
            </w:r>
          </w:p>
          <w:p w:rsidR="000215C5" w:rsidRDefault="00703023">
            <w:pPr>
              <w:jc w:val="both"/>
              <w:rPr>
                <w:rFonts w:ascii="Arial" w:hAnsi="Arial" w:cs="Arial"/>
                <w:sz w:val="20"/>
              </w:rPr>
            </w:pPr>
            <w:r>
              <w:rPr>
                <w:rFonts w:ascii="Arial" w:hAnsi="Arial"/>
                <w:sz w:val="20"/>
              </w:rPr>
              <w:t>Mallarna för övervakningsprogrammen och för övervakningsstationerna för yt- och grundvatten har integrerats i en enda mall och överflödiga punkter har tagits bort. De uppgifter som behövs är desamma (utom för rapporteringen om hydromorfologiska kvalitetsfaktorer, som har förenklats så att endast nivå 2 krävs), men de är strukturerade på ett mycket enklare sätt. Den nya mallen består av en tabell för övervakningsprogram, en tabell för övervakningsstationer (för både yt- och grundvatten) och en tabell där övervakningsprogrammen, övervakningsändamålen och stationerna har kopplats ihop, Tabellerna för övervakningsstationer används för rapporteringen av uppgifter för kvantitativ (för grundvatten), kemisk (för grund- och ytvatten) och ekologisk (för ytvatten) övervakning.</w:t>
            </w:r>
          </w:p>
          <w:p w:rsidR="000215C5" w:rsidRDefault="00703023">
            <w:pPr>
              <w:jc w:val="both"/>
              <w:rPr>
                <w:rFonts w:ascii="Arial" w:hAnsi="Arial" w:cs="Arial"/>
                <w:b/>
                <w:sz w:val="20"/>
              </w:rPr>
            </w:pPr>
            <w:r>
              <w:rPr>
                <w:rFonts w:ascii="Arial" w:hAnsi="Arial"/>
                <w:b/>
                <w:sz w:val="20"/>
              </w:rPr>
              <w:t>Minskat antal tabeller</w:t>
            </w:r>
          </w:p>
          <w:p w:rsidR="000215C5" w:rsidRDefault="00703023">
            <w:pPr>
              <w:jc w:val="both"/>
              <w:rPr>
                <w:rFonts w:ascii="Arial" w:hAnsi="Arial" w:cs="Arial"/>
                <w:sz w:val="20"/>
              </w:rPr>
            </w:pPr>
            <w:r>
              <w:rPr>
                <w:rFonts w:ascii="Arial" w:hAnsi="Arial"/>
                <w:sz w:val="20"/>
              </w:rPr>
              <w:t xml:space="preserve">Ett antal av attributen ”1 to many” har omvandlats till en serie ja/nej-attribut för att rationalisera mallarna och minska antalet tabeller. Antalet attribut har alltså ökats, men </w:t>
            </w:r>
            <w:r>
              <w:rPr>
                <w:rFonts w:ascii="Arial" w:hAnsi="Arial"/>
                <w:sz w:val="20"/>
              </w:rPr>
              <w:lastRenderedPageBreak/>
              <w:t>ändringarna leder till en enklare Access-databas med färre tabeller och relationer. Detta är särskilt relevant för attributen i mallarna SWMET, GWMET och RBMPPoM, där endast en registrering per RBD behövs.</w:t>
            </w:r>
          </w:p>
          <w:p w:rsidR="000215C5" w:rsidRDefault="00703023">
            <w:pPr>
              <w:jc w:val="both"/>
              <w:rPr>
                <w:rFonts w:ascii="Arial" w:hAnsi="Arial" w:cs="Arial"/>
                <w:b/>
                <w:sz w:val="20"/>
              </w:rPr>
            </w:pPr>
            <w:r>
              <w:rPr>
                <w:rFonts w:ascii="Arial" w:hAnsi="Arial"/>
                <w:b/>
                <w:sz w:val="20"/>
              </w:rPr>
              <w:t xml:space="preserve">Reviderade och sammanslagna kodlistor </w:t>
            </w:r>
          </w:p>
          <w:p w:rsidR="000215C5" w:rsidRDefault="00703023">
            <w:pPr>
              <w:jc w:val="both"/>
              <w:rPr>
                <w:rFonts w:ascii="Arial" w:hAnsi="Arial" w:cs="Arial"/>
                <w:sz w:val="20"/>
              </w:rPr>
            </w:pPr>
            <w:r>
              <w:rPr>
                <w:rFonts w:ascii="Arial" w:hAnsi="Arial"/>
                <w:sz w:val="20"/>
              </w:rPr>
              <w:t xml:space="preserve">En grundlig genomgång har gjorts av kodlistorna, som har slagits ihop där så har varit möjligt. Det totala antalet kodlistor har minskats genom att några av attributen ”1 to many” har tagits bort. </w:t>
            </w:r>
          </w:p>
          <w:p w:rsidR="000215C5" w:rsidRDefault="00703023">
            <w:pPr>
              <w:jc w:val="both"/>
              <w:rPr>
                <w:rFonts w:ascii="Arial" w:hAnsi="Arial" w:cs="Arial"/>
                <w:snapToGrid w:val="0"/>
                <w:sz w:val="20"/>
                <w:szCs w:val="22"/>
              </w:rPr>
            </w:pPr>
            <w:r>
              <w:rPr>
                <w:rFonts w:ascii="Arial" w:hAnsi="Arial"/>
                <w:snapToGrid w:val="0"/>
                <w:sz w:val="20"/>
              </w:rPr>
              <w:t>Även om många ändringar har gjorts av den version som godkändes av vattenförvaltningarna har avsikten varit att undvika ändringar i sak, med undantag för ett fåtal mallposter som har införts efter Inspire-kontrollen. Syftet med ändringarna har varit att göra texten och strukturen tydligare, enklare och mer hanterlig. I vissa fall har detta lett till ändringar i mallposterna (sammanslagningar, uppdelningar eller nya poster).</w:t>
            </w:r>
          </w:p>
          <w:p w:rsidR="000215C5" w:rsidRDefault="000215C5">
            <w:pPr>
              <w:pStyle w:val="Oformateradtext"/>
              <w:spacing w:after="0"/>
              <w:jc w:val="both"/>
              <w:rPr>
                <w:rFonts w:ascii="Arial" w:hAnsi="Arial" w:cs="Arial"/>
                <w:sz w:val="18"/>
              </w:rPr>
            </w:pPr>
          </w:p>
          <w:p w:rsidR="000215C5" w:rsidRPr="008D6A99" w:rsidRDefault="00703023">
            <w:pPr>
              <w:spacing w:after="120"/>
              <w:jc w:val="both"/>
              <w:rPr>
                <w:rFonts w:ascii="Arial" w:hAnsi="Arial"/>
                <w:b/>
                <w:sz w:val="20"/>
                <w:lang w:val="pt-BR"/>
              </w:rPr>
            </w:pPr>
            <w:r w:rsidRPr="008D6A99">
              <w:rPr>
                <w:rFonts w:ascii="Arial" w:hAnsi="Arial"/>
                <w:b/>
                <w:sz w:val="20"/>
                <w:lang w:val="pt-BR"/>
              </w:rPr>
              <w:t>Kontaktpersoner:</w:t>
            </w:r>
          </w:p>
          <w:p w:rsidR="000215C5" w:rsidRPr="008D6A99" w:rsidRDefault="00703023">
            <w:pPr>
              <w:spacing w:after="120"/>
              <w:jc w:val="both"/>
              <w:rPr>
                <w:rFonts w:ascii="Arial" w:hAnsi="Arial"/>
                <w:sz w:val="20"/>
                <w:lang w:val="pt-BR"/>
              </w:rPr>
            </w:pPr>
            <w:r w:rsidRPr="008D6A99">
              <w:rPr>
                <w:rFonts w:ascii="Arial" w:hAnsi="Arial"/>
                <w:sz w:val="20"/>
                <w:lang w:val="pt-BR"/>
              </w:rPr>
              <w:t>Joaquim Capitão [joaquim.capitao@ec.europa.eu]</w:t>
            </w:r>
          </w:p>
          <w:p w:rsidR="000215C5" w:rsidRPr="008D6A99" w:rsidRDefault="00703023">
            <w:pPr>
              <w:jc w:val="both"/>
              <w:rPr>
                <w:sz w:val="20"/>
                <w:lang w:val="pt-BR"/>
              </w:rPr>
            </w:pPr>
            <w:r w:rsidRPr="008D6A99">
              <w:rPr>
                <w:rFonts w:ascii="Arial" w:hAnsi="Arial"/>
                <w:sz w:val="20"/>
                <w:lang w:val="pt-BR"/>
              </w:rPr>
              <w:t>Jorge Rodriguez Romero [jorge.rodriguez-romero@ec.europa.eu]</w:t>
            </w:r>
          </w:p>
        </w:tc>
        <w:tc>
          <w:tcPr>
            <w:tcW w:w="1701" w:type="dxa"/>
            <w:tcBorders>
              <w:top w:val="nil"/>
              <w:bottom w:val="nil"/>
              <w:right w:val="nil"/>
            </w:tcBorders>
            <w:shd w:val="clear" w:color="auto" w:fill="auto"/>
          </w:tcPr>
          <w:p w:rsidR="000215C5" w:rsidRPr="008D6A99" w:rsidRDefault="00703023">
            <w:pPr>
              <w:spacing w:after="0"/>
              <w:rPr>
                <w:lang w:val="pt-BR"/>
              </w:rPr>
            </w:pPr>
            <w:r>
              <w:rPr>
                <w:noProof/>
                <w:lang w:bidi="ar-SA"/>
              </w:rPr>
              <w:lastRenderedPageBreak/>
              <w:drawing>
                <wp:anchor distT="0" distB="0" distL="114300" distR="114300" simplePos="0" relativeHeight="251639296" behindDoc="0" locked="0" layoutInCell="1" allowOverlap="0">
                  <wp:simplePos x="0" y="0"/>
                  <wp:positionH relativeFrom="column">
                    <wp:posOffset>64770</wp:posOffset>
                  </wp:positionH>
                  <wp:positionV relativeFrom="paragraph">
                    <wp:posOffset>-995045</wp:posOffset>
                  </wp:positionV>
                  <wp:extent cx="923925" cy="79057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pic:spPr>
                      </pic:pic>
                    </a:graphicData>
                  </a:graphic>
                </wp:anchor>
              </w:drawing>
            </w:r>
          </w:p>
        </w:tc>
      </w:tr>
    </w:tbl>
    <w:p w:rsidR="000215C5" w:rsidRPr="008D6A99" w:rsidRDefault="000215C5">
      <w:pPr>
        <w:spacing w:after="0"/>
        <w:rPr>
          <w:lang w:val="pt-BR"/>
        </w:rPr>
      </w:pPr>
    </w:p>
    <w:p w:rsidR="000215C5" w:rsidRPr="008D6A99" w:rsidRDefault="000215C5">
      <w:pPr>
        <w:spacing w:after="0"/>
        <w:rPr>
          <w:lang w:val="pt-BR"/>
        </w:rPr>
      </w:pPr>
    </w:p>
    <w:p w:rsidR="000215C5" w:rsidRPr="008D6A99" w:rsidRDefault="00703023">
      <w:pPr>
        <w:rPr>
          <w:lang w:val="pt-BR"/>
        </w:rPr>
      </w:pPr>
      <w:r w:rsidRPr="008D6A99">
        <w:rPr>
          <w:lang w:val="pt-BR"/>
        </w:rPr>
        <w:br w:type="page"/>
      </w:r>
    </w:p>
    <w:p w:rsidR="000215C5" w:rsidRDefault="00703023">
      <w:pPr>
        <w:jc w:val="center"/>
        <w:rPr>
          <w:b/>
          <w:sz w:val="48"/>
          <w:szCs w:val="48"/>
        </w:rPr>
      </w:pPr>
      <w:r>
        <w:rPr>
          <w:b/>
          <w:sz w:val="48"/>
        </w:rPr>
        <w:lastRenderedPageBreak/>
        <w:t>Vägledning om rapporteringen i samband med ramdirektivet för vatten 2016</w:t>
      </w:r>
    </w:p>
    <w:p w:rsidR="000215C5" w:rsidRDefault="00703023">
      <w:pPr>
        <w:pStyle w:val="Releasable"/>
        <w:rPr>
          <w:rStyle w:val="Diskretbetoning"/>
          <w:i w:val="0"/>
          <w:iCs w:val="0"/>
          <w:color w:val="auto"/>
        </w:rPr>
      </w:pPr>
      <w:r>
        <w:rPr>
          <w:rStyle w:val="Diskretbetoning"/>
          <w:i w:val="0"/>
          <w:color w:val="auto"/>
        </w:rPr>
        <w:t>Slutligt utkast v6.1</w:t>
      </w:r>
    </w:p>
    <w:p w:rsidR="000215C5" w:rsidRDefault="00703023">
      <w:pPr>
        <w:pStyle w:val="Releasable"/>
        <w:spacing w:after="240"/>
        <w:rPr>
          <w:rStyle w:val="Diskretbetoning"/>
          <w:i w:val="0"/>
          <w:iCs w:val="0"/>
          <w:color w:val="auto"/>
        </w:rPr>
      </w:pPr>
      <w:r>
        <w:rPr>
          <w:rStyle w:val="Diskretbetoning"/>
          <w:i w:val="0"/>
          <w:color w:val="auto"/>
        </w:rPr>
        <w:t>4.8.2015</w:t>
      </w:r>
    </w:p>
    <w:p w:rsidR="000215C5" w:rsidRDefault="00703023">
      <w:pPr>
        <w:jc w:val="center"/>
        <w:rPr>
          <w:b/>
          <w:sz w:val="32"/>
          <w:szCs w:val="32"/>
        </w:rPr>
      </w:pPr>
      <w:r>
        <w:rPr>
          <w:b/>
          <w:sz w:val="32"/>
        </w:rPr>
        <w:t>INNEHÅLLSFÖRTECKNING</w:t>
      </w:r>
    </w:p>
    <w:p w:rsidR="00301072" w:rsidRDefault="00703023">
      <w:pPr>
        <w:pStyle w:val="Innehll1"/>
        <w:rPr>
          <w:rFonts w:asciiTheme="minorHAnsi" w:eastAsiaTheme="minorEastAsia" w:hAnsiTheme="minorHAnsi" w:cstheme="minorBidi"/>
          <w:caps w:val="0"/>
          <w:noProof/>
          <w:sz w:val="22"/>
          <w:szCs w:val="22"/>
          <w:lang w:val="en-US" w:eastAsia="zh-CN" w:bidi="ar-SA"/>
        </w:rPr>
      </w:pPr>
      <w:r>
        <w:fldChar w:fldCharType="begin"/>
      </w:r>
      <w:r>
        <w:instrText xml:space="preserve"> TOC \o "1-2" \h \z \u </w:instrText>
      </w:r>
      <w:r>
        <w:fldChar w:fldCharType="separate"/>
      </w:r>
      <w:hyperlink w:anchor="_Toc437520234" w:history="1">
        <w:r w:rsidR="00301072" w:rsidRPr="00106617">
          <w:rPr>
            <w:rStyle w:val="Hyperlnk"/>
          </w:rPr>
          <w:t>1.</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Inledning</w:t>
        </w:r>
        <w:r w:rsidR="00301072">
          <w:rPr>
            <w:noProof/>
            <w:webHidden/>
          </w:rPr>
          <w:tab/>
        </w:r>
        <w:r w:rsidR="00301072">
          <w:rPr>
            <w:noProof/>
            <w:webHidden/>
          </w:rPr>
          <w:fldChar w:fldCharType="begin"/>
        </w:r>
        <w:r w:rsidR="00301072">
          <w:rPr>
            <w:noProof/>
            <w:webHidden/>
          </w:rPr>
          <w:instrText xml:space="preserve"> PAGEREF _Toc437520234 \h </w:instrText>
        </w:r>
        <w:r w:rsidR="00301072">
          <w:rPr>
            <w:noProof/>
            <w:webHidden/>
          </w:rPr>
        </w:r>
        <w:r w:rsidR="00301072">
          <w:rPr>
            <w:noProof/>
            <w:webHidden/>
          </w:rPr>
          <w:fldChar w:fldCharType="separate"/>
        </w:r>
        <w:r w:rsidR="0003666D">
          <w:rPr>
            <w:noProof/>
            <w:webHidden/>
          </w:rPr>
          <w:t>9</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35" w:history="1">
        <w:r w:rsidR="00301072" w:rsidRPr="00106617">
          <w:rPr>
            <w:rStyle w:val="Hyperlnk"/>
          </w:rPr>
          <w:t>1.1.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Syftet med detta dokument</w:t>
        </w:r>
        <w:r w:rsidR="00301072">
          <w:rPr>
            <w:noProof/>
            <w:webHidden/>
          </w:rPr>
          <w:tab/>
        </w:r>
        <w:r w:rsidR="00301072">
          <w:rPr>
            <w:noProof/>
            <w:webHidden/>
          </w:rPr>
          <w:fldChar w:fldCharType="begin"/>
        </w:r>
        <w:r w:rsidR="00301072">
          <w:rPr>
            <w:noProof/>
            <w:webHidden/>
          </w:rPr>
          <w:instrText xml:space="preserve"> PAGEREF _Toc437520235 \h </w:instrText>
        </w:r>
        <w:r w:rsidR="00301072">
          <w:rPr>
            <w:noProof/>
            <w:webHidden/>
          </w:rPr>
        </w:r>
        <w:r w:rsidR="00301072">
          <w:rPr>
            <w:noProof/>
            <w:webHidden/>
          </w:rPr>
          <w:fldChar w:fldCharType="separate"/>
        </w:r>
        <w:r w:rsidR="0003666D">
          <w:rPr>
            <w:noProof/>
            <w:webHidden/>
          </w:rPr>
          <w:t>9</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36" w:history="1">
        <w:r w:rsidR="00301072" w:rsidRPr="00106617">
          <w:rPr>
            <w:rStyle w:val="Hyperlnk"/>
          </w:rPr>
          <w:t>1.2.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Principer för översynen</w:t>
        </w:r>
        <w:r w:rsidR="00301072">
          <w:rPr>
            <w:noProof/>
            <w:webHidden/>
          </w:rPr>
          <w:tab/>
        </w:r>
        <w:r w:rsidR="00301072">
          <w:rPr>
            <w:noProof/>
            <w:webHidden/>
          </w:rPr>
          <w:fldChar w:fldCharType="begin"/>
        </w:r>
        <w:r w:rsidR="00301072">
          <w:rPr>
            <w:noProof/>
            <w:webHidden/>
          </w:rPr>
          <w:instrText xml:space="preserve"> PAGEREF _Toc437520236 \h </w:instrText>
        </w:r>
        <w:r w:rsidR="00301072">
          <w:rPr>
            <w:noProof/>
            <w:webHidden/>
          </w:rPr>
        </w:r>
        <w:r w:rsidR="00301072">
          <w:rPr>
            <w:noProof/>
            <w:webHidden/>
          </w:rPr>
          <w:fldChar w:fldCharType="separate"/>
        </w:r>
        <w:r w:rsidR="0003666D">
          <w:rPr>
            <w:noProof/>
            <w:webHidden/>
          </w:rPr>
          <w:t>12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37" w:history="1">
        <w:r w:rsidR="00301072" w:rsidRPr="00106617">
          <w:rPr>
            <w:rStyle w:val="Hyperlnk"/>
          </w:rPr>
          <w:t>1.3.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Dokumentets struktur</w:t>
        </w:r>
        <w:r w:rsidR="00301072">
          <w:rPr>
            <w:noProof/>
            <w:webHidden/>
          </w:rPr>
          <w:tab/>
        </w:r>
        <w:r w:rsidR="00301072">
          <w:rPr>
            <w:noProof/>
            <w:webHidden/>
          </w:rPr>
          <w:fldChar w:fldCharType="begin"/>
        </w:r>
        <w:r w:rsidR="00301072">
          <w:rPr>
            <w:noProof/>
            <w:webHidden/>
          </w:rPr>
          <w:instrText xml:space="preserve"> PAGEREF _Toc437520237 \h </w:instrText>
        </w:r>
        <w:r w:rsidR="00301072">
          <w:rPr>
            <w:noProof/>
            <w:webHidden/>
          </w:rPr>
        </w:r>
        <w:r w:rsidR="00301072">
          <w:rPr>
            <w:noProof/>
            <w:webHidden/>
          </w:rPr>
          <w:fldChar w:fldCharType="separate"/>
        </w:r>
        <w:r w:rsidR="0003666D">
          <w:rPr>
            <w:noProof/>
            <w:webHidden/>
          </w:rPr>
          <w:t>14</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38" w:history="1">
        <w:r w:rsidR="00301072" w:rsidRPr="00106617">
          <w:rPr>
            <w:rStyle w:val="Hyperlnk"/>
          </w:rPr>
          <w:t>1.4.</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Hur kommissionen och Europeiska miljöbyrån kommer att använda den information som lämnas</w:t>
        </w:r>
        <w:r w:rsidR="00301072">
          <w:rPr>
            <w:noProof/>
            <w:webHidden/>
          </w:rPr>
          <w:tab/>
        </w:r>
        <w:r w:rsidR="00301072">
          <w:rPr>
            <w:noProof/>
            <w:webHidden/>
          </w:rPr>
          <w:fldChar w:fldCharType="begin"/>
        </w:r>
        <w:r w:rsidR="00301072">
          <w:rPr>
            <w:noProof/>
            <w:webHidden/>
          </w:rPr>
          <w:instrText xml:space="preserve"> PAGEREF _Toc437520238 \h </w:instrText>
        </w:r>
        <w:r w:rsidR="00301072">
          <w:rPr>
            <w:noProof/>
            <w:webHidden/>
          </w:rPr>
        </w:r>
        <w:r w:rsidR="00301072">
          <w:rPr>
            <w:noProof/>
            <w:webHidden/>
          </w:rPr>
          <w:fldChar w:fldCharType="separate"/>
        </w:r>
        <w:r w:rsidR="0003666D">
          <w:rPr>
            <w:noProof/>
            <w:webHidden/>
          </w:rPr>
          <w:t>15</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39" w:history="1">
        <w:r w:rsidR="00301072" w:rsidRPr="00106617">
          <w:rPr>
            <w:rStyle w:val="Hyperlnk"/>
          </w:rPr>
          <w:t>1.5.</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Nytt innehåll i rapporteringen 2016</w:t>
        </w:r>
        <w:r w:rsidR="00301072">
          <w:rPr>
            <w:noProof/>
            <w:webHidden/>
          </w:rPr>
          <w:tab/>
        </w:r>
        <w:r w:rsidR="00301072">
          <w:rPr>
            <w:noProof/>
            <w:webHidden/>
          </w:rPr>
          <w:fldChar w:fldCharType="begin"/>
        </w:r>
        <w:r w:rsidR="00301072">
          <w:rPr>
            <w:noProof/>
            <w:webHidden/>
          </w:rPr>
          <w:instrText xml:space="preserve"> PAGEREF _Toc437520239 \h </w:instrText>
        </w:r>
        <w:r w:rsidR="00301072">
          <w:rPr>
            <w:noProof/>
            <w:webHidden/>
          </w:rPr>
        </w:r>
        <w:r w:rsidR="00301072">
          <w:rPr>
            <w:noProof/>
            <w:webHidden/>
          </w:rPr>
          <w:fldChar w:fldCharType="separate"/>
        </w:r>
        <w:r w:rsidR="0003666D">
          <w:rPr>
            <w:noProof/>
            <w:webHidden/>
          </w:rPr>
          <w:t>17</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40" w:history="1">
        <w:r w:rsidR="00301072" w:rsidRPr="00106617">
          <w:rPr>
            <w:rStyle w:val="Hyperlnk"/>
          </w:rPr>
          <w:t>1.6.</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Innehåll i rapporteringen 2016</w:t>
        </w:r>
        <w:r w:rsidR="00301072">
          <w:rPr>
            <w:noProof/>
            <w:webHidden/>
          </w:rPr>
          <w:tab/>
        </w:r>
        <w:r w:rsidR="00301072">
          <w:rPr>
            <w:noProof/>
            <w:webHidden/>
          </w:rPr>
          <w:fldChar w:fldCharType="begin"/>
        </w:r>
        <w:r w:rsidR="00301072">
          <w:rPr>
            <w:noProof/>
            <w:webHidden/>
          </w:rPr>
          <w:instrText xml:space="preserve"> PAGEREF _Toc437520240 \h </w:instrText>
        </w:r>
        <w:r w:rsidR="00301072">
          <w:rPr>
            <w:noProof/>
            <w:webHidden/>
          </w:rPr>
        </w:r>
        <w:r w:rsidR="00301072">
          <w:rPr>
            <w:noProof/>
            <w:webHidden/>
          </w:rPr>
          <w:fldChar w:fldCharType="separate"/>
        </w:r>
        <w:r w:rsidR="0003666D">
          <w:rPr>
            <w:noProof/>
            <w:webHidden/>
          </w:rPr>
          <w:t>19</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41" w:history="1">
        <w:r w:rsidR="00301072" w:rsidRPr="00106617">
          <w:rPr>
            <w:rStyle w:val="Hyperlnk"/>
          </w:rPr>
          <w:t>1.7.</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Rapportering av förvaltningsplaner och bakgrundsdokument</w:t>
        </w:r>
        <w:r w:rsidR="00301072">
          <w:rPr>
            <w:noProof/>
            <w:webHidden/>
          </w:rPr>
          <w:tab/>
        </w:r>
        <w:r w:rsidR="00301072">
          <w:rPr>
            <w:noProof/>
            <w:webHidden/>
          </w:rPr>
          <w:fldChar w:fldCharType="begin"/>
        </w:r>
        <w:r w:rsidR="00301072">
          <w:rPr>
            <w:noProof/>
            <w:webHidden/>
          </w:rPr>
          <w:instrText xml:space="preserve"> PAGEREF _Toc437520241 \h </w:instrText>
        </w:r>
        <w:r w:rsidR="00301072">
          <w:rPr>
            <w:noProof/>
            <w:webHidden/>
          </w:rPr>
        </w:r>
        <w:r w:rsidR="00301072">
          <w:rPr>
            <w:noProof/>
            <w:webHidden/>
          </w:rPr>
          <w:fldChar w:fldCharType="separate"/>
        </w:r>
        <w:r w:rsidR="0003666D">
          <w:rPr>
            <w:noProof/>
            <w:webHidden/>
          </w:rPr>
          <w:t>20</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42" w:history="1">
        <w:r w:rsidR="00301072" w:rsidRPr="00106617">
          <w:rPr>
            <w:rStyle w:val="Hyperlnk"/>
          </w:rPr>
          <w:t>1.8.</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Obligatorisk och frivillig rapportering</w:t>
        </w:r>
        <w:r w:rsidR="00301072">
          <w:rPr>
            <w:noProof/>
            <w:webHidden/>
          </w:rPr>
          <w:tab/>
        </w:r>
        <w:r w:rsidR="00301072">
          <w:rPr>
            <w:noProof/>
            <w:webHidden/>
          </w:rPr>
          <w:fldChar w:fldCharType="begin"/>
        </w:r>
        <w:r w:rsidR="00301072">
          <w:rPr>
            <w:noProof/>
            <w:webHidden/>
          </w:rPr>
          <w:instrText xml:space="preserve"> PAGEREF _Toc437520242 \h </w:instrText>
        </w:r>
        <w:r w:rsidR="00301072">
          <w:rPr>
            <w:noProof/>
            <w:webHidden/>
          </w:rPr>
        </w:r>
        <w:r w:rsidR="00301072">
          <w:rPr>
            <w:noProof/>
            <w:webHidden/>
          </w:rPr>
          <w:fldChar w:fldCharType="separate"/>
        </w:r>
        <w:r w:rsidR="0003666D">
          <w:rPr>
            <w:noProof/>
            <w:webHidden/>
          </w:rPr>
          <w:t>20</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43" w:history="1">
        <w:r w:rsidR="00301072" w:rsidRPr="00106617">
          <w:rPr>
            <w:rStyle w:val="Hyperlnk"/>
          </w:rPr>
          <w:t>1.9.</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Komplementaritet med annan rapportering</w:t>
        </w:r>
        <w:r w:rsidR="00301072">
          <w:rPr>
            <w:noProof/>
            <w:webHidden/>
          </w:rPr>
          <w:tab/>
        </w:r>
        <w:r w:rsidR="00301072">
          <w:rPr>
            <w:noProof/>
            <w:webHidden/>
          </w:rPr>
          <w:fldChar w:fldCharType="begin"/>
        </w:r>
        <w:r w:rsidR="00301072">
          <w:rPr>
            <w:noProof/>
            <w:webHidden/>
          </w:rPr>
          <w:instrText xml:space="preserve"> PAGEREF _Toc437520243 \h </w:instrText>
        </w:r>
        <w:r w:rsidR="00301072">
          <w:rPr>
            <w:noProof/>
            <w:webHidden/>
          </w:rPr>
        </w:r>
        <w:r w:rsidR="00301072">
          <w:rPr>
            <w:noProof/>
            <w:webHidden/>
          </w:rPr>
          <w:fldChar w:fldCharType="separate"/>
        </w:r>
        <w:r w:rsidR="0003666D">
          <w:rPr>
            <w:noProof/>
            <w:webHidden/>
          </w:rPr>
          <w:t>21</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44" w:history="1">
        <w:r w:rsidR="00301072" w:rsidRPr="00106617">
          <w:rPr>
            <w:rStyle w:val="Hyperlnk"/>
          </w:rPr>
          <w:t>1.10.</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Sammanfattning av de viktigaste ändringar som införts sedan rapporteringen 2010</w:t>
        </w:r>
        <w:r w:rsidR="00301072">
          <w:rPr>
            <w:rStyle w:val="Hyperlnk"/>
          </w:rPr>
          <w:tab/>
        </w:r>
        <w:r w:rsidR="00301072">
          <w:rPr>
            <w:noProof/>
            <w:webHidden/>
          </w:rPr>
          <w:tab/>
        </w:r>
        <w:r w:rsidR="00301072">
          <w:rPr>
            <w:noProof/>
            <w:webHidden/>
          </w:rPr>
          <w:fldChar w:fldCharType="begin"/>
        </w:r>
        <w:r w:rsidR="00301072">
          <w:rPr>
            <w:noProof/>
            <w:webHidden/>
          </w:rPr>
          <w:instrText xml:space="preserve"> PAGEREF _Toc437520244 \h </w:instrText>
        </w:r>
        <w:r w:rsidR="00301072">
          <w:rPr>
            <w:noProof/>
            <w:webHidden/>
          </w:rPr>
        </w:r>
        <w:r w:rsidR="00301072">
          <w:rPr>
            <w:noProof/>
            <w:webHidden/>
          </w:rPr>
          <w:fldChar w:fldCharType="separate"/>
        </w:r>
        <w:r w:rsidR="0003666D">
          <w:rPr>
            <w:noProof/>
            <w:webHidden/>
          </w:rPr>
          <w:t>24</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45" w:history="1">
        <w:r w:rsidR="00301072" w:rsidRPr="00106617">
          <w:rPr>
            <w:rStyle w:val="Hyperlnk"/>
          </w:rPr>
          <w:t>1.11.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Översikt av rapporteringsmallarna</w:t>
        </w:r>
        <w:r w:rsidR="00301072">
          <w:rPr>
            <w:noProof/>
            <w:webHidden/>
          </w:rPr>
          <w:tab/>
        </w:r>
        <w:r w:rsidR="00301072">
          <w:rPr>
            <w:noProof/>
            <w:webHidden/>
          </w:rPr>
          <w:fldChar w:fldCharType="begin"/>
        </w:r>
        <w:r w:rsidR="00301072">
          <w:rPr>
            <w:noProof/>
            <w:webHidden/>
          </w:rPr>
          <w:instrText xml:space="preserve"> PAGEREF _Toc437520245 \h </w:instrText>
        </w:r>
        <w:r w:rsidR="00301072">
          <w:rPr>
            <w:noProof/>
            <w:webHidden/>
          </w:rPr>
        </w:r>
        <w:r w:rsidR="00301072">
          <w:rPr>
            <w:noProof/>
            <w:webHidden/>
          </w:rPr>
          <w:fldChar w:fldCharType="separate"/>
        </w:r>
        <w:r w:rsidR="0003666D">
          <w:rPr>
            <w:noProof/>
            <w:webHidden/>
          </w:rPr>
          <w:t>28</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46" w:history="1">
        <w:r w:rsidR="00301072" w:rsidRPr="00106617">
          <w:rPr>
            <w:rStyle w:val="Hyperlnk"/>
          </w:rPr>
          <w:t>2.</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Rapportering på ytvattenförekomstnivå (mall SWB)</w:t>
        </w:r>
        <w:r w:rsidR="00301072">
          <w:rPr>
            <w:noProof/>
            <w:webHidden/>
          </w:rPr>
          <w:tab/>
        </w:r>
        <w:r w:rsidR="00301072">
          <w:rPr>
            <w:noProof/>
            <w:webHidden/>
          </w:rPr>
          <w:fldChar w:fldCharType="begin"/>
        </w:r>
        <w:r w:rsidR="00301072">
          <w:rPr>
            <w:noProof/>
            <w:webHidden/>
          </w:rPr>
          <w:instrText xml:space="preserve"> PAGEREF _Toc437520246 \h </w:instrText>
        </w:r>
        <w:r w:rsidR="00301072">
          <w:rPr>
            <w:noProof/>
            <w:webHidden/>
          </w:rPr>
        </w:r>
        <w:r w:rsidR="00301072">
          <w:rPr>
            <w:noProof/>
            <w:webHidden/>
          </w:rPr>
          <w:fldChar w:fldCharType="separate"/>
        </w:r>
        <w:r w:rsidR="0003666D">
          <w:rPr>
            <w:noProof/>
            <w:webHidden/>
          </w:rPr>
          <w:t>31</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47" w:history="1">
        <w:r w:rsidR="00301072" w:rsidRPr="00106617">
          <w:rPr>
            <w:rStyle w:val="Hyperlnk"/>
          </w:rPr>
          <w:t>2.1.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Översikt av strukturen för innehållet i rapporteringen 2016</w:t>
        </w:r>
        <w:r w:rsidR="00301072">
          <w:rPr>
            <w:noProof/>
            <w:webHidden/>
          </w:rPr>
          <w:tab/>
        </w:r>
        <w:r w:rsidR="00301072">
          <w:rPr>
            <w:noProof/>
            <w:webHidden/>
          </w:rPr>
          <w:fldChar w:fldCharType="begin"/>
        </w:r>
        <w:r w:rsidR="00301072">
          <w:rPr>
            <w:noProof/>
            <w:webHidden/>
          </w:rPr>
          <w:instrText xml:space="preserve"> PAGEREF _Toc437520247 \h </w:instrText>
        </w:r>
        <w:r w:rsidR="00301072">
          <w:rPr>
            <w:noProof/>
            <w:webHidden/>
          </w:rPr>
        </w:r>
        <w:r w:rsidR="00301072">
          <w:rPr>
            <w:noProof/>
            <w:webHidden/>
          </w:rPr>
          <w:fldChar w:fldCharType="separate"/>
        </w:r>
        <w:r w:rsidR="0003666D">
          <w:rPr>
            <w:noProof/>
            <w:webHidden/>
          </w:rPr>
          <w:t>31</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48" w:history="1">
        <w:r w:rsidR="00301072" w:rsidRPr="00106617">
          <w:rPr>
            <w:rStyle w:val="Hyperlnk"/>
          </w:rPr>
          <w:t>2.2.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Karakterisering av ytvatten</w:t>
        </w:r>
        <w:r w:rsidR="00301072">
          <w:rPr>
            <w:noProof/>
            <w:webHidden/>
          </w:rPr>
          <w:tab/>
        </w:r>
        <w:r w:rsidR="00301072">
          <w:rPr>
            <w:noProof/>
            <w:webHidden/>
          </w:rPr>
          <w:fldChar w:fldCharType="begin"/>
        </w:r>
        <w:r w:rsidR="00301072">
          <w:rPr>
            <w:noProof/>
            <w:webHidden/>
          </w:rPr>
          <w:instrText xml:space="preserve"> PAGEREF _Toc437520248 \h </w:instrText>
        </w:r>
        <w:r w:rsidR="00301072">
          <w:rPr>
            <w:noProof/>
            <w:webHidden/>
          </w:rPr>
        </w:r>
        <w:r w:rsidR="00301072">
          <w:rPr>
            <w:noProof/>
            <w:webHidden/>
          </w:rPr>
          <w:fldChar w:fldCharType="separate"/>
        </w:r>
        <w:r w:rsidR="0003666D">
          <w:rPr>
            <w:noProof/>
            <w:webHidden/>
          </w:rPr>
          <w:t>32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49" w:history="1">
        <w:r w:rsidR="00301072" w:rsidRPr="00106617">
          <w:rPr>
            <w:rStyle w:val="Hyperlnk"/>
          </w:rPr>
          <w:t>2.3.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Påverkan och effekter på ytvatten</w:t>
        </w:r>
        <w:r w:rsidR="00301072">
          <w:rPr>
            <w:noProof/>
            <w:webHidden/>
          </w:rPr>
          <w:tab/>
        </w:r>
        <w:r w:rsidR="00301072">
          <w:rPr>
            <w:noProof/>
            <w:webHidden/>
          </w:rPr>
          <w:fldChar w:fldCharType="begin"/>
        </w:r>
        <w:r w:rsidR="00301072">
          <w:rPr>
            <w:noProof/>
            <w:webHidden/>
          </w:rPr>
          <w:instrText xml:space="preserve"> PAGEREF _Toc437520249 \h </w:instrText>
        </w:r>
        <w:r w:rsidR="00301072">
          <w:rPr>
            <w:noProof/>
            <w:webHidden/>
          </w:rPr>
        </w:r>
        <w:r w:rsidR="00301072">
          <w:rPr>
            <w:noProof/>
            <w:webHidden/>
          </w:rPr>
          <w:fldChar w:fldCharType="separate"/>
        </w:r>
        <w:r w:rsidR="0003666D">
          <w:rPr>
            <w:noProof/>
            <w:webHidden/>
          </w:rPr>
          <w:t>42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50" w:history="1">
        <w:r w:rsidR="00301072" w:rsidRPr="00106617">
          <w:rPr>
            <w:rStyle w:val="Hyperlnk"/>
          </w:rPr>
          <w:t>2.4.</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Ekologisk status och undantag</w:t>
        </w:r>
        <w:r w:rsidR="00301072">
          <w:rPr>
            <w:noProof/>
            <w:webHidden/>
          </w:rPr>
          <w:tab/>
        </w:r>
        <w:r w:rsidR="00301072">
          <w:rPr>
            <w:noProof/>
            <w:webHidden/>
          </w:rPr>
          <w:fldChar w:fldCharType="begin"/>
        </w:r>
        <w:r w:rsidR="00301072">
          <w:rPr>
            <w:noProof/>
            <w:webHidden/>
          </w:rPr>
          <w:instrText xml:space="preserve"> PAGEREF _Toc437520250 \h </w:instrText>
        </w:r>
        <w:r w:rsidR="00301072">
          <w:rPr>
            <w:noProof/>
            <w:webHidden/>
          </w:rPr>
        </w:r>
        <w:r w:rsidR="00301072">
          <w:rPr>
            <w:noProof/>
            <w:webHidden/>
          </w:rPr>
          <w:fldChar w:fldCharType="separate"/>
        </w:r>
        <w:r w:rsidR="0003666D">
          <w:rPr>
            <w:noProof/>
            <w:webHidden/>
          </w:rPr>
          <w:t>49</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51" w:history="1">
        <w:r w:rsidR="00301072" w:rsidRPr="00106617">
          <w:rPr>
            <w:rStyle w:val="Hyperlnk"/>
          </w:rPr>
          <w:t>2.5.</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Kemisk status hos ytvatten, undantag och blandningszoner</w:t>
        </w:r>
        <w:r w:rsidR="00301072">
          <w:rPr>
            <w:noProof/>
            <w:webHidden/>
          </w:rPr>
          <w:tab/>
        </w:r>
        <w:r w:rsidR="00301072">
          <w:rPr>
            <w:noProof/>
            <w:webHidden/>
          </w:rPr>
          <w:fldChar w:fldCharType="begin"/>
        </w:r>
        <w:r w:rsidR="00301072">
          <w:rPr>
            <w:noProof/>
            <w:webHidden/>
          </w:rPr>
          <w:instrText xml:space="preserve"> PAGEREF _Toc437520251 \h </w:instrText>
        </w:r>
        <w:r w:rsidR="00301072">
          <w:rPr>
            <w:noProof/>
            <w:webHidden/>
          </w:rPr>
        </w:r>
        <w:r w:rsidR="00301072">
          <w:rPr>
            <w:noProof/>
            <w:webHidden/>
          </w:rPr>
          <w:fldChar w:fldCharType="separate"/>
        </w:r>
        <w:r w:rsidR="0003666D">
          <w:rPr>
            <w:noProof/>
            <w:webHidden/>
          </w:rPr>
          <w:t>62</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52" w:history="1">
        <w:r w:rsidR="00301072" w:rsidRPr="00106617">
          <w:rPr>
            <w:rStyle w:val="Hyperlnk"/>
          </w:rPr>
          <w:t>3.</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Rapportering på grundvattenförekomstnivå (mall GWB)</w:t>
        </w:r>
        <w:r w:rsidR="00301072">
          <w:rPr>
            <w:noProof/>
            <w:webHidden/>
          </w:rPr>
          <w:tab/>
        </w:r>
        <w:r w:rsidR="00301072">
          <w:rPr>
            <w:noProof/>
            <w:webHidden/>
          </w:rPr>
          <w:fldChar w:fldCharType="begin"/>
        </w:r>
        <w:r w:rsidR="00301072">
          <w:rPr>
            <w:noProof/>
            <w:webHidden/>
          </w:rPr>
          <w:instrText xml:space="preserve"> PAGEREF _Toc437520252 \h </w:instrText>
        </w:r>
        <w:r w:rsidR="00301072">
          <w:rPr>
            <w:noProof/>
            <w:webHidden/>
          </w:rPr>
        </w:r>
        <w:r w:rsidR="00301072">
          <w:rPr>
            <w:noProof/>
            <w:webHidden/>
          </w:rPr>
          <w:fldChar w:fldCharType="separate"/>
        </w:r>
        <w:r w:rsidR="0003666D">
          <w:rPr>
            <w:noProof/>
            <w:webHidden/>
          </w:rPr>
          <w:t>75</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53" w:history="1">
        <w:r w:rsidR="00301072" w:rsidRPr="00106617">
          <w:rPr>
            <w:rStyle w:val="Hyperlnk"/>
          </w:rPr>
          <w:t>3.1.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Översikt av strukturen för innehållet i rapporteringen 2016</w:t>
        </w:r>
        <w:r w:rsidR="00301072">
          <w:rPr>
            <w:noProof/>
            <w:webHidden/>
          </w:rPr>
          <w:tab/>
        </w:r>
        <w:r w:rsidR="00301072">
          <w:rPr>
            <w:noProof/>
            <w:webHidden/>
          </w:rPr>
          <w:fldChar w:fldCharType="begin"/>
        </w:r>
        <w:r w:rsidR="00301072">
          <w:rPr>
            <w:noProof/>
            <w:webHidden/>
          </w:rPr>
          <w:instrText xml:space="preserve"> PAGEREF _Toc437520253 \h </w:instrText>
        </w:r>
        <w:r w:rsidR="00301072">
          <w:rPr>
            <w:noProof/>
            <w:webHidden/>
          </w:rPr>
        </w:r>
        <w:r w:rsidR="00301072">
          <w:rPr>
            <w:noProof/>
            <w:webHidden/>
          </w:rPr>
          <w:fldChar w:fldCharType="separate"/>
        </w:r>
        <w:r w:rsidR="0003666D">
          <w:rPr>
            <w:noProof/>
            <w:webHidden/>
          </w:rPr>
          <w:t>75</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54" w:history="1">
        <w:r w:rsidR="00301072" w:rsidRPr="00106617">
          <w:rPr>
            <w:rStyle w:val="Hyperlnk"/>
          </w:rPr>
          <w:t>3.2.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Karakterisering av grundvatten</w:t>
        </w:r>
        <w:r w:rsidR="00301072">
          <w:rPr>
            <w:noProof/>
            <w:webHidden/>
          </w:rPr>
          <w:tab/>
        </w:r>
        <w:r w:rsidR="00301072">
          <w:rPr>
            <w:noProof/>
            <w:webHidden/>
          </w:rPr>
          <w:fldChar w:fldCharType="begin"/>
        </w:r>
        <w:r w:rsidR="00301072">
          <w:rPr>
            <w:noProof/>
            <w:webHidden/>
          </w:rPr>
          <w:instrText xml:space="preserve"> PAGEREF _Toc437520254 \h </w:instrText>
        </w:r>
        <w:r w:rsidR="00301072">
          <w:rPr>
            <w:noProof/>
            <w:webHidden/>
          </w:rPr>
        </w:r>
        <w:r w:rsidR="00301072">
          <w:rPr>
            <w:noProof/>
            <w:webHidden/>
          </w:rPr>
          <w:fldChar w:fldCharType="separate"/>
        </w:r>
        <w:r w:rsidR="0003666D">
          <w:rPr>
            <w:noProof/>
            <w:webHidden/>
          </w:rPr>
          <w:t>75</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55" w:history="1">
        <w:r w:rsidR="00301072" w:rsidRPr="00106617">
          <w:rPr>
            <w:rStyle w:val="Hyperlnk"/>
          </w:rPr>
          <w:t>3.3.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Påverkan och effekter på grundvatten</w:t>
        </w:r>
        <w:r w:rsidR="00301072">
          <w:rPr>
            <w:noProof/>
            <w:webHidden/>
          </w:rPr>
          <w:tab/>
        </w:r>
        <w:r w:rsidR="00301072">
          <w:rPr>
            <w:noProof/>
            <w:webHidden/>
          </w:rPr>
          <w:fldChar w:fldCharType="begin"/>
        </w:r>
        <w:r w:rsidR="00301072">
          <w:rPr>
            <w:noProof/>
            <w:webHidden/>
          </w:rPr>
          <w:instrText xml:space="preserve"> PAGEREF _Toc437520255 \h </w:instrText>
        </w:r>
        <w:r w:rsidR="00301072">
          <w:rPr>
            <w:noProof/>
            <w:webHidden/>
          </w:rPr>
        </w:r>
        <w:r w:rsidR="00301072">
          <w:rPr>
            <w:noProof/>
            <w:webHidden/>
          </w:rPr>
          <w:fldChar w:fldCharType="separate"/>
        </w:r>
        <w:r w:rsidR="0003666D">
          <w:rPr>
            <w:noProof/>
            <w:webHidden/>
          </w:rPr>
          <w:t>79</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56" w:history="1">
        <w:r w:rsidR="00301072" w:rsidRPr="00106617">
          <w:rPr>
            <w:rStyle w:val="Hyperlnk"/>
          </w:rPr>
          <w:t>3.4.</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Kvantitativ status hos grundvatten samt undantag</w:t>
        </w:r>
        <w:r w:rsidR="00301072">
          <w:rPr>
            <w:noProof/>
            <w:webHidden/>
          </w:rPr>
          <w:tab/>
        </w:r>
        <w:r w:rsidR="00301072">
          <w:rPr>
            <w:noProof/>
            <w:webHidden/>
          </w:rPr>
          <w:fldChar w:fldCharType="begin"/>
        </w:r>
        <w:r w:rsidR="00301072">
          <w:rPr>
            <w:noProof/>
            <w:webHidden/>
          </w:rPr>
          <w:instrText xml:space="preserve"> PAGEREF _Toc437520256 \h </w:instrText>
        </w:r>
        <w:r w:rsidR="00301072">
          <w:rPr>
            <w:noProof/>
            <w:webHidden/>
          </w:rPr>
        </w:r>
        <w:r w:rsidR="00301072">
          <w:rPr>
            <w:noProof/>
            <w:webHidden/>
          </w:rPr>
          <w:fldChar w:fldCharType="separate"/>
        </w:r>
        <w:r w:rsidR="0003666D">
          <w:rPr>
            <w:noProof/>
            <w:webHidden/>
          </w:rPr>
          <w:t>82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57" w:history="1">
        <w:r w:rsidR="00301072" w:rsidRPr="00106617">
          <w:rPr>
            <w:rStyle w:val="Hyperlnk"/>
          </w:rPr>
          <w:t>3.5.</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Kemisk status hos grundvatten samt undantag</w:t>
        </w:r>
        <w:r w:rsidR="00301072">
          <w:rPr>
            <w:noProof/>
            <w:webHidden/>
          </w:rPr>
          <w:tab/>
        </w:r>
        <w:r w:rsidR="00301072">
          <w:rPr>
            <w:noProof/>
            <w:webHidden/>
          </w:rPr>
          <w:fldChar w:fldCharType="begin"/>
        </w:r>
        <w:r w:rsidR="00301072">
          <w:rPr>
            <w:noProof/>
            <w:webHidden/>
          </w:rPr>
          <w:instrText xml:space="preserve"> PAGEREF _Toc437520257 \h </w:instrText>
        </w:r>
        <w:r w:rsidR="00301072">
          <w:rPr>
            <w:noProof/>
            <w:webHidden/>
          </w:rPr>
        </w:r>
        <w:r w:rsidR="00301072">
          <w:rPr>
            <w:noProof/>
            <w:webHidden/>
          </w:rPr>
          <w:fldChar w:fldCharType="separate"/>
        </w:r>
        <w:r w:rsidR="0003666D">
          <w:rPr>
            <w:noProof/>
            <w:webHidden/>
          </w:rPr>
          <w:t>89</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58" w:history="1">
        <w:r w:rsidR="00301072" w:rsidRPr="00106617">
          <w:rPr>
            <w:rStyle w:val="Hyperlnk"/>
          </w:rPr>
          <w:t>4.</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Övervakning (mallövervakning)</w:t>
        </w:r>
        <w:r w:rsidR="00301072">
          <w:rPr>
            <w:noProof/>
            <w:webHidden/>
          </w:rPr>
          <w:tab/>
        </w:r>
        <w:r w:rsidR="00301072">
          <w:rPr>
            <w:noProof/>
            <w:webHidden/>
          </w:rPr>
          <w:fldChar w:fldCharType="begin"/>
        </w:r>
        <w:r w:rsidR="00301072">
          <w:rPr>
            <w:noProof/>
            <w:webHidden/>
          </w:rPr>
          <w:instrText xml:space="preserve"> PAGEREF _Toc437520258 \h </w:instrText>
        </w:r>
        <w:r w:rsidR="00301072">
          <w:rPr>
            <w:noProof/>
            <w:webHidden/>
          </w:rPr>
        </w:r>
        <w:r w:rsidR="00301072">
          <w:rPr>
            <w:noProof/>
            <w:webHidden/>
          </w:rPr>
          <w:fldChar w:fldCharType="separate"/>
        </w:r>
        <w:r w:rsidR="0003666D">
          <w:rPr>
            <w:noProof/>
            <w:webHidden/>
          </w:rPr>
          <w:t>100</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59" w:history="1">
        <w:r w:rsidR="00301072" w:rsidRPr="00106617">
          <w:rPr>
            <w:rStyle w:val="Hyperlnk"/>
          </w:rPr>
          <w:t>4.1.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Inledning</w:t>
        </w:r>
        <w:r w:rsidR="00301072">
          <w:rPr>
            <w:noProof/>
            <w:webHidden/>
          </w:rPr>
          <w:tab/>
        </w:r>
        <w:r w:rsidR="00301072">
          <w:rPr>
            <w:noProof/>
            <w:webHidden/>
          </w:rPr>
          <w:fldChar w:fldCharType="begin"/>
        </w:r>
        <w:r w:rsidR="00301072">
          <w:rPr>
            <w:noProof/>
            <w:webHidden/>
          </w:rPr>
          <w:instrText xml:space="preserve"> PAGEREF _Toc437520259 \h </w:instrText>
        </w:r>
        <w:r w:rsidR="00301072">
          <w:rPr>
            <w:noProof/>
            <w:webHidden/>
          </w:rPr>
        </w:r>
        <w:r w:rsidR="00301072">
          <w:rPr>
            <w:noProof/>
            <w:webHidden/>
          </w:rPr>
          <w:fldChar w:fldCharType="separate"/>
        </w:r>
        <w:r w:rsidR="0003666D">
          <w:rPr>
            <w:noProof/>
            <w:webHidden/>
          </w:rPr>
          <w:t>100</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60" w:history="1">
        <w:r w:rsidR="00301072" w:rsidRPr="00106617">
          <w:rPr>
            <w:rStyle w:val="Hyperlnk"/>
          </w:rPr>
          <w:t>4.2.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Produkter från rapporteringen</w:t>
        </w:r>
        <w:r w:rsidR="00301072">
          <w:rPr>
            <w:noProof/>
            <w:webHidden/>
          </w:rPr>
          <w:tab/>
        </w:r>
        <w:r w:rsidR="00301072">
          <w:rPr>
            <w:noProof/>
            <w:webHidden/>
          </w:rPr>
          <w:fldChar w:fldCharType="begin"/>
        </w:r>
        <w:r w:rsidR="00301072">
          <w:rPr>
            <w:noProof/>
            <w:webHidden/>
          </w:rPr>
          <w:instrText xml:space="preserve"> PAGEREF _Toc437520260 \h </w:instrText>
        </w:r>
        <w:r w:rsidR="00301072">
          <w:rPr>
            <w:noProof/>
            <w:webHidden/>
          </w:rPr>
        </w:r>
        <w:r w:rsidR="00301072">
          <w:rPr>
            <w:noProof/>
            <w:webHidden/>
          </w:rPr>
          <w:fldChar w:fldCharType="separate"/>
        </w:r>
        <w:r w:rsidR="0003666D">
          <w:rPr>
            <w:noProof/>
            <w:webHidden/>
          </w:rPr>
          <w:t>102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61" w:history="1">
        <w:r w:rsidR="00301072" w:rsidRPr="00106617">
          <w:rPr>
            <w:rStyle w:val="Hyperlnk"/>
          </w:rPr>
          <w:t>4.3.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Innehåll i rapporteringen 2016</w:t>
        </w:r>
        <w:r w:rsidR="00301072">
          <w:rPr>
            <w:noProof/>
            <w:webHidden/>
          </w:rPr>
          <w:tab/>
        </w:r>
        <w:r w:rsidR="00301072">
          <w:rPr>
            <w:noProof/>
            <w:webHidden/>
          </w:rPr>
          <w:fldChar w:fldCharType="begin"/>
        </w:r>
        <w:r w:rsidR="00301072">
          <w:rPr>
            <w:noProof/>
            <w:webHidden/>
          </w:rPr>
          <w:instrText xml:space="preserve"> PAGEREF _Toc437520261 \h </w:instrText>
        </w:r>
        <w:r w:rsidR="00301072">
          <w:rPr>
            <w:noProof/>
            <w:webHidden/>
          </w:rPr>
        </w:r>
        <w:r w:rsidR="00301072">
          <w:rPr>
            <w:noProof/>
            <w:webHidden/>
          </w:rPr>
          <w:fldChar w:fldCharType="separate"/>
        </w:r>
        <w:r w:rsidR="0003666D">
          <w:rPr>
            <w:noProof/>
            <w:webHidden/>
          </w:rPr>
          <w:t>108</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62" w:history="1">
        <w:r w:rsidR="00301072" w:rsidRPr="00106617">
          <w:rPr>
            <w:rStyle w:val="Hyperlnk"/>
          </w:rPr>
          <w:t>5.</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Skyddade områden (mallarna SWB och GWB)</w:t>
        </w:r>
        <w:r w:rsidR="00301072">
          <w:rPr>
            <w:noProof/>
            <w:webHidden/>
          </w:rPr>
          <w:tab/>
        </w:r>
        <w:r w:rsidR="00301072">
          <w:rPr>
            <w:noProof/>
            <w:webHidden/>
          </w:rPr>
          <w:fldChar w:fldCharType="begin"/>
        </w:r>
        <w:r w:rsidR="00301072">
          <w:rPr>
            <w:noProof/>
            <w:webHidden/>
          </w:rPr>
          <w:instrText xml:space="preserve"> PAGEREF _Toc437520262 \h </w:instrText>
        </w:r>
        <w:r w:rsidR="00301072">
          <w:rPr>
            <w:noProof/>
            <w:webHidden/>
          </w:rPr>
        </w:r>
        <w:r w:rsidR="00301072">
          <w:rPr>
            <w:noProof/>
            <w:webHidden/>
          </w:rPr>
          <w:fldChar w:fldCharType="separate"/>
        </w:r>
        <w:r w:rsidR="0003666D">
          <w:rPr>
            <w:noProof/>
            <w:webHidden/>
          </w:rPr>
          <w:t>122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63" w:history="1">
        <w:r w:rsidR="00301072" w:rsidRPr="00106617">
          <w:rPr>
            <w:rStyle w:val="Hyperlnk"/>
          </w:rPr>
          <w:t>5.1.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Inledning</w:t>
        </w:r>
        <w:r w:rsidR="00301072">
          <w:rPr>
            <w:noProof/>
            <w:webHidden/>
          </w:rPr>
          <w:tab/>
        </w:r>
        <w:r w:rsidR="00301072">
          <w:rPr>
            <w:noProof/>
            <w:webHidden/>
          </w:rPr>
          <w:fldChar w:fldCharType="begin"/>
        </w:r>
        <w:r w:rsidR="00301072">
          <w:rPr>
            <w:noProof/>
            <w:webHidden/>
          </w:rPr>
          <w:instrText xml:space="preserve"> PAGEREF _Toc437520263 \h </w:instrText>
        </w:r>
        <w:r w:rsidR="00301072">
          <w:rPr>
            <w:noProof/>
            <w:webHidden/>
          </w:rPr>
        </w:r>
        <w:r w:rsidR="00301072">
          <w:rPr>
            <w:noProof/>
            <w:webHidden/>
          </w:rPr>
          <w:fldChar w:fldCharType="separate"/>
        </w:r>
        <w:r w:rsidR="0003666D">
          <w:rPr>
            <w:noProof/>
            <w:webHidden/>
          </w:rPr>
          <w:t>122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64" w:history="1">
        <w:r w:rsidR="00301072" w:rsidRPr="00106617">
          <w:rPr>
            <w:rStyle w:val="Hyperlnk"/>
          </w:rPr>
          <w:t>5.2.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Produkter från rapporteringen</w:t>
        </w:r>
        <w:r w:rsidR="00301072">
          <w:rPr>
            <w:noProof/>
            <w:webHidden/>
          </w:rPr>
          <w:tab/>
        </w:r>
        <w:r w:rsidR="00301072">
          <w:rPr>
            <w:noProof/>
            <w:webHidden/>
          </w:rPr>
          <w:fldChar w:fldCharType="begin"/>
        </w:r>
        <w:r w:rsidR="00301072">
          <w:rPr>
            <w:noProof/>
            <w:webHidden/>
          </w:rPr>
          <w:instrText xml:space="preserve"> PAGEREF _Toc437520264 \h </w:instrText>
        </w:r>
        <w:r w:rsidR="00301072">
          <w:rPr>
            <w:noProof/>
            <w:webHidden/>
          </w:rPr>
        </w:r>
        <w:r w:rsidR="00301072">
          <w:rPr>
            <w:noProof/>
            <w:webHidden/>
          </w:rPr>
          <w:fldChar w:fldCharType="separate"/>
        </w:r>
        <w:r w:rsidR="0003666D">
          <w:rPr>
            <w:noProof/>
            <w:webHidden/>
          </w:rPr>
          <w:t>124</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65" w:history="1">
        <w:r w:rsidR="00301072" w:rsidRPr="00106617">
          <w:rPr>
            <w:rStyle w:val="Hyperlnk"/>
          </w:rPr>
          <w:t>5.3.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Innehåll i rapporteringen 2016</w:t>
        </w:r>
        <w:r w:rsidR="00301072">
          <w:rPr>
            <w:noProof/>
            <w:webHidden/>
          </w:rPr>
          <w:tab/>
        </w:r>
        <w:r w:rsidR="00301072">
          <w:rPr>
            <w:noProof/>
            <w:webHidden/>
          </w:rPr>
          <w:fldChar w:fldCharType="begin"/>
        </w:r>
        <w:r w:rsidR="00301072">
          <w:rPr>
            <w:noProof/>
            <w:webHidden/>
          </w:rPr>
          <w:instrText xml:space="preserve"> PAGEREF _Toc437520265 \h </w:instrText>
        </w:r>
        <w:r w:rsidR="00301072">
          <w:rPr>
            <w:noProof/>
            <w:webHidden/>
          </w:rPr>
        </w:r>
        <w:r w:rsidR="00301072">
          <w:rPr>
            <w:noProof/>
            <w:webHidden/>
          </w:rPr>
          <w:fldChar w:fldCharType="separate"/>
        </w:r>
        <w:r w:rsidR="0003666D">
          <w:rPr>
            <w:noProof/>
            <w:webHidden/>
          </w:rPr>
          <w:t>125</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66" w:history="1">
        <w:r w:rsidR="00301072" w:rsidRPr="00106617">
          <w:rPr>
            <w:rStyle w:val="Hyperlnk"/>
          </w:rPr>
          <w:t>6.</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Rapportering på medlemsstatsnivå Behöriga myndigheter, avrinningsdistrikt och delavrinningsdistrikt (mallen RBDSUCA)</w:t>
        </w:r>
        <w:r w:rsidR="00301072">
          <w:rPr>
            <w:noProof/>
            <w:webHidden/>
          </w:rPr>
          <w:tab/>
        </w:r>
        <w:r w:rsidR="00301072">
          <w:rPr>
            <w:noProof/>
            <w:webHidden/>
          </w:rPr>
          <w:fldChar w:fldCharType="begin"/>
        </w:r>
        <w:r w:rsidR="00301072">
          <w:rPr>
            <w:noProof/>
            <w:webHidden/>
          </w:rPr>
          <w:instrText xml:space="preserve"> PAGEREF _Toc437520266 \h </w:instrText>
        </w:r>
        <w:r w:rsidR="00301072">
          <w:rPr>
            <w:noProof/>
            <w:webHidden/>
          </w:rPr>
        </w:r>
        <w:r w:rsidR="00301072">
          <w:rPr>
            <w:noProof/>
            <w:webHidden/>
          </w:rPr>
          <w:fldChar w:fldCharType="separate"/>
        </w:r>
        <w:r w:rsidR="0003666D">
          <w:rPr>
            <w:noProof/>
            <w:webHidden/>
          </w:rPr>
          <w:t>134</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67" w:history="1">
        <w:r w:rsidR="00301072" w:rsidRPr="00106617">
          <w:rPr>
            <w:rStyle w:val="Hyperlnk"/>
          </w:rPr>
          <w:t>6.1.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Inledning</w:t>
        </w:r>
        <w:r w:rsidR="00301072">
          <w:rPr>
            <w:noProof/>
            <w:webHidden/>
          </w:rPr>
          <w:tab/>
        </w:r>
        <w:r w:rsidR="00301072">
          <w:rPr>
            <w:noProof/>
            <w:webHidden/>
          </w:rPr>
          <w:fldChar w:fldCharType="begin"/>
        </w:r>
        <w:r w:rsidR="00301072">
          <w:rPr>
            <w:noProof/>
            <w:webHidden/>
          </w:rPr>
          <w:instrText xml:space="preserve"> PAGEREF _Toc437520267 \h </w:instrText>
        </w:r>
        <w:r w:rsidR="00301072">
          <w:rPr>
            <w:noProof/>
            <w:webHidden/>
          </w:rPr>
        </w:r>
        <w:r w:rsidR="00301072">
          <w:rPr>
            <w:noProof/>
            <w:webHidden/>
          </w:rPr>
          <w:fldChar w:fldCharType="separate"/>
        </w:r>
        <w:r w:rsidR="0003666D">
          <w:rPr>
            <w:noProof/>
            <w:webHidden/>
          </w:rPr>
          <w:t>134</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68" w:history="1">
        <w:r w:rsidR="00301072" w:rsidRPr="00106617">
          <w:rPr>
            <w:rStyle w:val="Hyperlnk"/>
          </w:rPr>
          <w:t>6.2.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Produkter från rapporteringen</w:t>
        </w:r>
        <w:r w:rsidR="00301072">
          <w:rPr>
            <w:noProof/>
            <w:webHidden/>
          </w:rPr>
          <w:tab/>
        </w:r>
        <w:r w:rsidR="00301072">
          <w:rPr>
            <w:noProof/>
            <w:webHidden/>
          </w:rPr>
          <w:fldChar w:fldCharType="begin"/>
        </w:r>
        <w:r w:rsidR="00301072">
          <w:rPr>
            <w:noProof/>
            <w:webHidden/>
          </w:rPr>
          <w:instrText xml:space="preserve"> PAGEREF _Toc437520268 \h </w:instrText>
        </w:r>
        <w:r w:rsidR="00301072">
          <w:rPr>
            <w:noProof/>
            <w:webHidden/>
          </w:rPr>
        </w:r>
        <w:r w:rsidR="00301072">
          <w:rPr>
            <w:noProof/>
            <w:webHidden/>
          </w:rPr>
          <w:fldChar w:fldCharType="separate"/>
        </w:r>
        <w:r w:rsidR="0003666D">
          <w:rPr>
            <w:noProof/>
            <w:webHidden/>
          </w:rPr>
          <w:t>135</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69" w:history="1">
        <w:r w:rsidR="00301072" w:rsidRPr="00106617">
          <w:rPr>
            <w:rStyle w:val="Hyperlnk"/>
          </w:rPr>
          <w:t>6.3.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Innehåll i rapporteringen 2016</w:t>
        </w:r>
        <w:r w:rsidR="00301072">
          <w:rPr>
            <w:noProof/>
            <w:webHidden/>
          </w:rPr>
          <w:tab/>
        </w:r>
        <w:r w:rsidR="00301072">
          <w:rPr>
            <w:noProof/>
            <w:webHidden/>
          </w:rPr>
          <w:fldChar w:fldCharType="begin"/>
        </w:r>
        <w:r w:rsidR="00301072">
          <w:rPr>
            <w:noProof/>
            <w:webHidden/>
          </w:rPr>
          <w:instrText xml:space="preserve"> PAGEREF _Toc437520269 \h </w:instrText>
        </w:r>
        <w:r w:rsidR="00301072">
          <w:rPr>
            <w:noProof/>
            <w:webHidden/>
          </w:rPr>
        </w:r>
        <w:r w:rsidR="00301072">
          <w:rPr>
            <w:noProof/>
            <w:webHidden/>
          </w:rPr>
          <w:fldChar w:fldCharType="separate"/>
        </w:r>
        <w:r w:rsidR="0003666D">
          <w:rPr>
            <w:noProof/>
            <w:webHidden/>
          </w:rPr>
          <w:t>135</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70" w:history="1">
        <w:r w:rsidR="00301072" w:rsidRPr="00106617">
          <w:rPr>
            <w:rStyle w:val="Hyperlnk"/>
          </w:rPr>
          <w:t>7.</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Rapportering på nivån för avrinningsdistrikt/delavrinningsdistrikt för ytvatten (mallen SWMET)</w:t>
        </w:r>
        <w:r w:rsidR="00301072">
          <w:rPr>
            <w:noProof/>
            <w:webHidden/>
          </w:rPr>
          <w:tab/>
        </w:r>
        <w:r w:rsidR="00301072">
          <w:rPr>
            <w:noProof/>
            <w:webHidden/>
          </w:rPr>
          <w:fldChar w:fldCharType="begin"/>
        </w:r>
        <w:r w:rsidR="00301072">
          <w:rPr>
            <w:noProof/>
            <w:webHidden/>
          </w:rPr>
          <w:instrText xml:space="preserve"> PAGEREF _Toc437520270 \h </w:instrText>
        </w:r>
        <w:r w:rsidR="00301072">
          <w:rPr>
            <w:noProof/>
            <w:webHidden/>
          </w:rPr>
        </w:r>
        <w:r w:rsidR="00301072">
          <w:rPr>
            <w:noProof/>
            <w:webHidden/>
          </w:rPr>
          <w:fldChar w:fldCharType="separate"/>
        </w:r>
        <w:r w:rsidR="0003666D">
          <w:rPr>
            <w:noProof/>
            <w:webHidden/>
          </w:rPr>
          <w:t>142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71" w:history="1">
        <w:r w:rsidR="00301072" w:rsidRPr="00106617">
          <w:rPr>
            <w:rStyle w:val="Hyperlnk"/>
          </w:rPr>
          <w:t>7.1.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Översikt av rapportering av metoder för ytvattenförekomster</w:t>
        </w:r>
        <w:r w:rsidR="00301072">
          <w:rPr>
            <w:noProof/>
            <w:webHidden/>
          </w:rPr>
          <w:tab/>
        </w:r>
        <w:r w:rsidR="00301072">
          <w:rPr>
            <w:noProof/>
            <w:webHidden/>
          </w:rPr>
          <w:fldChar w:fldCharType="begin"/>
        </w:r>
        <w:r w:rsidR="00301072">
          <w:rPr>
            <w:noProof/>
            <w:webHidden/>
          </w:rPr>
          <w:instrText xml:space="preserve"> PAGEREF _Toc437520271 \h </w:instrText>
        </w:r>
        <w:r w:rsidR="00301072">
          <w:rPr>
            <w:noProof/>
            <w:webHidden/>
          </w:rPr>
        </w:r>
        <w:r w:rsidR="00301072">
          <w:rPr>
            <w:noProof/>
            <w:webHidden/>
          </w:rPr>
          <w:fldChar w:fldCharType="separate"/>
        </w:r>
        <w:r w:rsidR="0003666D">
          <w:rPr>
            <w:noProof/>
            <w:webHidden/>
          </w:rPr>
          <w:t>142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72" w:history="1">
        <w:r w:rsidR="00301072" w:rsidRPr="00106617">
          <w:rPr>
            <w:rStyle w:val="Hyperlnk"/>
          </w:rPr>
          <w:t>7.2.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Metoder för karakterisering</w:t>
        </w:r>
        <w:r w:rsidR="00301072">
          <w:rPr>
            <w:noProof/>
            <w:webHidden/>
          </w:rPr>
          <w:tab/>
        </w:r>
        <w:r w:rsidR="00301072">
          <w:rPr>
            <w:noProof/>
            <w:webHidden/>
          </w:rPr>
          <w:fldChar w:fldCharType="begin"/>
        </w:r>
        <w:r w:rsidR="00301072">
          <w:rPr>
            <w:noProof/>
            <w:webHidden/>
          </w:rPr>
          <w:instrText xml:space="preserve"> PAGEREF _Toc437520272 \h </w:instrText>
        </w:r>
        <w:r w:rsidR="00301072">
          <w:rPr>
            <w:noProof/>
            <w:webHidden/>
          </w:rPr>
        </w:r>
        <w:r w:rsidR="00301072">
          <w:rPr>
            <w:noProof/>
            <w:webHidden/>
          </w:rPr>
          <w:fldChar w:fldCharType="separate"/>
        </w:r>
        <w:r w:rsidR="0003666D">
          <w:rPr>
            <w:noProof/>
            <w:webHidden/>
          </w:rPr>
          <w:t>142</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73" w:history="1">
        <w:r w:rsidR="00301072" w:rsidRPr="00106617">
          <w:rPr>
            <w:rStyle w:val="Hyperlnk"/>
          </w:rPr>
          <w:t>7.3.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Metoder för klassificering av ekologisk status och potential</w:t>
        </w:r>
        <w:r w:rsidR="00301072">
          <w:rPr>
            <w:noProof/>
            <w:webHidden/>
          </w:rPr>
          <w:tab/>
        </w:r>
        <w:r w:rsidR="00301072">
          <w:rPr>
            <w:noProof/>
            <w:webHidden/>
          </w:rPr>
          <w:fldChar w:fldCharType="begin"/>
        </w:r>
        <w:r w:rsidR="00301072">
          <w:rPr>
            <w:noProof/>
            <w:webHidden/>
          </w:rPr>
          <w:instrText xml:space="preserve"> PAGEREF _Toc437520273 \h </w:instrText>
        </w:r>
        <w:r w:rsidR="00301072">
          <w:rPr>
            <w:noProof/>
            <w:webHidden/>
          </w:rPr>
        </w:r>
        <w:r w:rsidR="00301072">
          <w:rPr>
            <w:noProof/>
            <w:webHidden/>
          </w:rPr>
          <w:fldChar w:fldCharType="separate"/>
        </w:r>
        <w:r w:rsidR="0003666D">
          <w:rPr>
            <w:noProof/>
            <w:webHidden/>
          </w:rPr>
          <w:t>149</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74" w:history="1">
        <w:r w:rsidR="00301072" w:rsidRPr="00106617">
          <w:rPr>
            <w:rStyle w:val="Hyperlnk"/>
          </w:rPr>
          <w:t>7.4.</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Metoder för klassificering av kemisk status</w:t>
        </w:r>
        <w:r w:rsidR="00301072">
          <w:rPr>
            <w:noProof/>
            <w:webHidden/>
          </w:rPr>
          <w:tab/>
        </w:r>
        <w:r w:rsidR="00301072">
          <w:rPr>
            <w:noProof/>
            <w:webHidden/>
          </w:rPr>
          <w:fldChar w:fldCharType="begin"/>
        </w:r>
        <w:r w:rsidR="00301072">
          <w:rPr>
            <w:noProof/>
            <w:webHidden/>
          </w:rPr>
          <w:instrText xml:space="preserve"> PAGEREF _Toc437520274 \h </w:instrText>
        </w:r>
        <w:r w:rsidR="00301072">
          <w:rPr>
            <w:noProof/>
            <w:webHidden/>
          </w:rPr>
        </w:r>
        <w:r w:rsidR="00301072">
          <w:rPr>
            <w:noProof/>
            <w:webHidden/>
          </w:rPr>
          <w:fldChar w:fldCharType="separate"/>
        </w:r>
        <w:r w:rsidR="0003666D">
          <w:rPr>
            <w:noProof/>
            <w:webHidden/>
          </w:rPr>
          <w:t>165</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75" w:history="1">
        <w:r w:rsidR="00301072" w:rsidRPr="00106617">
          <w:rPr>
            <w:rStyle w:val="Hyperlnk"/>
          </w:rPr>
          <w:t>7.5.</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Allmänna förvaltningsmål (näringsämnen, floders kontinuitet).</w:t>
        </w:r>
        <w:r w:rsidR="00301072">
          <w:rPr>
            <w:noProof/>
            <w:webHidden/>
          </w:rPr>
          <w:tab/>
        </w:r>
        <w:r w:rsidR="00301072">
          <w:rPr>
            <w:noProof/>
            <w:webHidden/>
          </w:rPr>
          <w:fldChar w:fldCharType="begin"/>
        </w:r>
        <w:r w:rsidR="00301072">
          <w:rPr>
            <w:noProof/>
            <w:webHidden/>
          </w:rPr>
          <w:instrText xml:space="preserve"> PAGEREF _Toc437520275 \h </w:instrText>
        </w:r>
        <w:r w:rsidR="00301072">
          <w:rPr>
            <w:noProof/>
            <w:webHidden/>
          </w:rPr>
        </w:r>
        <w:r w:rsidR="00301072">
          <w:rPr>
            <w:noProof/>
            <w:webHidden/>
          </w:rPr>
          <w:fldChar w:fldCharType="separate"/>
        </w:r>
        <w:r w:rsidR="0003666D">
          <w:rPr>
            <w:noProof/>
            <w:webHidden/>
          </w:rPr>
          <w:t>174</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76" w:history="1">
        <w:r w:rsidR="00301072" w:rsidRPr="00106617">
          <w:rPr>
            <w:rStyle w:val="Hyperlnk"/>
          </w:rPr>
          <w:t>7.6.</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Definition av betydande påverkan och effekter</w:t>
        </w:r>
        <w:r w:rsidR="00301072">
          <w:rPr>
            <w:noProof/>
            <w:webHidden/>
          </w:rPr>
          <w:tab/>
        </w:r>
        <w:r w:rsidR="00301072">
          <w:rPr>
            <w:noProof/>
            <w:webHidden/>
          </w:rPr>
          <w:fldChar w:fldCharType="begin"/>
        </w:r>
        <w:r w:rsidR="00301072">
          <w:rPr>
            <w:noProof/>
            <w:webHidden/>
          </w:rPr>
          <w:instrText xml:space="preserve"> PAGEREF _Toc437520276 \h </w:instrText>
        </w:r>
        <w:r w:rsidR="00301072">
          <w:rPr>
            <w:noProof/>
            <w:webHidden/>
          </w:rPr>
        </w:r>
        <w:r w:rsidR="00301072">
          <w:rPr>
            <w:noProof/>
            <w:webHidden/>
          </w:rPr>
          <w:fldChar w:fldCharType="separate"/>
        </w:r>
        <w:r w:rsidR="0003666D">
          <w:rPr>
            <w:noProof/>
            <w:webHidden/>
          </w:rPr>
          <w:t>176</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77" w:history="1">
        <w:r w:rsidR="00301072" w:rsidRPr="00106617">
          <w:rPr>
            <w:rStyle w:val="Hyperlnk"/>
          </w:rPr>
          <w:t>7.7.</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Metoder för undantag</w:t>
        </w:r>
        <w:r w:rsidR="00301072">
          <w:rPr>
            <w:noProof/>
            <w:webHidden/>
          </w:rPr>
          <w:tab/>
        </w:r>
        <w:r w:rsidR="00301072">
          <w:rPr>
            <w:noProof/>
            <w:webHidden/>
          </w:rPr>
          <w:fldChar w:fldCharType="begin"/>
        </w:r>
        <w:r w:rsidR="00301072">
          <w:rPr>
            <w:noProof/>
            <w:webHidden/>
          </w:rPr>
          <w:instrText xml:space="preserve"> PAGEREF _Toc437520277 \h </w:instrText>
        </w:r>
        <w:r w:rsidR="00301072">
          <w:rPr>
            <w:noProof/>
            <w:webHidden/>
          </w:rPr>
        </w:r>
        <w:r w:rsidR="00301072">
          <w:rPr>
            <w:noProof/>
            <w:webHidden/>
          </w:rPr>
          <w:fldChar w:fldCharType="separate"/>
        </w:r>
        <w:r w:rsidR="0003666D">
          <w:rPr>
            <w:noProof/>
            <w:webHidden/>
          </w:rPr>
          <w:t>180</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78" w:history="1">
        <w:r w:rsidR="00301072" w:rsidRPr="00106617">
          <w:rPr>
            <w:rStyle w:val="Hyperlnk"/>
          </w:rPr>
          <w:t>8.</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Rapportering på nivån för avrinningsdistrikt/delavrinningsdistrikt för grundvatten (mallen GWMET)</w:t>
        </w:r>
        <w:r w:rsidR="00301072">
          <w:rPr>
            <w:noProof/>
            <w:webHidden/>
          </w:rPr>
          <w:tab/>
        </w:r>
        <w:r w:rsidR="00301072">
          <w:rPr>
            <w:noProof/>
            <w:webHidden/>
          </w:rPr>
          <w:fldChar w:fldCharType="begin"/>
        </w:r>
        <w:r w:rsidR="00301072">
          <w:rPr>
            <w:noProof/>
            <w:webHidden/>
          </w:rPr>
          <w:instrText xml:space="preserve"> PAGEREF _Toc437520278 \h </w:instrText>
        </w:r>
        <w:r w:rsidR="00301072">
          <w:rPr>
            <w:noProof/>
            <w:webHidden/>
          </w:rPr>
        </w:r>
        <w:r w:rsidR="00301072">
          <w:rPr>
            <w:noProof/>
            <w:webHidden/>
          </w:rPr>
          <w:fldChar w:fldCharType="separate"/>
        </w:r>
        <w:r w:rsidR="0003666D">
          <w:rPr>
            <w:noProof/>
            <w:webHidden/>
          </w:rPr>
          <w:t>187</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79" w:history="1">
        <w:r w:rsidR="00301072" w:rsidRPr="00106617">
          <w:rPr>
            <w:rStyle w:val="Hyperlnk"/>
          </w:rPr>
          <w:t>8.1.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Översikt av rapportering av metoder för grundvattenförekomster</w:t>
        </w:r>
        <w:r w:rsidR="00301072">
          <w:rPr>
            <w:noProof/>
            <w:webHidden/>
          </w:rPr>
          <w:tab/>
        </w:r>
        <w:r w:rsidR="00301072">
          <w:rPr>
            <w:noProof/>
            <w:webHidden/>
          </w:rPr>
          <w:fldChar w:fldCharType="begin"/>
        </w:r>
        <w:r w:rsidR="00301072">
          <w:rPr>
            <w:noProof/>
            <w:webHidden/>
          </w:rPr>
          <w:instrText xml:space="preserve"> PAGEREF _Toc437520279 \h </w:instrText>
        </w:r>
        <w:r w:rsidR="00301072">
          <w:rPr>
            <w:noProof/>
            <w:webHidden/>
          </w:rPr>
        </w:r>
        <w:r w:rsidR="00301072">
          <w:rPr>
            <w:noProof/>
            <w:webHidden/>
          </w:rPr>
          <w:fldChar w:fldCharType="separate"/>
        </w:r>
        <w:r w:rsidR="0003666D">
          <w:rPr>
            <w:noProof/>
            <w:webHidden/>
          </w:rPr>
          <w:t>187</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80" w:history="1">
        <w:r w:rsidR="00301072" w:rsidRPr="00106617">
          <w:rPr>
            <w:rStyle w:val="Hyperlnk"/>
          </w:rPr>
          <w:t>8.2.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Metoder för karakterisering av grundvattenförekomster</w:t>
        </w:r>
        <w:r w:rsidR="00301072">
          <w:rPr>
            <w:noProof/>
            <w:webHidden/>
          </w:rPr>
          <w:tab/>
        </w:r>
        <w:r w:rsidR="00301072">
          <w:rPr>
            <w:noProof/>
            <w:webHidden/>
          </w:rPr>
          <w:fldChar w:fldCharType="begin"/>
        </w:r>
        <w:r w:rsidR="00301072">
          <w:rPr>
            <w:noProof/>
            <w:webHidden/>
          </w:rPr>
          <w:instrText xml:space="preserve"> PAGEREF _Toc437520280 \h </w:instrText>
        </w:r>
        <w:r w:rsidR="00301072">
          <w:rPr>
            <w:noProof/>
            <w:webHidden/>
          </w:rPr>
        </w:r>
        <w:r w:rsidR="00301072">
          <w:rPr>
            <w:noProof/>
            <w:webHidden/>
          </w:rPr>
          <w:fldChar w:fldCharType="separate"/>
        </w:r>
        <w:r w:rsidR="0003666D">
          <w:rPr>
            <w:noProof/>
            <w:webHidden/>
          </w:rPr>
          <w:t>188</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81" w:history="1">
        <w:r w:rsidR="00301072" w:rsidRPr="00106617">
          <w:rPr>
            <w:rStyle w:val="Hyperlnk"/>
          </w:rPr>
          <w:t>8.3.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Metoder för klassificering av kemisk status, bedömning av uppåtgående trender, omvända trender, kvantitativ status och gränsöverskridande samordning</w:t>
        </w:r>
        <w:r w:rsidR="00301072">
          <w:rPr>
            <w:noProof/>
            <w:webHidden/>
          </w:rPr>
          <w:tab/>
        </w:r>
        <w:r w:rsidR="00301072">
          <w:rPr>
            <w:noProof/>
            <w:webHidden/>
          </w:rPr>
          <w:fldChar w:fldCharType="begin"/>
        </w:r>
        <w:r w:rsidR="00301072">
          <w:rPr>
            <w:noProof/>
            <w:webHidden/>
          </w:rPr>
          <w:instrText xml:space="preserve"> PAGEREF _Toc437520281 \h </w:instrText>
        </w:r>
        <w:r w:rsidR="00301072">
          <w:rPr>
            <w:noProof/>
            <w:webHidden/>
          </w:rPr>
        </w:r>
        <w:r w:rsidR="00301072">
          <w:rPr>
            <w:noProof/>
            <w:webHidden/>
          </w:rPr>
          <w:fldChar w:fldCharType="separate"/>
        </w:r>
        <w:r w:rsidR="0003666D">
          <w:rPr>
            <w:noProof/>
            <w:webHidden/>
          </w:rPr>
          <w:t>190</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82" w:history="1">
        <w:r w:rsidR="00301072" w:rsidRPr="00106617">
          <w:rPr>
            <w:rStyle w:val="Hyperlnk"/>
          </w:rPr>
          <w:t>8.4.</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Definition av betydande påverkan och effekter</w:t>
        </w:r>
        <w:r w:rsidR="00301072">
          <w:rPr>
            <w:noProof/>
            <w:webHidden/>
          </w:rPr>
          <w:tab/>
        </w:r>
        <w:r w:rsidR="00301072">
          <w:rPr>
            <w:noProof/>
            <w:webHidden/>
          </w:rPr>
          <w:fldChar w:fldCharType="begin"/>
        </w:r>
        <w:r w:rsidR="00301072">
          <w:rPr>
            <w:noProof/>
            <w:webHidden/>
          </w:rPr>
          <w:instrText xml:space="preserve"> PAGEREF _Toc437520282 \h </w:instrText>
        </w:r>
        <w:r w:rsidR="00301072">
          <w:rPr>
            <w:noProof/>
            <w:webHidden/>
          </w:rPr>
        </w:r>
        <w:r w:rsidR="00301072">
          <w:rPr>
            <w:noProof/>
            <w:webHidden/>
          </w:rPr>
          <w:fldChar w:fldCharType="separate"/>
        </w:r>
        <w:r w:rsidR="0003666D">
          <w:rPr>
            <w:noProof/>
            <w:webHidden/>
          </w:rPr>
          <w:t>200</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83" w:history="1">
        <w:r w:rsidR="00301072" w:rsidRPr="00106617">
          <w:rPr>
            <w:rStyle w:val="Hyperlnk"/>
          </w:rPr>
          <w:t>8.5.</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Metoder för undantag</w:t>
        </w:r>
        <w:r w:rsidR="00301072">
          <w:rPr>
            <w:noProof/>
            <w:webHidden/>
          </w:rPr>
          <w:tab/>
        </w:r>
        <w:r w:rsidR="00301072">
          <w:rPr>
            <w:noProof/>
            <w:webHidden/>
          </w:rPr>
          <w:fldChar w:fldCharType="begin"/>
        </w:r>
        <w:r w:rsidR="00301072">
          <w:rPr>
            <w:noProof/>
            <w:webHidden/>
          </w:rPr>
          <w:instrText xml:space="preserve"> PAGEREF _Toc437520283 \h </w:instrText>
        </w:r>
        <w:r w:rsidR="00301072">
          <w:rPr>
            <w:noProof/>
            <w:webHidden/>
          </w:rPr>
        </w:r>
        <w:r w:rsidR="00301072">
          <w:rPr>
            <w:noProof/>
            <w:webHidden/>
          </w:rPr>
          <w:fldChar w:fldCharType="separate"/>
        </w:r>
        <w:r w:rsidR="0003666D">
          <w:rPr>
            <w:noProof/>
            <w:webHidden/>
          </w:rPr>
          <w:t>204</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84" w:history="1">
        <w:r w:rsidR="00301072" w:rsidRPr="00106617">
          <w:rPr>
            <w:rStyle w:val="Hyperlnk"/>
          </w:rPr>
          <w:t>9.</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Rapportering på nivån för avrinningsdistrikt/delavrinningsdistrikt för förvaltningsplaner (mallen RBMPPoM)</w:t>
        </w:r>
        <w:r w:rsidR="00301072">
          <w:rPr>
            <w:noProof/>
            <w:webHidden/>
          </w:rPr>
          <w:tab/>
        </w:r>
        <w:r w:rsidR="00301072">
          <w:rPr>
            <w:noProof/>
            <w:webHidden/>
          </w:rPr>
          <w:fldChar w:fldCharType="begin"/>
        </w:r>
        <w:r w:rsidR="00301072">
          <w:rPr>
            <w:noProof/>
            <w:webHidden/>
          </w:rPr>
          <w:instrText xml:space="preserve"> PAGEREF _Toc437520284 \h </w:instrText>
        </w:r>
        <w:r w:rsidR="00301072">
          <w:rPr>
            <w:noProof/>
            <w:webHidden/>
          </w:rPr>
        </w:r>
        <w:r w:rsidR="00301072">
          <w:rPr>
            <w:noProof/>
            <w:webHidden/>
          </w:rPr>
          <w:fldChar w:fldCharType="separate"/>
        </w:r>
        <w:r w:rsidR="0003666D">
          <w:rPr>
            <w:noProof/>
            <w:webHidden/>
          </w:rPr>
          <w:t>211</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85" w:history="1">
        <w:r w:rsidR="00301072" w:rsidRPr="00106617">
          <w:rPr>
            <w:rStyle w:val="Hyperlnk"/>
          </w:rPr>
          <w:t>9.1.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Översikt av rapporteringen av information om förvaltningsplanerna</w:t>
        </w:r>
        <w:r w:rsidR="00301072">
          <w:rPr>
            <w:noProof/>
            <w:webHidden/>
          </w:rPr>
          <w:tab/>
        </w:r>
        <w:r w:rsidR="00301072">
          <w:rPr>
            <w:noProof/>
            <w:webHidden/>
          </w:rPr>
          <w:fldChar w:fldCharType="begin"/>
        </w:r>
        <w:r w:rsidR="00301072">
          <w:rPr>
            <w:noProof/>
            <w:webHidden/>
          </w:rPr>
          <w:instrText xml:space="preserve"> PAGEREF _Toc437520285 \h </w:instrText>
        </w:r>
        <w:r w:rsidR="00301072">
          <w:rPr>
            <w:noProof/>
            <w:webHidden/>
          </w:rPr>
        </w:r>
        <w:r w:rsidR="00301072">
          <w:rPr>
            <w:noProof/>
            <w:webHidden/>
          </w:rPr>
          <w:fldChar w:fldCharType="separate"/>
        </w:r>
        <w:r w:rsidR="0003666D">
          <w:rPr>
            <w:noProof/>
            <w:webHidden/>
          </w:rPr>
          <w:t>211</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86" w:history="1">
        <w:r w:rsidR="00301072" w:rsidRPr="00106617">
          <w:rPr>
            <w:rStyle w:val="Hyperlnk"/>
          </w:rPr>
          <w:t>9.2.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Förvaltningsplaner: datum, innehållsförteckning, mer detaljerade program, motiveringar samt allmänhetens deltagande</w:t>
        </w:r>
        <w:r w:rsidR="00301072">
          <w:rPr>
            <w:noProof/>
            <w:webHidden/>
          </w:rPr>
          <w:tab/>
        </w:r>
        <w:r w:rsidR="00301072">
          <w:rPr>
            <w:noProof/>
            <w:webHidden/>
          </w:rPr>
          <w:fldChar w:fldCharType="begin"/>
        </w:r>
        <w:r w:rsidR="00301072">
          <w:rPr>
            <w:noProof/>
            <w:webHidden/>
          </w:rPr>
          <w:instrText xml:space="preserve"> PAGEREF _Toc437520286 \h </w:instrText>
        </w:r>
        <w:r w:rsidR="00301072">
          <w:rPr>
            <w:noProof/>
            <w:webHidden/>
          </w:rPr>
        </w:r>
        <w:r w:rsidR="00301072">
          <w:rPr>
            <w:noProof/>
            <w:webHidden/>
          </w:rPr>
          <w:fldChar w:fldCharType="separate"/>
        </w:r>
        <w:r w:rsidR="0003666D">
          <w:rPr>
            <w:noProof/>
            <w:webHidden/>
          </w:rPr>
          <w:t>211</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87" w:history="1">
        <w:r w:rsidR="00301072" w:rsidRPr="00106617">
          <w:rPr>
            <w:rStyle w:val="Hyperlnk"/>
          </w:rPr>
          <w:t>9.3.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Tillförsel av förorenande ämnen till ytvatten (och grundvatten), inklusive register över utsläpp och spill av ämnen som förtecknas i bilaga I till MKN-direktivet</w:t>
        </w:r>
        <w:r w:rsidR="00301072">
          <w:rPr>
            <w:noProof/>
            <w:webHidden/>
          </w:rPr>
          <w:tab/>
        </w:r>
        <w:r w:rsidR="00301072">
          <w:rPr>
            <w:noProof/>
            <w:webHidden/>
          </w:rPr>
          <w:fldChar w:fldCharType="begin"/>
        </w:r>
        <w:r w:rsidR="00301072">
          <w:rPr>
            <w:noProof/>
            <w:webHidden/>
          </w:rPr>
          <w:instrText xml:space="preserve"> PAGEREF _Toc437520287 \h </w:instrText>
        </w:r>
        <w:r w:rsidR="00301072">
          <w:rPr>
            <w:noProof/>
            <w:webHidden/>
          </w:rPr>
        </w:r>
        <w:r w:rsidR="00301072">
          <w:rPr>
            <w:noProof/>
            <w:webHidden/>
          </w:rPr>
          <w:fldChar w:fldCharType="separate"/>
        </w:r>
        <w:r w:rsidR="0003666D">
          <w:rPr>
            <w:noProof/>
            <w:webHidden/>
          </w:rPr>
          <w:t>221</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288" w:history="1">
        <w:r w:rsidR="00301072" w:rsidRPr="00106617">
          <w:rPr>
            <w:rStyle w:val="Hyperlnk"/>
          </w:rPr>
          <w:t>9.4.</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Vattenuttag och utnyttjande av vattenresurser</w:t>
        </w:r>
        <w:r w:rsidR="00301072">
          <w:rPr>
            <w:noProof/>
            <w:webHidden/>
          </w:rPr>
          <w:tab/>
        </w:r>
        <w:r w:rsidR="00301072">
          <w:rPr>
            <w:noProof/>
            <w:webHidden/>
          </w:rPr>
          <w:fldChar w:fldCharType="begin"/>
        </w:r>
        <w:r w:rsidR="00301072">
          <w:rPr>
            <w:noProof/>
            <w:webHidden/>
          </w:rPr>
          <w:instrText xml:space="preserve"> PAGEREF _Toc437520288 \h </w:instrText>
        </w:r>
        <w:r w:rsidR="00301072">
          <w:rPr>
            <w:noProof/>
            <w:webHidden/>
          </w:rPr>
        </w:r>
        <w:r w:rsidR="00301072">
          <w:rPr>
            <w:noProof/>
            <w:webHidden/>
          </w:rPr>
          <w:fldChar w:fldCharType="separate"/>
        </w:r>
        <w:r w:rsidR="0003666D">
          <w:rPr>
            <w:noProof/>
            <w:webHidden/>
          </w:rPr>
          <w:t>235</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89" w:history="1">
        <w:r w:rsidR="00301072" w:rsidRPr="00106617">
          <w:rPr>
            <w:rStyle w:val="Hyperlnk"/>
          </w:rPr>
          <w:t>10.</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Åtgärdsprogram som rapporteras per avrinningsdistrikt/delavrinningsdistrikt (mallen RBMPPoM)</w:t>
        </w:r>
        <w:r w:rsidR="00301072">
          <w:rPr>
            <w:noProof/>
            <w:webHidden/>
          </w:rPr>
          <w:tab/>
        </w:r>
        <w:r w:rsidR="00301072">
          <w:rPr>
            <w:noProof/>
            <w:webHidden/>
          </w:rPr>
          <w:fldChar w:fldCharType="begin"/>
        </w:r>
        <w:r w:rsidR="00301072">
          <w:rPr>
            <w:noProof/>
            <w:webHidden/>
          </w:rPr>
          <w:instrText xml:space="preserve"> PAGEREF _Toc437520289 \h </w:instrText>
        </w:r>
        <w:r w:rsidR="00301072">
          <w:rPr>
            <w:noProof/>
            <w:webHidden/>
          </w:rPr>
        </w:r>
        <w:r w:rsidR="00301072">
          <w:rPr>
            <w:noProof/>
            <w:webHidden/>
          </w:rPr>
          <w:fldChar w:fldCharType="separate"/>
        </w:r>
        <w:r w:rsidR="0003666D">
          <w:rPr>
            <w:noProof/>
            <w:webHidden/>
          </w:rPr>
          <w:t>244</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90" w:history="1">
        <w:r w:rsidR="00301072" w:rsidRPr="00106617">
          <w:rPr>
            <w:rStyle w:val="Hyperlnk"/>
          </w:rPr>
          <w:t>10.1.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Viktiga åtgärdstyper för att hantera betydande påverkan</w:t>
        </w:r>
        <w:r w:rsidR="00301072">
          <w:rPr>
            <w:noProof/>
            <w:webHidden/>
          </w:rPr>
          <w:tab/>
        </w:r>
        <w:r w:rsidR="00301072">
          <w:rPr>
            <w:noProof/>
            <w:webHidden/>
          </w:rPr>
          <w:fldChar w:fldCharType="begin"/>
        </w:r>
        <w:r w:rsidR="00301072">
          <w:rPr>
            <w:noProof/>
            <w:webHidden/>
          </w:rPr>
          <w:instrText xml:space="preserve"> PAGEREF _Toc437520290 \h </w:instrText>
        </w:r>
        <w:r w:rsidR="00301072">
          <w:rPr>
            <w:noProof/>
            <w:webHidden/>
          </w:rPr>
        </w:r>
        <w:r w:rsidR="00301072">
          <w:rPr>
            <w:noProof/>
            <w:webHidden/>
          </w:rPr>
          <w:fldChar w:fldCharType="separate"/>
        </w:r>
        <w:r w:rsidR="0003666D">
          <w:rPr>
            <w:noProof/>
            <w:webHidden/>
          </w:rPr>
          <w:t>244</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91" w:history="1">
        <w:r w:rsidR="00301072" w:rsidRPr="00106617">
          <w:rPr>
            <w:rStyle w:val="Hyperlnk"/>
          </w:rPr>
          <w:t>10.2.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Riktade frågor om grundläggande åtgärder och andra aspekter</w:t>
        </w:r>
        <w:r w:rsidR="00301072">
          <w:rPr>
            <w:noProof/>
            <w:webHidden/>
          </w:rPr>
          <w:tab/>
        </w:r>
        <w:r w:rsidR="00301072">
          <w:rPr>
            <w:noProof/>
            <w:webHidden/>
          </w:rPr>
          <w:fldChar w:fldCharType="begin"/>
        </w:r>
        <w:r w:rsidR="00301072">
          <w:rPr>
            <w:noProof/>
            <w:webHidden/>
          </w:rPr>
          <w:instrText xml:space="preserve"> PAGEREF _Toc437520291 \h </w:instrText>
        </w:r>
        <w:r w:rsidR="00301072">
          <w:rPr>
            <w:noProof/>
            <w:webHidden/>
          </w:rPr>
        </w:r>
        <w:r w:rsidR="00301072">
          <w:rPr>
            <w:noProof/>
            <w:webHidden/>
          </w:rPr>
          <w:fldChar w:fldCharType="separate"/>
        </w:r>
        <w:r w:rsidR="0003666D">
          <w:rPr>
            <w:noProof/>
            <w:webHidden/>
          </w:rPr>
          <w:t>270</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92" w:history="1">
        <w:r w:rsidR="00301072" w:rsidRPr="00106617">
          <w:rPr>
            <w:rStyle w:val="Hyperlnk"/>
          </w:rPr>
          <w:t>10.3.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Uppskattningar av åtgärdernas kostnader</w:t>
        </w:r>
        <w:r w:rsidR="00301072">
          <w:rPr>
            <w:noProof/>
            <w:webHidden/>
          </w:rPr>
          <w:tab/>
        </w:r>
        <w:r w:rsidR="00301072">
          <w:rPr>
            <w:noProof/>
            <w:webHidden/>
          </w:rPr>
          <w:fldChar w:fldCharType="begin"/>
        </w:r>
        <w:r w:rsidR="00301072">
          <w:rPr>
            <w:noProof/>
            <w:webHidden/>
          </w:rPr>
          <w:instrText xml:space="preserve"> PAGEREF _Toc437520292 \h </w:instrText>
        </w:r>
        <w:r w:rsidR="00301072">
          <w:rPr>
            <w:noProof/>
            <w:webHidden/>
          </w:rPr>
        </w:r>
        <w:r w:rsidR="00301072">
          <w:rPr>
            <w:noProof/>
            <w:webHidden/>
          </w:rPr>
          <w:fldChar w:fldCharType="separate"/>
        </w:r>
        <w:r w:rsidR="0003666D">
          <w:rPr>
            <w:noProof/>
            <w:webHidden/>
          </w:rPr>
          <w:t>283</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93" w:history="1">
        <w:r w:rsidR="00301072" w:rsidRPr="00106617">
          <w:rPr>
            <w:rStyle w:val="Hyperlnk"/>
          </w:rPr>
          <w:t>10.4.</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Samordning av åtgärder i internationella avrinningsdistrikt</w:t>
        </w:r>
        <w:r w:rsidR="00301072">
          <w:rPr>
            <w:noProof/>
            <w:webHidden/>
          </w:rPr>
          <w:tab/>
        </w:r>
        <w:r w:rsidR="00301072">
          <w:rPr>
            <w:noProof/>
            <w:webHidden/>
          </w:rPr>
          <w:fldChar w:fldCharType="begin"/>
        </w:r>
        <w:r w:rsidR="00301072">
          <w:rPr>
            <w:noProof/>
            <w:webHidden/>
          </w:rPr>
          <w:instrText xml:space="preserve"> PAGEREF _Toc437520293 \h </w:instrText>
        </w:r>
        <w:r w:rsidR="00301072">
          <w:rPr>
            <w:noProof/>
            <w:webHidden/>
          </w:rPr>
        </w:r>
        <w:r w:rsidR="00301072">
          <w:rPr>
            <w:noProof/>
            <w:webHidden/>
          </w:rPr>
          <w:fldChar w:fldCharType="separate"/>
        </w:r>
        <w:r w:rsidR="0003666D">
          <w:rPr>
            <w:noProof/>
            <w:webHidden/>
          </w:rPr>
          <w:t>288</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94" w:history="1">
        <w:r w:rsidR="00301072" w:rsidRPr="00106617">
          <w:rPr>
            <w:rStyle w:val="Hyperlnk"/>
          </w:rPr>
          <w:t>10.5.</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Framsteg med och resultat av åtgärdsprogrammet för den första planeringscykeln</w:t>
        </w:r>
        <w:r w:rsidR="00301072">
          <w:rPr>
            <w:noProof/>
            <w:webHidden/>
          </w:rPr>
          <w:tab/>
        </w:r>
        <w:r w:rsidR="00301072">
          <w:rPr>
            <w:noProof/>
            <w:webHidden/>
          </w:rPr>
          <w:fldChar w:fldCharType="begin"/>
        </w:r>
        <w:r w:rsidR="00301072">
          <w:rPr>
            <w:noProof/>
            <w:webHidden/>
          </w:rPr>
          <w:instrText xml:space="preserve"> PAGEREF _Toc437520294 \h </w:instrText>
        </w:r>
        <w:r w:rsidR="00301072">
          <w:rPr>
            <w:noProof/>
            <w:webHidden/>
          </w:rPr>
        </w:r>
        <w:r w:rsidR="00301072">
          <w:rPr>
            <w:noProof/>
            <w:webHidden/>
          </w:rPr>
          <w:fldChar w:fldCharType="separate"/>
        </w:r>
        <w:r w:rsidR="0003666D">
          <w:rPr>
            <w:noProof/>
            <w:webHidden/>
          </w:rPr>
          <w:t>293</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95" w:history="1">
        <w:r w:rsidR="00301072" w:rsidRPr="00106617">
          <w:rPr>
            <w:rStyle w:val="Hyperlnk"/>
          </w:rPr>
          <w:t>11.</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Rapportering på nivån för avrinningsdistrikt/delavrinningsdistrikt för ekonomisk analys och kostnadstäckning (mallen RBMPPoM)</w:t>
        </w:r>
        <w:r w:rsidR="00301072">
          <w:rPr>
            <w:noProof/>
            <w:webHidden/>
          </w:rPr>
          <w:tab/>
        </w:r>
        <w:r w:rsidR="00301072">
          <w:rPr>
            <w:noProof/>
            <w:webHidden/>
          </w:rPr>
          <w:fldChar w:fldCharType="begin"/>
        </w:r>
        <w:r w:rsidR="00301072">
          <w:rPr>
            <w:noProof/>
            <w:webHidden/>
          </w:rPr>
          <w:instrText xml:space="preserve"> PAGEREF _Toc437520295 \h </w:instrText>
        </w:r>
        <w:r w:rsidR="00301072">
          <w:rPr>
            <w:noProof/>
            <w:webHidden/>
          </w:rPr>
        </w:r>
        <w:r w:rsidR="00301072">
          <w:rPr>
            <w:noProof/>
            <w:webHidden/>
          </w:rPr>
          <w:fldChar w:fldCharType="separate"/>
        </w:r>
        <w:r w:rsidR="0003666D">
          <w:rPr>
            <w:noProof/>
            <w:webHidden/>
          </w:rPr>
          <w:t>300</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96" w:history="1">
        <w:r w:rsidR="00301072" w:rsidRPr="00106617">
          <w:rPr>
            <w:rStyle w:val="Hyperlnk"/>
          </w:rPr>
          <w:t>11.1.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Inledning</w:t>
        </w:r>
        <w:r w:rsidR="00301072">
          <w:rPr>
            <w:noProof/>
            <w:webHidden/>
          </w:rPr>
          <w:tab/>
        </w:r>
        <w:r w:rsidR="00301072">
          <w:rPr>
            <w:noProof/>
            <w:webHidden/>
          </w:rPr>
          <w:fldChar w:fldCharType="begin"/>
        </w:r>
        <w:r w:rsidR="00301072">
          <w:rPr>
            <w:noProof/>
            <w:webHidden/>
          </w:rPr>
          <w:instrText xml:space="preserve"> PAGEREF _Toc437520296 \h </w:instrText>
        </w:r>
        <w:r w:rsidR="00301072">
          <w:rPr>
            <w:noProof/>
            <w:webHidden/>
          </w:rPr>
        </w:r>
        <w:r w:rsidR="00301072">
          <w:rPr>
            <w:noProof/>
            <w:webHidden/>
          </w:rPr>
          <w:fldChar w:fldCharType="separate"/>
        </w:r>
        <w:r w:rsidR="0003666D">
          <w:rPr>
            <w:noProof/>
            <w:webHidden/>
          </w:rPr>
          <w:t>300</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97" w:history="1">
        <w:r w:rsidR="00301072" w:rsidRPr="00106617">
          <w:rPr>
            <w:rStyle w:val="Hyperlnk"/>
          </w:rPr>
          <w:t>11.2.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Innehåll i rapporteringen 2016</w:t>
        </w:r>
        <w:r w:rsidR="00301072">
          <w:rPr>
            <w:noProof/>
            <w:webHidden/>
          </w:rPr>
          <w:tab/>
        </w:r>
        <w:r w:rsidR="00301072">
          <w:rPr>
            <w:noProof/>
            <w:webHidden/>
          </w:rPr>
          <w:fldChar w:fldCharType="begin"/>
        </w:r>
        <w:r w:rsidR="00301072">
          <w:rPr>
            <w:noProof/>
            <w:webHidden/>
          </w:rPr>
          <w:instrText xml:space="preserve"> PAGEREF _Toc437520297 \h </w:instrText>
        </w:r>
        <w:r w:rsidR="00301072">
          <w:rPr>
            <w:noProof/>
            <w:webHidden/>
          </w:rPr>
        </w:r>
        <w:r w:rsidR="00301072">
          <w:rPr>
            <w:noProof/>
            <w:webHidden/>
          </w:rPr>
          <w:fldChar w:fldCharType="separate"/>
        </w:r>
        <w:r w:rsidR="0003666D">
          <w:rPr>
            <w:noProof/>
            <w:webHidden/>
          </w:rPr>
          <w:t>302</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298" w:history="1">
        <w:r w:rsidR="00301072" w:rsidRPr="00106617">
          <w:rPr>
            <w:rStyle w:val="Hyperlnk"/>
          </w:rPr>
          <w:t>12.</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Framtida utveckling av rapporteringen</w:t>
        </w:r>
        <w:r w:rsidR="00301072">
          <w:rPr>
            <w:noProof/>
            <w:webHidden/>
          </w:rPr>
          <w:tab/>
        </w:r>
        <w:r w:rsidR="00301072">
          <w:rPr>
            <w:noProof/>
            <w:webHidden/>
          </w:rPr>
          <w:fldChar w:fldCharType="begin"/>
        </w:r>
        <w:r w:rsidR="00301072">
          <w:rPr>
            <w:noProof/>
            <w:webHidden/>
          </w:rPr>
          <w:instrText xml:space="preserve"> PAGEREF _Toc437520298 \h </w:instrText>
        </w:r>
        <w:r w:rsidR="00301072">
          <w:rPr>
            <w:noProof/>
            <w:webHidden/>
          </w:rPr>
        </w:r>
        <w:r w:rsidR="00301072">
          <w:rPr>
            <w:noProof/>
            <w:webHidden/>
          </w:rPr>
          <w:fldChar w:fldCharType="separate"/>
        </w:r>
        <w:r w:rsidR="0003666D">
          <w:rPr>
            <w:noProof/>
            <w:webHidden/>
          </w:rPr>
          <w:t>311</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299" w:history="1">
        <w:r w:rsidR="00301072" w:rsidRPr="00106617">
          <w:rPr>
            <w:rStyle w:val="Hyperlnk"/>
          </w:rPr>
          <w:t>12.1.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Mål för den tredje planeringscykeln</w:t>
        </w:r>
        <w:r w:rsidR="00301072">
          <w:rPr>
            <w:noProof/>
            <w:webHidden/>
          </w:rPr>
          <w:tab/>
        </w:r>
        <w:r w:rsidR="00301072">
          <w:rPr>
            <w:noProof/>
            <w:webHidden/>
          </w:rPr>
          <w:fldChar w:fldCharType="begin"/>
        </w:r>
        <w:r w:rsidR="00301072">
          <w:rPr>
            <w:noProof/>
            <w:webHidden/>
          </w:rPr>
          <w:instrText xml:space="preserve"> PAGEREF _Toc437520299 \h </w:instrText>
        </w:r>
        <w:r w:rsidR="00301072">
          <w:rPr>
            <w:noProof/>
            <w:webHidden/>
          </w:rPr>
        </w:r>
        <w:r w:rsidR="00301072">
          <w:rPr>
            <w:noProof/>
            <w:webHidden/>
          </w:rPr>
          <w:fldChar w:fldCharType="separate"/>
        </w:r>
        <w:r w:rsidR="0003666D">
          <w:rPr>
            <w:noProof/>
            <w:webHidden/>
          </w:rPr>
          <w:t>311</w:t>
        </w:r>
        <w:r w:rsidR="00301072">
          <w:rPr>
            <w:noProof/>
            <w:webHidden/>
          </w:rPr>
          <w:fldChar w:fldCharType="end"/>
        </w:r>
      </w:hyperlink>
    </w:p>
    <w:p w:rsidR="00301072" w:rsidRDefault="00FA0245">
      <w:pPr>
        <w:pStyle w:val="Innehll2"/>
        <w:tabs>
          <w:tab w:val="left" w:pos="1916"/>
        </w:tabs>
        <w:rPr>
          <w:rFonts w:asciiTheme="minorHAnsi" w:eastAsiaTheme="minorEastAsia" w:hAnsiTheme="minorHAnsi" w:cstheme="minorBidi"/>
          <w:noProof/>
          <w:sz w:val="22"/>
          <w:szCs w:val="22"/>
          <w:lang w:val="en-US" w:eastAsia="zh-CN" w:bidi="ar-SA"/>
        </w:rPr>
      </w:pPr>
      <w:hyperlink w:anchor="_Toc437520300" w:history="1">
        <w:r w:rsidR="00301072" w:rsidRPr="00106617">
          <w:rPr>
            <w:rStyle w:val="Hyperlnk"/>
          </w:rPr>
          <w:t>12.2.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Klassificering och utveckling av tillhandahållandet av datauppsättningar enligt Inspire</w:t>
        </w:r>
        <w:r w:rsidR="00301072">
          <w:rPr>
            <w:noProof/>
            <w:webHidden/>
          </w:rPr>
          <w:tab/>
        </w:r>
        <w:r w:rsidR="00301072">
          <w:rPr>
            <w:noProof/>
            <w:webHidden/>
          </w:rPr>
          <w:fldChar w:fldCharType="begin"/>
        </w:r>
        <w:r w:rsidR="00301072">
          <w:rPr>
            <w:noProof/>
            <w:webHidden/>
          </w:rPr>
          <w:instrText xml:space="preserve"> PAGEREF _Toc437520300 \h </w:instrText>
        </w:r>
        <w:r w:rsidR="00301072">
          <w:rPr>
            <w:noProof/>
            <w:webHidden/>
          </w:rPr>
        </w:r>
        <w:r w:rsidR="00301072">
          <w:rPr>
            <w:noProof/>
            <w:webHidden/>
          </w:rPr>
          <w:fldChar w:fldCharType="separate"/>
        </w:r>
        <w:r w:rsidR="0003666D">
          <w:rPr>
            <w:noProof/>
            <w:webHidden/>
          </w:rPr>
          <w:t>317</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01" w:history="1">
        <w:r w:rsidR="00301072" w:rsidRPr="00106617">
          <w:rPr>
            <w:rStyle w:val="Hyperlnk"/>
            <w:b/>
          </w:rPr>
          <w:t>Annex 0:</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rPr>
          <w:t>Template for the ‘Read me first’ explanatory note accompanying the 2016 Water Framework Directive reporting</w:t>
        </w:r>
        <w:r w:rsidR="00301072">
          <w:rPr>
            <w:noProof/>
            <w:webHidden/>
          </w:rPr>
          <w:tab/>
        </w:r>
        <w:r w:rsidR="00301072">
          <w:rPr>
            <w:noProof/>
            <w:webHidden/>
          </w:rPr>
          <w:fldChar w:fldCharType="begin"/>
        </w:r>
        <w:r w:rsidR="00301072">
          <w:rPr>
            <w:noProof/>
            <w:webHidden/>
          </w:rPr>
          <w:instrText xml:space="preserve"> PAGEREF _Toc437520301 \h </w:instrText>
        </w:r>
        <w:r w:rsidR="00301072">
          <w:rPr>
            <w:noProof/>
            <w:webHidden/>
          </w:rPr>
        </w:r>
        <w:r w:rsidR="00301072">
          <w:rPr>
            <w:noProof/>
            <w:webHidden/>
          </w:rPr>
          <w:fldChar w:fldCharType="separate"/>
        </w:r>
        <w:r w:rsidR="0003666D">
          <w:rPr>
            <w:noProof/>
            <w:webHidden/>
          </w:rPr>
          <w:t>320</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02" w:history="1">
        <w:r w:rsidR="00301072" w:rsidRPr="00106617">
          <w:rPr>
            <w:rStyle w:val="Hyperlnk"/>
            <w:b/>
            <w:lang w:val="en-GB"/>
          </w:rPr>
          <w:t>Annex 1:</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Pressure Types, Impact Types and Drivers</w:t>
        </w:r>
        <w:r w:rsidR="00301072">
          <w:rPr>
            <w:noProof/>
            <w:webHidden/>
          </w:rPr>
          <w:tab/>
        </w:r>
        <w:r w:rsidR="00301072">
          <w:rPr>
            <w:noProof/>
            <w:webHidden/>
          </w:rPr>
          <w:fldChar w:fldCharType="begin"/>
        </w:r>
        <w:r w:rsidR="00301072">
          <w:rPr>
            <w:noProof/>
            <w:webHidden/>
          </w:rPr>
          <w:instrText xml:space="preserve"> PAGEREF _Toc437520302 \h </w:instrText>
        </w:r>
        <w:r w:rsidR="00301072">
          <w:rPr>
            <w:noProof/>
            <w:webHidden/>
          </w:rPr>
        </w:r>
        <w:r w:rsidR="00301072">
          <w:rPr>
            <w:noProof/>
            <w:webHidden/>
          </w:rPr>
          <w:fldChar w:fldCharType="separate"/>
        </w:r>
        <w:r w:rsidR="0003666D">
          <w:rPr>
            <w:noProof/>
            <w:webHidden/>
          </w:rPr>
          <w:t>321</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03" w:history="1">
        <w:r w:rsidR="00301072" w:rsidRPr="00106617">
          <w:rPr>
            <w:rStyle w:val="Hyperlnk"/>
            <w:b/>
            <w:lang w:val="en-GB"/>
          </w:rPr>
          <w:t>Annex 1a:</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Pressure Types</w:t>
        </w:r>
        <w:r w:rsidR="00301072" w:rsidRPr="00106617">
          <w:rPr>
            <w:rStyle w:val="Hyperlnk"/>
            <w:lang w:val="en-GB"/>
          </w:rPr>
          <w:t xml:space="preserve"> (</w:t>
        </w:r>
        <w:r w:rsidR="00301072" w:rsidRPr="00106617">
          <w:rPr>
            <w:rStyle w:val="Hyperlnk"/>
            <w:b/>
            <w:lang w:val="en-GB"/>
          </w:rPr>
          <w:t>SignificantPressureType_Enum)</w:t>
        </w:r>
        <w:r w:rsidR="00301072">
          <w:rPr>
            <w:noProof/>
            <w:webHidden/>
          </w:rPr>
          <w:tab/>
        </w:r>
        <w:r w:rsidR="00301072">
          <w:rPr>
            <w:noProof/>
            <w:webHidden/>
          </w:rPr>
          <w:fldChar w:fldCharType="begin"/>
        </w:r>
        <w:r w:rsidR="00301072">
          <w:rPr>
            <w:noProof/>
            <w:webHidden/>
          </w:rPr>
          <w:instrText xml:space="preserve"> PAGEREF _Toc437520303 \h </w:instrText>
        </w:r>
        <w:r w:rsidR="00301072">
          <w:rPr>
            <w:noProof/>
            <w:webHidden/>
          </w:rPr>
        </w:r>
        <w:r w:rsidR="00301072">
          <w:rPr>
            <w:noProof/>
            <w:webHidden/>
          </w:rPr>
          <w:fldChar w:fldCharType="separate"/>
        </w:r>
        <w:r w:rsidR="0003666D">
          <w:rPr>
            <w:noProof/>
            <w:webHidden/>
          </w:rPr>
          <w:t>321</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04" w:history="1">
        <w:r w:rsidR="00301072" w:rsidRPr="00106617">
          <w:rPr>
            <w:rStyle w:val="Hyperlnk"/>
            <w:b/>
            <w:lang w:val="en-GB"/>
          </w:rPr>
          <w:t>Annex 1b:</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Impact Types (SignificantImpactType_Enum)</w:t>
        </w:r>
        <w:r w:rsidR="00301072">
          <w:rPr>
            <w:noProof/>
            <w:webHidden/>
          </w:rPr>
          <w:tab/>
        </w:r>
        <w:r w:rsidR="00301072">
          <w:rPr>
            <w:noProof/>
            <w:webHidden/>
          </w:rPr>
          <w:fldChar w:fldCharType="begin"/>
        </w:r>
        <w:r w:rsidR="00301072">
          <w:rPr>
            <w:noProof/>
            <w:webHidden/>
          </w:rPr>
          <w:instrText xml:space="preserve"> PAGEREF _Toc437520304 \h </w:instrText>
        </w:r>
        <w:r w:rsidR="00301072">
          <w:rPr>
            <w:noProof/>
            <w:webHidden/>
          </w:rPr>
        </w:r>
        <w:r w:rsidR="00301072">
          <w:rPr>
            <w:noProof/>
            <w:webHidden/>
          </w:rPr>
          <w:fldChar w:fldCharType="separate"/>
        </w:r>
        <w:r w:rsidR="0003666D">
          <w:rPr>
            <w:noProof/>
            <w:webHidden/>
          </w:rPr>
          <w:t>324</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05" w:history="1">
        <w:r w:rsidR="00301072" w:rsidRPr="00106617">
          <w:rPr>
            <w:rStyle w:val="Hyperlnk"/>
            <w:b/>
          </w:rPr>
          <w:t>Annex 1c:</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rPr>
          <w:t>List of Drivers (Driver_Enum)</w:t>
        </w:r>
        <w:r w:rsidR="00301072">
          <w:rPr>
            <w:noProof/>
            <w:webHidden/>
          </w:rPr>
          <w:tab/>
        </w:r>
        <w:r w:rsidR="00301072">
          <w:rPr>
            <w:noProof/>
            <w:webHidden/>
          </w:rPr>
          <w:fldChar w:fldCharType="begin"/>
        </w:r>
        <w:r w:rsidR="00301072">
          <w:rPr>
            <w:noProof/>
            <w:webHidden/>
          </w:rPr>
          <w:instrText xml:space="preserve"> PAGEREF _Toc437520305 \h </w:instrText>
        </w:r>
        <w:r w:rsidR="00301072">
          <w:rPr>
            <w:noProof/>
            <w:webHidden/>
          </w:rPr>
        </w:r>
        <w:r w:rsidR="00301072">
          <w:rPr>
            <w:noProof/>
            <w:webHidden/>
          </w:rPr>
          <w:fldChar w:fldCharType="separate"/>
        </w:r>
        <w:r w:rsidR="0003666D">
          <w:rPr>
            <w:noProof/>
            <w:webHidden/>
          </w:rPr>
          <w:t>326</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306" w:history="1">
        <w:r w:rsidR="00301072" w:rsidRPr="00106617">
          <w:rPr>
            <w:rStyle w:val="Hyperlnk"/>
            <w:b/>
            <w:lang w:val="en-GB"/>
          </w:rPr>
          <w:t>Annex 2: Table of Abstraction Pressures in the Context of Water Availability</w:t>
        </w:r>
        <w:r w:rsidR="00301072">
          <w:rPr>
            <w:noProof/>
            <w:webHidden/>
          </w:rPr>
          <w:tab/>
        </w:r>
        <w:r w:rsidR="00301072">
          <w:rPr>
            <w:noProof/>
            <w:webHidden/>
          </w:rPr>
          <w:fldChar w:fldCharType="begin"/>
        </w:r>
        <w:r w:rsidR="00301072">
          <w:rPr>
            <w:noProof/>
            <w:webHidden/>
          </w:rPr>
          <w:instrText xml:space="preserve"> PAGEREF _Toc437520306 \h </w:instrText>
        </w:r>
        <w:r w:rsidR="00301072">
          <w:rPr>
            <w:noProof/>
            <w:webHidden/>
          </w:rPr>
        </w:r>
        <w:r w:rsidR="00301072">
          <w:rPr>
            <w:noProof/>
            <w:webHidden/>
          </w:rPr>
          <w:fldChar w:fldCharType="separate"/>
        </w:r>
        <w:r w:rsidR="0003666D">
          <w:rPr>
            <w:noProof/>
            <w:webHidden/>
          </w:rPr>
          <w:t>327</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07" w:history="1">
        <w:r w:rsidR="00301072" w:rsidRPr="00106617">
          <w:rPr>
            <w:rStyle w:val="Hyperlnk"/>
            <w:b/>
            <w:lang w:val="en-GB"/>
          </w:rPr>
          <w:t>Annex 3:</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Significant pressures mapped to indicators, KTMs and KTM indicators</w:t>
        </w:r>
        <w:r w:rsidR="00301072">
          <w:rPr>
            <w:noProof/>
            <w:webHidden/>
          </w:rPr>
          <w:tab/>
        </w:r>
        <w:r w:rsidR="00301072">
          <w:rPr>
            <w:noProof/>
            <w:webHidden/>
          </w:rPr>
          <w:fldChar w:fldCharType="begin"/>
        </w:r>
        <w:r w:rsidR="00301072">
          <w:rPr>
            <w:noProof/>
            <w:webHidden/>
          </w:rPr>
          <w:instrText xml:space="preserve"> PAGEREF _Toc437520307 \h </w:instrText>
        </w:r>
        <w:r w:rsidR="00301072">
          <w:rPr>
            <w:noProof/>
            <w:webHidden/>
          </w:rPr>
        </w:r>
        <w:r w:rsidR="00301072">
          <w:rPr>
            <w:noProof/>
            <w:webHidden/>
          </w:rPr>
          <w:fldChar w:fldCharType="separate"/>
        </w:r>
        <w:r w:rsidR="0003666D">
          <w:rPr>
            <w:noProof/>
            <w:webHidden/>
          </w:rPr>
          <w:t>328</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08" w:history="1">
        <w:r w:rsidR="00301072" w:rsidRPr="00106617">
          <w:rPr>
            <w:rStyle w:val="Hyperlnk"/>
            <w:b/>
            <w:lang w:val="en-GB"/>
          </w:rPr>
          <w:t>Annex 4:</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Groundwater bodies and horizon assignment</w:t>
        </w:r>
        <w:r w:rsidR="00301072">
          <w:rPr>
            <w:noProof/>
            <w:webHidden/>
          </w:rPr>
          <w:tab/>
        </w:r>
        <w:r w:rsidR="00301072">
          <w:rPr>
            <w:noProof/>
            <w:webHidden/>
          </w:rPr>
          <w:fldChar w:fldCharType="begin"/>
        </w:r>
        <w:r w:rsidR="00301072">
          <w:rPr>
            <w:noProof/>
            <w:webHidden/>
          </w:rPr>
          <w:instrText xml:space="preserve"> PAGEREF _Toc437520308 \h </w:instrText>
        </w:r>
        <w:r w:rsidR="00301072">
          <w:rPr>
            <w:noProof/>
            <w:webHidden/>
          </w:rPr>
        </w:r>
        <w:r w:rsidR="00301072">
          <w:rPr>
            <w:noProof/>
            <w:webHidden/>
          </w:rPr>
          <w:fldChar w:fldCharType="separate"/>
        </w:r>
        <w:r w:rsidR="0003666D">
          <w:rPr>
            <w:noProof/>
            <w:webHidden/>
          </w:rPr>
          <w:t>360</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309" w:history="1">
        <w:r w:rsidR="00301072" w:rsidRPr="00106617">
          <w:rPr>
            <w:rStyle w:val="Hyperlnk"/>
          </w:rPr>
          <w:t>1.</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Background</w:t>
        </w:r>
        <w:r w:rsidR="00301072">
          <w:rPr>
            <w:noProof/>
            <w:webHidden/>
          </w:rPr>
          <w:tab/>
        </w:r>
        <w:r w:rsidR="00301072">
          <w:rPr>
            <w:noProof/>
            <w:webHidden/>
          </w:rPr>
          <w:fldChar w:fldCharType="begin"/>
        </w:r>
        <w:r w:rsidR="00301072">
          <w:rPr>
            <w:noProof/>
            <w:webHidden/>
          </w:rPr>
          <w:instrText xml:space="preserve"> PAGEREF _Toc437520309 \h </w:instrText>
        </w:r>
        <w:r w:rsidR="00301072">
          <w:rPr>
            <w:noProof/>
            <w:webHidden/>
          </w:rPr>
        </w:r>
        <w:r w:rsidR="00301072">
          <w:rPr>
            <w:noProof/>
            <w:webHidden/>
          </w:rPr>
          <w:fldChar w:fldCharType="separate"/>
        </w:r>
        <w:r w:rsidR="0003666D">
          <w:rPr>
            <w:noProof/>
            <w:webHidden/>
          </w:rPr>
          <w:t>360</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10" w:history="1">
        <w:r w:rsidR="00301072" w:rsidRPr="00106617">
          <w:rPr>
            <w:rStyle w:val="Hyperlnk"/>
          </w:rPr>
          <w:t>1.1.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Water Framework Directive (WFD)</w:t>
        </w:r>
        <w:r w:rsidR="00301072">
          <w:rPr>
            <w:noProof/>
            <w:webHidden/>
          </w:rPr>
          <w:tab/>
        </w:r>
        <w:r w:rsidR="00301072">
          <w:rPr>
            <w:noProof/>
            <w:webHidden/>
          </w:rPr>
          <w:fldChar w:fldCharType="begin"/>
        </w:r>
        <w:r w:rsidR="00301072">
          <w:rPr>
            <w:noProof/>
            <w:webHidden/>
          </w:rPr>
          <w:instrText xml:space="preserve"> PAGEREF _Toc437520310 \h </w:instrText>
        </w:r>
        <w:r w:rsidR="00301072">
          <w:rPr>
            <w:noProof/>
            <w:webHidden/>
          </w:rPr>
        </w:r>
        <w:r w:rsidR="00301072">
          <w:rPr>
            <w:noProof/>
            <w:webHidden/>
          </w:rPr>
          <w:fldChar w:fldCharType="separate"/>
        </w:r>
        <w:r w:rsidR="0003666D">
          <w:rPr>
            <w:noProof/>
            <w:webHidden/>
          </w:rPr>
          <w:t>360</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11" w:history="1">
        <w:r w:rsidR="00301072" w:rsidRPr="00106617">
          <w:rPr>
            <w:rStyle w:val="Hyperlnk"/>
          </w:rPr>
          <w:t>1.2.</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GWB delineation – horizontal dimension</w:t>
        </w:r>
        <w:r w:rsidR="00301072">
          <w:rPr>
            <w:noProof/>
            <w:webHidden/>
          </w:rPr>
          <w:tab/>
        </w:r>
        <w:r w:rsidR="00301072">
          <w:rPr>
            <w:noProof/>
            <w:webHidden/>
          </w:rPr>
          <w:fldChar w:fldCharType="begin"/>
        </w:r>
        <w:r w:rsidR="00301072">
          <w:rPr>
            <w:noProof/>
            <w:webHidden/>
          </w:rPr>
          <w:instrText xml:space="preserve"> PAGEREF _Toc437520311 \h </w:instrText>
        </w:r>
        <w:r w:rsidR="00301072">
          <w:rPr>
            <w:noProof/>
            <w:webHidden/>
          </w:rPr>
        </w:r>
        <w:r w:rsidR="00301072">
          <w:rPr>
            <w:noProof/>
            <w:webHidden/>
          </w:rPr>
          <w:fldChar w:fldCharType="separate"/>
        </w:r>
        <w:r w:rsidR="0003666D">
          <w:rPr>
            <w:noProof/>
            <w:webHidden/>
          </w:rPr>
          <w:t>360</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12" w:history="1">
        <w:r w:rsidR="00301072" w:rsidRPr="00106617">
          <w:rPr>
            <w:rStyle w:val="Hyperlnk"/>
          </w:rPr>
          <w:t>1.3.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GWB delineation – vertical dimension</w:t>
        </w:r>
        <w:r w:rsidR="00301072">
          <w:rPr>
            <w:noProof/>
            <w:webHidden/>
          </w:rPr>
          <w:tab/>
        </w:r>
        <w:r w:rsidR="00301072">
          <w:rPr>
            <w:noProof/>
            <w:webHidden/>
          </w:rPr>
          <w:fldChar w:fldCharType="begin"/>
        </w:r>
        <w:r w:rsidR="00301072">
          <w:rPr>
            <w:noProof/>
            <w:webHidden/>
          </w:rPr>
          <w:instrText xml:space="preserve"> PAGEREF _Toc437520312 \h </w:instrText>
        </w:r>
        <w:r w:rsidR="00301072">
          <w:rPr>
            <w:noProof/>
            <w:webHidden/>
          </w:rPr>
        </w:r>
        <w:r w:rsidR="00301072">
          <w:rPr>
            <w:noProof/>
            <w:webHidden/>
          </w:rPr>
          <w:fldChar w:fldCharType="separate"/>
        </w:r>
        <w:r w:rsidR="0003666D">
          <w:rPr>
            <w:noProof/>
            <w:webHidden/>
          </w:rPr>
          <w:t>361</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13" w:history="1">
        <w:r w:rsidR="00301072" w:rsidRPr="00106617">
          <w:rPr>
            <w:rStyle w:val="Hyperlnk"/>
          </w:rPr>
          <w:t>1.4.</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Horizon assignment</w:t>
        </w:r>
        <w:r w:rsidR="00301072">
          <w:rPr>
            <w:noProof/>
            <w:webHidden/>
          </w:rPr>
          <w:tab/>
        </w:r>
        <w:r w:rsidR="00301072">
          <w:rPr>
            <w:noProof/>
            <w:webHidden/>
          </w:rPr>
          <w:fldChar w:fldCharType="begin"/>
        </w:r>
        <w:r w:rsidR="00301072">
          <w:rPr>
            <w:noProof/>
            <w:webHidden/>
          </w:rPr>
          <w:instrText xml:space="preserve"> PAGEREF _Toc437520313 \h </w:instrText>
        </w:r>
        <w:r w:rsidR="00301072">
          <w:rPr>
            <w:noProof/>
            <w:webHidden/>
          </w:rPr>
        </w:r>
        <w:r w:rsidR="00301072">
          <w:rPr>
            <w:noProof/>
            <w:webHidden/>
          </w:rPr>
          <w:fldChar w:fldCharType="separate"/>
        </w:r>
        <w:r w:rsidR="0003666D">
          <w:rPr>
            <w:noProof/>
            <w:webHidden/>
          </w:rPr>
          <w:t>362</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314" w:history="1">
        <w:r w:rsidR="00301072" w:rsidRPr="00106617">
          <w:rPr>
            <w:rStyle w:val="Hyperlnk"/>
            <w:lang w:val="en-GB"/>
          </w:rPr>
          <w:t>2.</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lang w:val="en-GB"/>
          </w:rPr>
          <w:t>Recommendations for horizon assignment – to enable homogeneous mapping at a pan-European scale</w:t>
        </w:r>
        <w:r w:rsidR="00301072">
          <w:rPr>
            <w:noProof/>
            <w:webHidden/>
          </w:rPr>
          <w:tab/>
        </w:r>
        <w:r w:rsidR="00301072">
          <w:rPr>
            <w:noProof/>
            <w:webHidden/>
          </w:rPr>
          <w:fldChar w:fldCharType="begin"/>
        </w:r>
        <w:r w:rsidR="00301072">
          <w:rPr>
            <w:noProof/>
            <w:webHidden/>
          </w:rPr>
          <w:instrText xml:space="preserve"> PAGEREF _Toc437520314 \h </w:instrText>
        </w:r>
        <w:r w:rsidR="00301072">
          <w:rPr>
            <w:noProof/>
            <w:webHidden/>
          </w:rPr>
        </w:r>
        <w:r w:rsidR="00301072">
          <w:rPr>
            <w:noProof/>
            <w:webHidden/>
          </w:rPr>
          <w:fldChar w:fldCharType="separate"/>
        </w:r>
        <w:r w:rsidR="0003666D">
          <w:rPr>
            <w:noProof/>
            <w:webHidden/>
          </w:rPr>
          <w:t>363</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15" w:history="1">
        <w:r w:rsidR="00301072" w:rsidRPr="00106617">
          <w:rPr>
            <w:rStyle w:val="Hyperlnk"/>
          </w:rPr>
          <w:t>2.1.</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Amended proposal for horizon assignment</w:t>
        </w:r>
        <w:r w:rsidR="00301072">
          <w:rPr>
            <w:noProof/>
            <w:webHidden/>
          </w:rPr>
          <w:tab/>
        </w:r>
        <w:r w:rsidR="00301072">
          <w:rPr>
            <w:noProof/>
            <w:webHidden/>
          </w:rPr>
          <w:fldChar w:fldCharType="begin"/>
        </w:r>
        <w:r w:rsidR="00301072">
          <w:rPr>
            <w:noProof/>
            <w:webHidden/>
          </w:rPr>
          <w:instrText xml:space="preserve"> PAGEREF _Toc437520315 \h </w:instrText>
        </w:r>
        <w:r w:rsidR="00301072">
          <w:rPr>
            <w:noProof/>
            <w:webHidden/>
          </w:rPr>
        </w:r>
        <w:r w:rsidR="00301072">
          <w:rPr>
            <w:noProof/>
            <w:webHidden/>
          </w:rPr>
          <w:fldChar w:fldCharType="separate"/>
        </w:r>
        <w:r w:rsidR="0003666D">
          <w:rPr>
            <w:noProof/>
            <w:webHidden/>
          </w:rPr>
          <w:t>363</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16" w:history="1">
        <w:r w:rsidR="00301072" w:rsidRPr="00106617">
          <w:rPr>
            <w:rStyle w:val="Hyperlnk"/>
            <w:lang w:val="en-GB"/>
          </w:rPr>
          <w:t>2.2.</w:t>
        </w:r>
        <w:r w:rsidR="00301072">
          <w:rPr>
            <w:rFonts w:asciiTheme="minorHAnsi" w:eastAsiaTheme="minorEastAsia" w:hAnsiTheme="minorHAnsi" w:cstheme="minorBidi"/>
            <w:noProof/>
            <w:sz w:val="22"/>
            <w:szCs w:val="22"/>
            <w:lang w:val="en-US" w:eastAsia="zh-CN" w:bidi="ar-SA"/>
          </w:rPr>
          <w:tab/>
        </w:r>
        <w:r w:rsidR="00301072" w:rsidRPr="00106617">
          <w:rPr>
            <w:rStyle w:val="Hyperlnk"/>
            <w:lang w:val="en-GB"/>
          </w:rPr>
          <w:t>Amended proposal for reporting of GIS information to WISE</w:t>
        </w:r>
        <w:r w:rsidR="00301072">
          <w:rPr>
            <w:noProof/>
            <w:webHidden/>
          </w:rPr>
          <w:tab/>
        </w:r>
        <w:r w:rsidR="00301072">
          <w:rPr>
            <w:noProof/>
            <w:webHidden/>
          </w:rPr>
          <w:fldChar w:fldCharType="begin"/>
        </w:r>
        <w:r w:rsidR="00301072">
          <w:rPr>
            <w:noProof/>
            <w:webHidden/>
          </w:rPr>
          <w:instrText xml:space="preserve"> PAGEREF _Toc437520316 \h </w:instrText>
        </w:r>
        <w:r w:rsidR="00301072">
          <w:rPr>
            <w:noProof/>
            <w:webHidden/>
          </w:rPr>
        </w:r>
        <w:r w:rsidR="00301072">
          <w:rPr>
            <w:noProof/>
            <w:webHidden/>
          </w:rPr>
          <w:fldChar w:fldCharType="separate"/>
        </w:r>
        <w:r w:rsidR="0003666D">
          <w:rPr>
            <w:noProof/>
            <w:webHidden/>
          </w:rPr>
          <w:t>364</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17" w:history="1">
        <w:r w:rsidR="00301072" w:rsidRPr="00106617">
          <w:rPr>
            <w:rStyle w:val="Hyperlnk"/>
          </w:rPr>
          <w:t>2.3.</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Three Examples</w:t>
        </w:r>
        <w:r w:rsidR="00301072">
          <w:rPr>
            <w:noProof/>
            <w:webHidden/>
          </w:rPr>
          <w:tab/>
        </w:r>
        <w:r w:rsidR="00301072">
          <w:rPr>
            <w:noProof/>
            <w:webHidden/>
          </w:rPr>
          <w:fldChar w:fldCharType="begin"/>
        </w:r>
        <w:r w:rsidR="00301072">
          <w:rPr>
            <w:noProof/>
            <w:webHidden/>
          </w:rPr>
          <w:instrText xml:space="preserve"> PAGEREF _Toc437520317 \h </w:instrText>
        </w:r>
        <w:r w:rsidR="00301072">
          <w:rPr>
            <w:noProof/>
            <w:webHidden/>
          </w:rPr>
        </w:r>
        <w:r w:rsidR="00301072">
          <w:rPr>
            <w:noProof/>
            <w:webHidden/>
          </w:rPr>
          <w:fldChar w:fldCharType="separate"/>
        </w:r>
        <w:r w:rsidR="0003666D">
          <w:rPr>
            <w:noProof/>
            <w:webHidden/>
          </w:rPr>
          <w:t>365</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18" w:history="1">
        <w:r w:rsidR="00301072" w:rsidRPr="00106617">
          <w:rPr>
            <w:rStyle w:val="Hyperlnk"/>
            <w:lang w:val="en-GB"/>
          </w:rPr>
          <w:t>2.4.</w:t>
        </w:r>
        <w:r w:rsidR="00301072">
          <w:rPr>
            <w:rFonts w:asciiTheme="minorHAnsi" w:eastAsiaTheme="minorEastAsia" w:hAnsiTheme="minorHAnsi" w:cstheme="minorBidi"/>
            <w:noProof/>
            <w:sz w:val="22"/>
            <w:szCs w:val="22"/>
            <w:lang w:val="en-US" w:eastAsia="zh-CN" w:bidi="ar-SA"/>
          </w:rPr>
          <w:tab/>
        </w:r>
        <w:r w:rsidR="00301072" w:rsidRPr="00106617">
          <w:rPr>
            <w:rStyle w:val="Hyperlnk"/>
            <w:lang w:val="en-GB"/>
          </w:rPr>
          <w:t>Migration from current horizon classification to the amended proposal</w:t>
        </w:r>
        <w:r w:rsidR="00301072">
          <w:rPr>
            <w:noProof/>
            <w:webHidden/>
          </w:rPr>
          <w:tab/>
        </w:r>
        <w:r w:rsidR="00301072">
          <w:rPr>
            <w:noProof/>
            <w:webHidden/>
          </w:rPr>
          <w:fldChar w:fldCharType="begin"/>
        </w:r>
        <w:r w:rsidR="00301072">
          <w:rPr>
            <w:noProof/>
            <w:webHidden/>
          </w:rPr>
          <w:instrText xml:space="preserve"> PAGEREF _Toc437520318 \h </w:instrText>
        </w:r>
        <w:r w:rsidR="00301072">
          <w:rPr>
            <w:noProof/>
            <w:webHidden/>
          </w:rPr>
        </w:r>
        <w:r w:rsidR="00301072">
          <w:rPr>
            <w:noProof/>
            <w:webHidden/>
          </w:rPr>
          <w:fldChar w:fldCharType="separate"/>
        </w:r>
        <w:r w:rsidR="0003666D">
          <w:rPr>
            <w:noProof/>
            <w:webHidden/>
          </w:rPr>
          <w:t>371</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19" w:history="1">
        <w:r w:rsidR="00301072" w:rsidRPr="00106617">
          <w:rPr>
            <w:rStyle w:val="Hyperlnk"/>
          </w:rPr>
          <w:t>2.5.</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Resumee</w:t>
        </w:r>
        <w:r w:rsidR="00301072">
          <w:rPr>
            <w:noProof/>
            <w:webHidden/>
          </w:rPr>
          <w:tab/>
        </w:r>
        <w:r w:rsidR="00301072">
          <w:rPr>
            <w:noProof/>
            <w:webHidden/>
          </w:rPr>
          <w:fldChar w:fldCharType="begin"/>
        </w:r>
        <w:r w:rsidR="00301072">
          <w:rPr>
            <w:noProof/>
            <w:webHidden/>
          </w:rPr>
          <w:instrText xml:space="preserve"> PAGEREF _Toc437520319 \h </w:instrText>
        </w:r>
        <w:r w:rsidR="00301072">
          <w:rPr>
            <w:noProof/>
            <w:webHidden/>
          </w:rPr>
        </w:r>
        <w:r w:rsidR="00301072">
          <w:rPr>
            <w:noProof/>
            <w:webHidden/>
          </w:rPr>
          <w:fldChar w:fldCharType="separate"/>
        </w:r>
        <w:r w:rsidR="0003666D">
          <w:rPr>
            <w:noProof/>
            <w:webHidden/>
          </w:rPr>
          <w:t>373</w:t>
        </w:r>
        <w:r w:rsidR="00301072">
          <w:rPr>
            <w:noProof/>
            <w:webHidden/>
          </w:rPr>
          <w:fldChar w:fldCharType="end"/>
        </w:r>
      </w:hyperlink>
    </w:p>
    <w:p w:rsidR="00301072" w:rsidRDefault="00FA0245">
      <w:pPr>
        <w:pStyle w:val="Innehll2"/>
        <w:tabs>
          <w:tab w:val="left" w:pos="1077"/>
        </w:tabs>
        <w:rPr>
          <w:rFonts w:asciiTheme="minorHAnsi" w:eastAsiaTheme="minorEastAsia" w:hAnsiTheme="minorHAnsi" w:cstheme="minorBidi"/>
          <w:noProof/>
          <w:sz w:val="22"/>
          <w:szCs w:val="22"/>
          <w:lang w:val="en-US" w:eastAsia="zh-CN" w:bidi="ar-SA"/>
        </w:rPr>
      </w:pPr>
      <w:hyperlink w:anchor="_Toc437520320" w:history="1">
        <w:r w:rsidR="00301072" w:rsidRPr="00106617">
          <w:rPr>
            <w:rStyle w:val="Hyperlnk"/>
          </w:rPr>
          <w:t>2.6.</w:t>
        </w:r>
        <w:r w:rsidR="00301072">
          <w:rPr>
            <w:rFonts w:asciiTheme="minorHAnsi" w:eastAsiaTheme="minorEastAsia" w:hAnsiTheme="minorHAnsi" w:cstheme="minorBidi"/>
            <w:noProof/>
            <w:sz w:val="22"/>
            <w:szCs w:val="22"/>
            <w:lang w:val="en-US" w:eastAsia="zh-CN" w:bidi="ar-SA"/>
          </w:rPr>
          <w:tab/>
        </w:r>
        <w:r w:rsidR="00301072" w:rsidRPr="00106617">
          <w:rPr>
            <w:rStyle w:val="Hyperlnk"/>
          </w:rPr>
          <w:t>Recommendation for map production</w:t>
        </w:r>
        <w:r w:rsidR="00301072">
          <w:rPr>
            <w:noProof/>
            <w:webHidden/>
          </w:rPr>
          <w:tab/>
        </w:r>
        <w:r w:rsidR="00301072">
          <w:rPr>
            <w:noProof/>
            <w:webHidden/>
          </w:rPr>
          <w:fldChar w:fldCharType="begin"/>
        </w:r>
        <w:r w:rsidR="00301072">
          <w:rPr>
            <w:noProof/>
            <w:webHidden/>
          </w:rPr>
          <w:instrText xml:space="preserve"> PAGEREF _Toc437520320 \h </w:instrText>
        </w:r>
        <w:r w:rsidR="00301072">
          <w:rPr>
            <w:noProof/>
            <w:webHidden/>
          </w:rPr>
        </w:r>
        <w:r w:rsidR="00301072">
          <w:rPr>
            <w:noProof/>
            <w:webHidden/>
          </w:rPr>
          <w:fldChar w:fldCharType="separate"/>
        </w:r>
        <w:r w:rsidR="0003666D">
          <w:rPr>
            <w:noProof/>
            <w:webHidden/>
          </w:rPr>
          <w:t>373</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321" w:history="1">
        <w:r w:rsidR="00301072" w:rsidRPr="00106617">
          <w:rPr>
            <w:rStyle w:val="Hyperlnk"/>
          </w:rPr>
          <w:t>3.</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rPr>
          <w:t>References</w:t>
        </w:r>
        <w:r w:rsidR="00301072">
          <w:rPr>
            <w:noProof/>
            <w:webHidden/>
          </w:rPr>
          <w:tab/>
        </w:r>
        <w:r w:rsidR="00301072">
          <w:rPr>
            <w:noProof/>
            <w:webHidden/>
          </w:rPr>
          <w:fldChar w:fldCharType="begin"/>
        </w:r>
        <w:r w:rsidR="00301072">
          <w:rPr>
            <w:noProof/>
            <w:webHidden/>
          </w:rPr>
          <w:instrText xml:space="preserve"> PAGEREF _Toc437520321 \h </w:instrText>
        </w:r>
        <w:r w:rsidR="00301072">
          <w:rPr>
            <w:noProof/>
            <w:webHidden/>
          </w:rPr>
        </w:r>
        <w:r w:rsidR="00301072">
          <w:rPr>
            <w:noProof/>
            <w:webHidden/>
          </w:rPr>
          <w:fldChar w:fldCharType="separate"/>
        </w:r>
        <w:r w:rsidR="0003666D">
          <w:rPr>
            <w:noProof/>
            <w:webHidden/>
          </w:rPr>
          <w:t>374</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322" w:history="1">
        <w:r w:rsidR="00301072" w:rsidRPr="00106617">
          <w:rPr>
            <w:rStyle w:val="Hyperlnk"/>
            <w:b/>
            <w:lang w:val="en-GB"/>
          </w:rPr>
          <w:t>Annex 5: GIS Guidance</w:t>
        </w:r>
        <w:r w:rsidR="00301072">
          <w:rPr>
            <w:noProof/>
            <w:webHidden/>
          </w:rPr>
          <w:tab/>
        </w:r>
        <w:r w:rsidR="00301072">
          <w:rPr>
            <w:noProof/>
            <w:webHidden/>
          </w:rPr>
          <w:fldChar w:fldCharType="begin"/>
        </w:r>
        <w:r w:rsidR="00301072">
          <w:rPr>
            <w:noProof/>
            <w:webHidden/>
          </w:rPr>
          <w:instrText xml:space="preserve"> PAGEREF _Toc437520322 \h </w:instrText>
        </w:r>
        <w:r w:rsidR="00301072">
          <w:rPr>
            <w:noProof/>
            <w:webHidden/>
          </w:rPr>
        </w:r>
        <w:r w:rsidR="00301072">
          <w:rPr>
            <w:noProof/>
            <w:webHidden/>
          </w:rPr>
          <w:fldChar w:fldCharType="separate"/>
        </w:r>
        <w:r w:rsidR="0003666D">
          <w:rPr>
            <w:noProof/>
            <w:webHidden/>
          </w:rPr>
          <w:t>375</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323" w:history="1">
        <w:r w:rsidR="00301072" w:rsidRPr="00106617">
          <w:rPr>
            <w:rStyle w:val="Hyperlnk"/>
            <w:b/>
            <w:lang w:val="en-GB"/>
          </w:rPr>
          <w:t>Annex 6: Reporting on the River Basin Management Plans – a user manual</w:t>
        </w:r>
        <w:r w:rsidR="00301072">
          <w:rPr>
            <w:noProof/>
            <w:webHidden/>
          </w:rPr>
          <w:tab/>
        </w:r>
        <w:r w:rsidR="00301072">
          <w:rPr>
            <w:noProof/>
            <w:webHidden/>
          </w:rPr>
          <w:fldChar w:fldCharType="begin"/>
        </w:r>
        <w:r w:rsidR="00301072">
          <w:rPr>
            <w:noProof/>
            <w:webHidden/>
          </w:rPr>
          <w:instrText xml:space="preserve"> PAGEREF _Toc437520323 \h </w:instrText>
        </w:r>
        <w:r w:rsidR="00301072">
          <w:rPr>
            <w:noProof/>
            <w:webHidden/>
          </w:rPr>
        </w:r>
        <w:r w:rsidR="00301072">
          <w:rPr>
            <w:noProof/>
            <w:webHidden/>
          </w:rPr>
          <w:fldChar w:fldCharType="separate"/>
        </w:r>
        <w:r w:rsidR="0003666D">
          <w:rPr>
            <w:noProof/>
            <w:webHidden/>
          </w:rPr>
          <w:t>376</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24" w:history="1">
        <w:r w:rsidR="00301072" w:rsidRPr="00106617">
          <w:rPr>
            <w:rStyle w:val="Hyperlnk"/>
            <w:b/>
            <w:lang w:val="en-GB"/>
          </w:rPr>
          <w:t>Annex 7:</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Reporting guidance on inventories</w:t>
        </w:r>
        <w:r w:rsidR="00301072">
          <w:rPr>
            <w:noProof/>
            <w:webHidden/>
          </w:rPr>
          <w:tab/>
        </w:r>
        <w:r w:rsidR="00301072">
          <w:rPr>
            <w:noProof/>
            <w:webHidden/>
          </w:rPr>
          <w:fldChar w:fldCharType="begin"/>
        </w:r>
        <w:r w:rsidR="00301072">
          <w:rPr>
            <w:noProof/>
            <w:webHidden/>
          </w:rPr>
          <w:instrText xml:space="preserve"> PAGEREF _Toc437520324 \h </w:instrText>
        </w:r>
        <w:r w:rsidR="00301072">
          <w:rPr>
            <w:noProof/>
            <w:webHidden/>
          </w:rPr>
        </w:r>
        <w:r w:rsidR="00301072">
          <w:rPr>
            <w:noProof/>
            <w:webHidden/>
          </w:rPr>
          <w:fldChar w:fldCharType="separate"/>
        </w:r>
        <w:r w:rsidR="0003666D">
          <w:rPr>
            <w:noProof/>
            <w:webHidden/>
          </w:rPr>
          <w:t>378</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25" w:history="1">
        <w:r w:rsidR="00301072" w:rsidRPr="00106617">
          <w:rPr>
            <w:rStyle w:val="Hyperlnk"/>
            <w:b/>
          </w:rPr>
          <w:t>Annex 8:</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rPr>
          <w:t>Enumeration Lists</w:t>
        </w:r>
        <w:r w:rsidR="00301072">
          <w:rPr>
            <w:noProof/>
            <w:webHidden/>
          </w:rPr>
          <w:tab/>
        </w:r>
        <w:r w:rsidR="00301072">
          <w:rPr>
            <w:noProof/>
            <w:webHidden/>
          </w:rPr>
          <w:fldChar w:fldCharType="begin"/>
        </w:r>
        <w:r w:rsidR="00301072">
          <w:rPr>
            <w:noProof/>
            <w:webHidden/>
          </w:rPr>
          <w:instrText xml:space="preserve"> PAGEREF _Toc437520325 \h </w:instrText>
        </w:r>
        <w:r w:rsidR="00301072">
          <w:rPr>
            <w:noProof/>
            <w:webHidden/>
          </w:rPr>
        </w:r>
        <w:r w:rsidR="00301072">
          <w:rPr>
            <w:noProof/>
            <w:webHidden/>
          </w:rPr>
          <w:fldChar w:fldCharType="separate"/>
        </w:r>
        <w:r w:rsidR="0003666D">
          <w:rPr>
            <w:noProof/>
            <w:webHidden/>
          </w:rPr>
          <w:t>383</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26" w:history="1">
        <w:r w:rsidR="00301072" w:rsidRPr="00106617">
          <w:rPr>
            <w:rStyle w:val="Hyperlnk"/>
            <w:b/>
            <w:lang w:val="en-GB"/>
          </w:rPr>
          <w:t>Annex 8a:</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common intercalibration types (SWIntercalibrationType_Enum)</w:t>
        </w:r>
        <w:r w:rsidR="00301072">
          <w:rPr>
            <w:noProof/>
            <w:webHidden/>
          </w:rPr>
          <w:tab/>
        </w:r>
        <w:r w:rsidR="00301072">
          <w:rPr>
            <w:noProof/>
            <w:webHidden/>
          </w:rPr>
          <w:fldChar w:fldCharType="begin"/>
        </w:r>
        <w:r w:rsidR="00301072">
          <w:rPr>
            <w:noProof/>
            <w:webHidden/>
          </w:rPr>
          <w:instrText xml:space="preserve"> PAGEREF _Toc437520326 \h </w:instrText>
        </w:r>
        <w:r w:rsidR="00301072">
          <w:rPr>
            <w:noProof/>
            <w:webHidden/>
          </w:rPr>
        </w:r>
        <w:r w:rsidR="00301072">
          <w:rPr>
            <w:noProof/>
            <w:webHidden/>
          </w:rPr>
          <w:fldChar w:fldCharType="separate"/>
        </w:r>
        <w:r w:rsidR="0003666D">
          <w:rPr>
            <w:noProof/>
            <w:webHidden/>
          </w:rPr>
          <w:t>383</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27" w:history="1">
        <w:r w:rsidR="00301072" w:rsidRPr="00106617">
          <w:rPr>
            <w:rStyle w:val="Hyperlnk"/>
            <w:b/>
            <w:lang w:val="en-GB"/>
          </w:rPr>
          <w:t>Annex 8b:</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River Basin Specific Pollutants (RBSP_Enum)</w:t>
        </w:r>
        <w:r w:rsidR="00301072">
          <w:rPr>
            <w:noProof/>
            <w:webHidden/>
          </w:rPr>
          <w:tab/>
        </w:r>
        <w:r w:rsidR="00301072">
          <w:rPr>
            <w:noProof/>
            <w:webHidden/>
          </w:rPr>
          <w:fldChar w:fldCharType="begin"/>
        </w:r>
        <w:r w:rsidR="00301072">
          <w:rPr>
            <w:noProof/>
            <w:webHidden/>
          </w:rPr>
          <w:instrText xml:space="preserve"> PAGEREF _Toc437520327 \h </w:instrText>
        </w:r>
        <w:r w:rsidR="00301072">
          <w:rPr>
            <w:noProof/>
            <w:webHidden/>
          </w:rPr>
        </w:r>
        <w:r w:rsidR="00301072">
          <w:rPr>
            <w:noProof/>
            <w:webHidden/>
          </w:rPr>
          <w:fldChar w:fldCharType="separate"/>
        </w:r>
        <w:r w:rsidR="0003666D">
          <w:rPr>
            <w:noProof/>
            <w:webHidden/>
          </w:rPr>
          <w:t>386</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28" w:history="1">
        <w:r w:rsidR="00301072" w:rsidRPr="00106617">
          <w:rPr>
            <w:rStyle w:val="Hyperlnk"/>
            <w:b/>
            <w:lang w:val="en-GB"/>
          </w:rPr>
          <w:t>Annex 8c:</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additional pollutants and indicators of pollution</w:t>
        </w:r>
        <w:r w:rsidR="00301072">
          <w:rPr>
            <w:noProof/>
            <w:webHidden/>
          </w:rPr>
          <w:tab/>
        </w:r>
        <w:r w:rsidR="00301072">
          <w:rPr>
            <w:noProof/>
            <w:webHidden/>
          </w:rPr>
          <w:fldChar w:fldCharType="begin"/>
        </w:r>
        <w:r w:rsidR="00301072">
          <w:rPr>
            <w:noProof/>
            <w:webHidden/>
          </w:rPr>
          <w:instrText xml:space="preserve"> PAGEREF _Toc437520328 \h </w:instrText>
        </w:r>
        <w:r w:rsidR="00301072">
          <w:rPr>
            <w:noProof/>
            <w:webHidden/>
          </w:rPr>
        </w:r>
        <w:r w:rsidR="00301072">
          <w:rPr>
            <w:noProof/>
            <w:webHidden/>
          </w:rPr>
          <w:fldChar w:fldCharType="separate"/>
        </w:r>
        <w:r w:rsidR="0003666D">
          <w:rPr>
            <w:noProof/>
            <w:webHidden/>
          </w:rPr>
          <w:t>395</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29" w:history="1">
        <w:r w:rsidR="00301072" w:rsidRPr="00106617">
          <w:rPr>
            <w:rStyle w:val="Hyperlnk"/>
            <w:b/>
            <w:lang w:val="en-GB"/>
          </w:rPr>
          <w:t>Annex 8d:</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Priority Substances (PS_Enum)</w:t>
        </w:r>
        <w:r w:rsidR="00301072">
          <w:rPr>
            <w:noProof/>
            <w:webHidden/>
          </w:rPr>
          <w:tab/>
        </w:r>
        <w:r w:rsidR="00301072">
          <w:rPr>
            <w:noProof/>
            <w:webHidden/>
          </w:rPr>
          <w:fldChar w:fldCharType="begin"/>
        </w:r>
        <w:r w:rsidR="00301072">
          <w:rPr>
            <w:noProof/>
            <w:webHidden/>
          </w:rPr>
          <w:instrText xml:space="preserve"> PAGEREF _Toc437520329 \h </w:instrText>
        </w:r>
        <w:r w:rsidR="00301072">
          <w:rPr>
            <w:noProof/>
            <w:webHidden/>
          </w:rPr>
        </w:r>
        <w:r w:rsidR="00301072">
          <w:rPr>
            <w:noProof/>
            <w:webHidden/>
          </w:rPr>
          <w:fldChar w:fldCharType="separate"/>
        </w:r>
        <w:r w:rsidR="0003666D">
          <w:rPr>
            <w:noProof/>
            <w:webHidden/>
          </w:rPr>
          <w:t>396</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30" w:history="1">
        <w:r w:rsidR="00301072" w:rsidRPr="00106617">
          <w:rPr>
            <w:rStyle w:val="Hyperlnk"/>
            <w:b/>
            <w:lang w:val="en-GB"/>
          </w:rPr>
          <w:t>Annex 8e:</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chemical substances (ChemicalSubstances_Union_Enum)</w:t>
        </w:r>
        <w:r w:rsidR="00301072">
          <w:rPr>
            <w:noProof/>
            <w:webHidden/>
          </w:rPr>
          <w:tab/>
        </w:r>
        <w:r w:rsidR="00301072">
          <w:rPr>
            <w:noProof/>
            <w:webHidden/>
          </w:rPr>
          <w:fldChar w:fldCharType="begin"/>
        </w:r>
        <w:r w:rsidR="00301072">
          <w:rPr>
            <w:noProof/>
            <w:webHidden/>
          </w:rPr>
          <w:instrText xml:space="preserve"> PAGEREF _Toc437520330 \h </w:instrText>
        </w:r>
        <w:r w:rsidR="00301072">
          <w:rPr>
            <w:noProof/>
            <w:webHidden/>
          </w:rPr>
        </w:r>
        <w:r w:rsidR="00301072">
          <w:rPr>
            <w:noProof/>
            <w:webHidden/>
          </w:rPr>
          <w:fldChar w:fldCharType="separate"/>
        </w:r>
        <w:r w:rsidR="0003666D">
          <w:rPr>
            <w:noProof/>
            <w:webHidden/>
          </w:rPr>
          <w:t>397</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331" w:history="1">
        <w:r w:rsidR="00301072" w:rsidRPr="00106617">
          <w:rPr>
            <w:rStyle w:val="Hyperlnk"/>
            <w:b/>
            <w:lang w:val="en-GB"/>
          </w:rPr>
          <w:t>Annex 8f: List of units of measurement (UnitOfMeasure_Enum)</w:t>
        </w:r>
        <w:r w:rsidR="00301072">
          <w:rPr>
            <w:noProof/>
            <w:webHidden/>
          </w:rPr>
          <w:tab/>
        </w:r>
        <w:r w:rsidR="00301072">
          <w:rPr>
            <w:noProof/>
            <w:webHidden/>
          </w:rPr>
          <w:fldChar w:fldCharType="begin"/>
        </w:r>
        <w:r w:rsidR="00301072">
          <w:rPr>
            <w:noProof/>
            <w:webHidden/>
          </w:rPr>
          <w:instrText xml:space="preserve"> PAGEREF _Toc437520331 \h </w:instrText>
        </w:r>
        <w:r w:rsidR="00301072">
          <w:rPr>
            <w:noProof/>
            <w:webHidden/>
          </w:rPr>
        </w:r>
        <w:r w:rsidR="00301072">
          <w:rPr>
            <w:noProof/>
            <w:webHidden/>
          </w:rPr>
          <w:fldChar w:fldCharType="separate"/>
        </w:r>
        <w:r w:rsidR="0003666D">
          <w:rPr>
            <w:noProof/>
            <w:webHidden/>
          </w:rPr>
          <w:t>397</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32" w:history="1">
        <w:r w:rsidR="00301072" w:rsidRPr="00106617">
          <w:rPr>
            <w:rStyle w:val="Hyperlnk"/>
            <w:b/>
            <w:lang w:val="en-GB"/>
          </w:rPr>
          <w:t>Annex 8g:</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exemption types for surface water, groundwater quantitative status and protected areas (ExemptionType_Enum)</w:t>
        </w:r>
        <w:r w:rsidR="00301072">
          <w:rPr>
            <w:noProof/>
            <w:webHidden/>
          </w:rPr>
          <w:tab/>
        </w:r>
        <w:r w:rsidR="00301072">
          <w:rPr>
            <w:noProof/>
            <w:webHidden/>
          </w:rPr>
          <w:fldChar w:fldCharType="begin"/>
        </w:r>
        <w:r w:rsidR="00301072">
          <w:rPr>
            <w:noProof/>
            <w:webHidden/>
          </w:rPr>
          <w:instrText xml:space="preserve"> PAGEREF _Toc437520332 \h </w:instrText>
        </w:r>
        <w:r w:rsidR="00301072">
          <w:rPr>
            <w:noProof/>
            <w:webHidden/>
          </w:rPr>
        </w:r>
        <w:r w:rsidR="00301072">
          <w:rPr>
            <w:noProof/>
            <w:webHidden/>
          </w:rPr>
          <w:fldChar w:fldCharType="separate"/>
        </w:r>
        <w:r w:rsidR="0003666D">
          <w:rPr>
            <w:noProof/>
            <w:webHidden/>
          </w:rPr>
          <w:t>398</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33" w:history="1">
        <w:r w:rsidR="00301072" w:rsidRPr="00106617">
          <w:rPr>
            <w:rStyle w:val="Hyperlnk"/>
            <w:b/>
          </w:rPr>
          <w:t>Annex 8h:</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rPr>
          <w:t>Quality elements</w:t>
        </w:r>
        <w:r w:rsidR="00301072">
          <w:rPr>
            <w:noProof/>
            <w:webHidden/>
          </w:rPr>
          <w:tab/>
        </w:r>
        <w:r w:rsidR="00301072">
          <w:rPr>
            <w:noProof/>
            <w:webHidden/>
          </w:rPr>
          <w:fldChar w:fldCharType="begin"/>
        </w:r>
        <w:r w:rsidR="00301072">
          <w:rPr>
            <w:noProof/>
            <w:webHidden/>
          </w:rPr>
          <w:instrText xml:space="preserve"> PAGEREF _Toc437520333 \h </w:instrText>
        </w:r>
        <w:r w:rsidR="00301072">
          <w:rPr>
            <w:noProof/>
            <w:webHidden/>
          </w:rPr>
        </w:r>
        <w:r w:rsidR="00301072">
          <w:rPr>
            <w:noProof/>
            <w:webHidden/>
          </w:rPr>
          <w:fldChar w:fldCharType="separate"/>
        </w:r>
        <w:r w:rsidR="0003666D">
          <w:rPr>
            <w:noProof/>
            <w:webHidden/>
          </w:rPr>
          <w:t>399</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34" w:history="1">
        <w:r w:rsidR="00301072" w:rsidRPr="00106617">
          <w:rPr>
            <w:rStyle w:val="Hyperlnk"/>
            <w:b/>
            <w:lang w:val="en-GB"/>
          </w:rPr>
          <w:t>Annex 8i:</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monitoring purposes (MonitoringPurpose_Enum)</w:t>
        </w:r>
        <w:r w:rsidR="00301072">
          <w:rPr>
            <w:noProof/>
            <w:webHidden/>
          </w:rPr>
          <w:tab/>
        </w:r>
        <w:r w:rsidR="00301072">
          <w:rPr>
            <w:noProof/>
            <w:webHidden/>
          </w:rPr>
          <w:fldChar w:fldCharType="begin"/>
        </w:r>
        <w:r w:rsidR="00301072">
          <w:rPr>
            <w:noProof/>
            <w:webHidden/>
          </w:rPr>
          <w:instrText xml:space="preserve"> PAGEREF _Toc437520334 \h </w:instrText>
        </w:r>
        <w:r w:rsidR="00301072">
          <w:rPr>
            <w:noProof/>
            <w:webHidden/>
          </w:rPr>
        </w:r>
        <w:r w:rsidR="00301072">
          <w:rPr>
            <w:noProof/>
            <w:webHidden/>
          </w:rPr>
          <w:fldChar w:fldCharType="separate"/>
        </w:r>
        <w:r w:rsidR="0003666D">
          <w:rPr>
            <w:noProof/>
            <w:webHidden/>
          </w:rPr>
          <w:t>401</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35" w:history="1">
        <w:r w:rsidR="00301072" w:rsidRPr="00106617">
          <w:rPr>
            <w:rStyle w:val="Hyperlnk"/>
            <w:b/>
            <w:lang w:val="en-GB"/>
          </w:rPr>
          <w:t>Annex 8j:</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language codes (LanguageCode_Enum)</w:t>
        </w:r>
        <w:r w:rsidR="00301072">
          <w:rPr>
            <w:noProof/>
            <w:webHidden/>
          </w:rPr>
          <w:tab/>
        </w:r>
        <w:r w:rsidR="00301072">
          <w:rPr>
            <w:noProof/>
            <w:webHidden/>
          </w:rPr>
          <w:fldChar w:fldCharType="begin"/>
        </w:r>
        <w:r w:rsidR="00301072">
          <w:rPr>
            <w:noProof/>
            <w:webHidden/>
          </w:rPr>
          <w:instrText xml:space="preserve"> PAGEREF _Toc437520335 \h </w:instrText>
        </w:r>
        <w:r w:rsidR="00301072">
          <w:rPr>
            <w:noProof/>
            <w:webHidden/>
          </w:rPr>
        </w:r>
        <w:r w:rsidR="00301072">
          <w:rPr>
            <w:noProof/>
            <w:webHidden/>
          </w:rPr>
          <w:fldChar w:fldCharType="separate"/>
        </w:r>
        <w:r w:rsidR="0003666D">
          <w:rPr>
            <w:noProof/>
            <w:webHidden/>
          </w:rPr>
          <w:t>402</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36" w:history="1">
        <w:r w:rsidR="00301072" w:rsidRPr="00106617">
          <w:rPr>
            <w:rStyle w:val="Hyperlnk"/>
            <w:b/>
            <w:lang w:val="en-GB"/>
          </w:rPr>
          <w:t>Annex 8k:</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roles (Roles_Enum)</w:t>
        </w:r>
        <w:r w:rsidR="00301072">
          <w:rPr>
            <w:noProof/>
            <w:webHidden/>
          </w:rPr>
          <w:tab/>
        </w:r>
        <w:r w:rsidR="00301072">
          <w:rPr>
            <w:noProof/>
            <w:webHidden/>
          </w:rPr>
          <w:fldChar w:fldCharType="begin"/>
        </w:r>
        <w:r w:rsidR="00301072">
          <w:rPr>
            <w:noProof/>
            <w:webHidden/>
          </w:rPr>
          <w:instrText xml:space="preserve"> PAGEREF _Toc437520336 \h </w:instrText>
        </w:r>
        <w:r w:rsidR="00301072">
          <w:rPr>
            <w:noProof/>
            <w:webHidden/>
          </w:rPr>
        </w:r>
        <w:r w:rsidR="00301072">
          <w:rPr>
            <w:noProof/>
            <w:webHidden/>
          </w:rPr>
          <w:fldChar w:fldCharType="separate"/>
        </w:r>
        <w:r w:rsidR="0003666D">
          <w:rPr>
            <w:noProof/>
            <w:webHidden/>
          </w:rPr>
          <w:t>403</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37" w:history="1">
        <w:r w:rsidR="00301072" w:rsidRPr="00106617">
          <w:rPr>
            <w:rStyle w:val="Hyperlnk"/>
            <w:b/>
            <w:lang w:val="en-GB"/>
          </w:rPr>
          <w:t>Annex 8l:</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geographical scales (GeographicalScale_Enum)</w:t>
        </w:r>
        <w:r w:rsidR="00301072">
          <w:rPr>
            <w:noProof/>
            <w:webHidden/>
          </w:rPr>
          <w:tab/>
        </w:r>
        <w:r w:rsidR="00301072">
          <w:rPr>
            <w:noProof/>
            <w:webHidden/>
          </w:rPr>
          <w:fldChar w:fldCharType="begin"/>
        </w:r>
        <w:r w:rsidR="00301072">
          <w:rPr>
            <w:noProof/>
            <w:webHidden/>
          </w:rPr>
          <w:instrText xml:space="preserve"> PAGEREF _Toc437520337 \h </w:instrText>
        </w:r>
        <w:r w:rsidR="00301072">
          <w:rPr>
            <w:noProof/>
            <w:webHidden/>
          </w:rPr>
        </w:r>
        <w:r w:rsidR="00301072">
          <w:rPr>
            <w:noProof/>
            <w:webHidden/>
          </w:rPr>
          <w:fldChar w:fldCharType="separate"/>
        </w:r>
        <w:r w:rsidR="0003666D">
          <w:rPr>
            <w:noProof/>
            <w:webHidden/>
          </w:rPr>
          <w:t>403</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38" w:history="1">
        <w:r w:rsidR="00301072" w:rsidRPr="00106617">
          <w:rPr>
            <w:rStyle w:val="Hyperlnk"/>
            <w:b/>
            <w:lang w:val="en-GB"/>
          </w:rPr>
          <w:t>Annex 8m:</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mitigation measures (MitigationMeasure_Enum)</w:t>
        </w:r>
        <w:r w:rsidR="00301072">
          <w:rPr>
            <w:noProof/>
            <w:webHidden/>
          </w:rPr>
          <w:tab/>
        </w:r>
        <w:r w:rsidR="00301072">
          <w:rPr>
            <w:noProof/>
            <w:webHidden/>
          </w:rPr>
          <w:fldChar w:fldCharType="begin"/>
        </w:r>
        <w:r w:rsidR="00301072">
          <w:rPr>
            <w:noProof/>
            <w:webHidden/>
          </w:rPr>
          <w:instrText xml:space="preserve"> PAGEREF _Toc437520338 \h </w:instrText>
        </w:r>
        <w:r w:rsidR="00301072">
          <w:rPr>
            <w:noProof/>
            <w:webHidden/>
          </w:rPr>
        </w:r>
        <w:r w:rsidR="00301072">
          <w:rPr>
            <w:noProof/>
            <w:webHidden/>
          </w:rPr>
          <w:fldChar w:fldCharType="separate"/>
        </w:r>
        <w:r w:rsidR="0003666D">
          <w:rPr>
            <w:noProof/>
            <w:webHidden/>
          </w:rPr>
          <w:t>404</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39" w:history="1">
        <w:r w:rsidR="00301072" w:rsidRPr="00106617">
          <w:rPr>
            <w:rStyle w:val="Hyperlnk"/>
            <w:b/>
            <w:lang w:val="en-GB"/>
          </w:rPr>
          <w:t>Annex 8n:</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input pollutant categories (InputCategory_Union_Enum)</w:t>
        </w:r>
        <w:r w:rsidR="00301072">
          <w:rPr>
            <w:noProof/>
            <w:webHidden/>
          </w:rPr>
          <w:tab/>
        </w:r>
        <w:r w:rsidR="00301072">
          <w:rPr>
            <w:noProof/>
            <w:webHidden/>
          </w:rPr>
          <w:fldChar w:fldCharType="begin"/>
        </w:r>
        <w:r w:rsidR="00301072">
          <w:rPr>
            <w:noProof/>
            <w:webHidden/>
          </w:rPr>
          <w:instrText xml:space="preserve"> PAGEREF _Toc437520339 \h </w:instrText>
        </w:r>
        <w:r w:rsidR="00301072">
          <w:rPr>
            <w:noProof/>
            <w:webHidden/>
          </w:rPr>
        </w:r>
        <w:r w:rsidR="00301072">
          <w:rPr>
            <w:noProof/>
            <w:webHidden/>
          </w:rPr>
          <w:fldChar w:fldCharType="separate"/>
        </w:r>
        <w:r w:rsidR="0003666D">
          <w:rPr>
            <w:noProof/>
            <w:webHidden/>
          </w:rPr>
          <w:t>405</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40" w:history="1">
        <w:r w:rsidR="00301072" w:rsidRPr="00106617">
          <w:rPr>
            <w:rStyle w:val="Hyperlnk"/>
            <w:b/>
            <w:lang w:val="en-GB"/>
          </w:rPr>
          <w:t xml:space="preserve">Annex 8o: </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calculation methods for water quantity (WQCalculationMethod_Enum)</w:t>
        </w:r>
        <w:r w:rsidR="00301072">
          <w:rPr>
            <w:noProof/>
            <w:webHidden/>
          </w:rPr>
          <w:tab/>
        </w:r>
        <w:r w:rsidR="00301072">
          <w:rPr>
            <w:noProof/>
            <w:webHidden/>
          </w:rPr>
          <w:fldChar w:fldCharType="begin"/>
        </w:r>
        <w:r w:rsidR="00301072">
          <w:rPr>
            <w:noProof/>
            <w:webHidden/>
          </w:rPr>
          <w:instrText xml:space="preserve"> PAGEREF _Toc437520340 \h </w:instrText>
        </w:r>
        <w:r w:rsidR="00301072">
          <w:rPr>
            <w:noProof/>
            <w:webHidden/>
          </w:rPr>
        </w:r>
        <w:r w:rsidR="00301072">
          <w:rPr>
            <w:noProof/>
            <w:webHidden/>
          </w:rPr>
          <w:fldChar w:fldCharType="separate"/>
        </w:r>
        <w:r w:rsidR="0003666D">
          <w:rPr>
            <w:noProof/>
            <w:webHidden/>
          </w:rPr>
          <w:t>408</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41" w:history="1">
        <w:r w:rsidR="00301072" w:rsidRPr="00106617">
          <w:rPr>
            <w:rStyle w:val="Hyperlnk"/>
            <w:b/>
            <w:lang w:val="en-GB"/>
          </w:rPr>
          <w:t xml:space="preserve">Annex 8p: </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Indicators for Pressure (IndicatorPressure_Enum)</w:t>
        </w:r>
        <w:r w:rsidR="00301072">
          <w:rPr>
            <w:noProof/>
            <w:webHidden/>
          </w:rPr>
          <w:tab/>
        </w:r>
        <w:r w:rsidR="00301072">
          <w:rPr>
            <w:noProof/>
            <w:webHidden/>
          </w:rPr>
          <w:fldChar w:fldCharType="begin"/>
        </w:r>
        <w:r w:rsidR="00301072">
          <w:rPr>
            <w:noProof/>
            <w:webHidden/>
          </w:rPr>
          <w:instrText xml:space="preserve"> PAGEREF _Toc437520341 \h </w:instrText>
        </w:r>
        <w:r w:rsidR="00301072">
          <w:rPr>
            <w:noProof/>
            <w:webHidden/>
          </w:rPr>
        </w:r>
        <w:r w:rsidR="00301072">
          <w:rPr>
            <w:noProof/>
            <w:webHidden/>
          </w:rPr>
          <w:fldChar w:fldCharType="separate"/>
        </w:r>
        <w:r w:rsidR="0003666D">
          <w:rPr>
            <w:noProof/>
            <w:webHidden/>
          </w:rPr>
          <w:t>408</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42" w:history="1">
        <w:r w:rsidR="00301072" w:rsidRPr="00106617">
          <w:rPr>
            <w:rStyle w:val="Hyperlnk"/>
            <w:b/>
            <w:lang w:val="en-GB"/>
          </w:rPr>
          <w:t xml:space="preserve">Annex 8q: </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Relevant KTM (KTM_Enum)</w:t>
        </w:r>
        <w:r w:rsidR="00301072">
          <w:rPr>
            <w:noProof/>
            <w:webHidden/>
          </w:rPr>
          <w:tab/>
        </w:r>
        <w:r w:rsidR="00301072">
          <w:rPr>
            <w:noProof/>
            <w:webHidden/>
          </w:rPr>
          <w:fldChar w:fldCharType="begin"/>
        </w:r>
        <w:r w:rsidR="00301072">
          <w:rPr>
            <w:noProof/>
            <w:webHidden/>
          </w:rPr>
          <w:instrText xml:space="preserve"> PAGEREF _Toc437520342 \h </w:instrText>
        </w:r>
        <w:r w:rsidR="00301072">
          <w:rPr>
            <w:noProof/>
            <w:webHidden/>
          </w:rPr>
        </w:r>
        <w:r w:rsidR="00301072">
          <w:rPr>
            <w:noProof/>
            <w:webHidden/>
          </w:rPr>
          <w:fldChar w:fldCharType="separate"/>
        </w:r>
        <w:r w:rsidR="0003666D">
          <w:rPr>
            <w:noProof/>
            <w:webHidden/>
          </w:rPr>
          <w:t>411</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43" w:history="1">
        <w:r w:rsidR="00301072" w:rsidRPr="00106617">
          <w:rPr>
            <w:rStyle w:val="Hyperlnk"/>
            <w:b/>
            <w:lang w:val="en-GB"/>
          </w:rPr>
          <w:t xml:space="preserve">Annex 8r: </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lang w:val="en-GB"/>
          </w:rPr>
          <w:t>List of Indicators for KTM (IndicatorKTM_Enum)</w:t>
        </w:r>
        <w:r w:rsidR="00301072">
          <w:rPr>
            <w:noProof/>
            <w:webHidden/>
          </w:rPr>
          <w:tab/>
        </w:r>
        <w:r w:rsidR="00301072">
          <w:rPr>
            <w:noProof/>
            <w:webHidden/>
          </w:rPr>
          <w:fldChar w:fldCharType="begin"/>
        </w:r>
        <w:r w:rsidR="00301072">
          <w:rPr>
            <w:noProof/>
            <w:webHidden/>
          </w:rPr>
          <w:instrText xml:space="preserve"> PAGEREF _Toc437520343 \h </w:instrText>
        </w:r>
        <w:r w:rsidR="00301072">
          <w:rPr>
            <w:noProof/>
            <w:webHidden/>
          </w:rPr>
        </w:r>
        <w:r w:rsidR="00301072">
          <w:rPr>
            <w:noProof/>
            <w:webHidden/>
          </w:rPr>
          <w:fldChar w:fldCharType="separate"/>
        </w:r>
        <w:r w:rsidR="0003666D">
          <w:rPr>
            <w:noProof/>
            <w:webHidden/>
          </w:rPr>
          <w:t>412</w:t>
        </w:r>
        <w:r w:rsidR="00301072">
          <w:rPr>
            <w:noProof/>
            <w:webHidden/>
          </w:rPr>
          <w:fldChar w:fldCharType="end"/>
        </w:r>
      </w:hyperlink>
    </w:p>
    <w:p w:rsidR="00301072" w:rsidRDefault="00FA0245">
      <w:pPr>
        <w:pStyle w:val="Innehll1"/>
        <w:tabs>
          <w:tab w:val="left" w:pos="1916"/>
        </w:tabs>
        <w:rPr>
          <w:rFonts w:asciiTheme="minorHAnsi" w:eastAsiaTheme="minorEastAsia" w:hAnsiTheme="minorHAnsi" w:cstheme="minorBidi"/>
          <w:caps w:val="0"/>
          <w:noProof/>
          <w:sz w:val="22"/>
          <w:szCs w:val="22"/>
          <w:lang w:val="en-US" w:eastAsia="zh-CN" w:bidi="ar-SA"/>
        </w:rPr>
      </w:pPr>
      <w:hyperlink w:anchor="_Toc437520344" w:history="1">
        <w:r w:rsidR="00301072" w:rsidRPr="00106617">
          <w:rPr>
            <w:rStyle w:val="Hyperlnk"/>
            <w:b/>
          </w:rPr>
          <w:t>Annex 9:</w:t>
        </w:r>
        <w:r w:rsidR="00301072">
          <w:rPr>
            <w:rFonts w:asciiTheme="minorHAnsi" w:eastAsiaTheme="minorEastAsia" w:hAnsiTheme="minorHAnsi" w:cstheme="minorBidi"/>
            <w:caps w:val="0"/>
            <w:noProof/>
            <w:sz w:val="22"/>
            <w:szCs w:val="22"/>
            <w:lang w:val="en-US" w:eastAsia="zh-CN" w:bidi="ar-SA"/>
          </w:rPr>
          <w:tab/>
        </w:r>
        <w:r w:rsidR="00301072" w:rsidRPr="00106617">
          <w:rPr>
            <w:rStyle w:val="Hyperlnk"/>
            <w:b/>
          </w:rPr>
          <w:t>Reference Structure</w:t>
        </w:r>
        <w:r w:rsidR="00301072">
          <w:rPr>
            <w:noProof/>
            <w:webHidden/>
          </w:rPr>
          <w:tab/>
        </w:r>
        <w:r w:rsidR="00301072">
          <w:rPr>
            <w:noProof/>
            <w:webHidden/>
          </w:rPr>
          <w:fldChar w:fldCharType="begin"/>
        </w:r>
        <w:r w:rsidR="00301072">
          <w:rPr>
            <w:noProof/>
            <w:webHidden/>
          </w:rPr>
          <w:instrText xml:space="preserve"> PAGEREF _Toc437520344 \h </w:instrText>
        </w:r>
        <w:r w:rsidR="00301072">
          <w:rPr>
            <w:noProof/>
            <w:webHidden/>
          </w:rPr>
        </w:r>
        <w:r w:rsidR="00301072">
          <w:rPr>
            <w:noProof/>
            <w:webHidden/>
          </w:rPr>
          <w:fldChar w:fldCharType="separate"/>
        </w:r>
        <w:r w:rsidR="0003666D">
          <w:rPr>
            <w:noProof/>
            <w:webHidden/>
          </w:rPr>
          <w:t>414</w:t>
        </w:r>
        <w:r w:rsidR="00301072">
          <w:rPr>
            <w:noProof/>
            <w:webHidden/>
          </w:rPr>
          <w:fldChar w:fldCharType="end"/>
        </w:r>
      </w:hyperlink>
    </w:p>
    <w:p w:rsidR="00301072" w:rsidRDefault="00FA0245">
      <w:pPr>
        <w:pStyle w:val="Innehll1"/>
        <w:rPr>
          <w:rFonts w:asciiTheme="minorHAnsi" w:eastAsiaTheme="minorEastAsia" w:hAnsiTheme="minorHAnsi" w:cstheme="minorBidi"/>
          <w:caps w:val="0"/>
          <w:noProof/>
          <w:sz w:val="22"/>
          <w:szCs w:val="22"/>
          <w:lang w:val="en-US" w:eastAsia="zh-CN" w:bidi="ar-SA"/>
        </w:rPr>
      </w:pPr>
      <w:hyperlink w:anchor="_Toc437520345" w:history="1">
        <w:r w:rsidR="00301072" w:rsidRPr="00106617">
          <w:rPr>
            <w:rStyle w:val="Hyperlnk"/>
            <w:b/>
            <w:lang w:val="en-GB"/>
          </w:rPr>
          <w:t>Annex 10: UML Diagrams</w:t>
        </w:r>
        <w:r w:rsidR="00301072">
          <w:rPr>
            <w:noProof/>
            <w:webHidden/>
          </w:rPr>
          <w:tab/>
        </w:r>
        <w:r w:rsidR="00301072">
          <w:rPr>
            <w:noProof/>
            <w:webHidden/>
          </w:rPr>
          <w:fldChar w:fldCharType="begin"/>
        </w:r>
        <w:r w:rsidR="00301072">
          <w:rPr>
            <w:noProof/>
            <w:webHidden/>
          </w:rPr>
          <w:instrText xml:space="preserve"> PAGEREF _Toc437520345 \h </w:instrText>
        </w:r>
        <w:r w:rsidR="00301072">
          <w:rPr>
            <w:noProof/>
            <w:webHidden/>
          </w:rPr>
        </w:r>
        <w:r w:rsidR="00301072">
          <w:rPr>
            <w:noProof/>
            <w:webHidden/>
          </w:rPr>
          <w:fldChar w:fldCharType="separate"/>
        </w:r>
        <w:r w:rsidR="0003666D">
          <w:rPr>
            <w:noProof/>
            <w:webHidden/>
          </w:rPr>
          <w:t>416</w:t>
        </w:r>
        <w:r w:rsidR="00301072">
          <w:rPr>
            <w:noProof/>
            <w:webHidden/>
          </w:rPr>
          <w:fldChar w:fldCharType="end"/>
        </w:r>
      </w:hyperlink>
    </w:p>
    <w:p w:rsidR="000215C5" w:rsidRDefault="00703023">
      <w:pPr>
        <w:pStyle w:val="Innehll1"/>
        <w:rPr>
          <w:rFonts w:asciiTheme="minorHAnsi" w:eastAsiaTheme="minorEastAsia" w:hAnsiTheme="minorHAnsi" w:cstheme="minorBidi"/>
          <w:caps w:val="0"/>
          <w:noProof/>
          <w:sz w:val="22"/>
          <w:szCs w:val="22"/>
        </w:rPr>
      </w:pPr>
      <w:r>
        <w:fldChar w:fldCharType="end"/>
      </w:r>
    </w:p>
    <w:p w:rsidR="000215C5" w:rsidRDefault="00703023">
      <w:pPr>
        <w:spacing w:after="0"/>
      </w:pPr>
      <w:r>
        <w:br w:type="page"/>
      </w:r>
    </w:p>
    <w:p w:rsidR="000215C5" w:rsidRDefault="00703023">
      <w:pPr>
        <w:rPr>
          <w:b/>
        </w:rPr>
      </w:pPr>
      <w:r>
        <w:rPr>
          <w:b/>
        </w:rPr>
        <w:t>FÖRKORTNINGAR</w:t>
      </w:r>
    </w:p>
    <w:p w:rsidR="000215C5" w:rsidRDefault="00703023">
      <w:r>
        <w:t>[Ska fyllas i]</w:t>
      </w:r>
    </w:p>
    <w:tbl>
      <w:tblPr>
        <w:tblStyle w:val="Tabellrutnt"/>
        <w:tblW w:w="0" w:type="auto"/>
        <w:tblLook w:val="04A0" w:firstRow="1" w:lastRow="0" w:firstColumn="1" w:lastColumn="0" w:noHBand="0" w:noVBand="1"/>
      </w:tblPr>
      <w:tblGrid>
        <w:gridCol w:w="1687"/>
        <w:gridCol w:w="7229"/>
      </w:tblGrid>
      <w:tr w:rsidR="000215C5">
        <w:tc>
          <w:tcPr>
            <w:tcW w:w="1526" w:type="dxa"/>
          </w:tcPr>
          <w:p w:rsidR="000215C5" w:rsidRDefault="00703023">
            <w:pPr>
              <w:spacing w:after="0"/>
            </w:pPr>
            <w:r>
              <w:t>AWB</w:t>
            </w:r>
          </w:p>
        </w:tc>
        <w:tc>
          <w:tcPr>
            <w:tcW w:w="7229" w:type="dxa"/>
          </w:tcPr>
          <w:p w:rsidR="000215C5" w:rsidRDefault="00703023">
            <w:pPr>
              <w:spacing w:after="0"/>
              <w:ind w:right="34"/>
            </w:pPr>
            <w:r>
              <w:t>Konstgjord vattenförekomst</w:t>
            </w:r>
          </w:p>
        </w:tc>
      </w:tr>
      <w:tr w:rsidR="000215C5">
        <w:tc>
          <w:tcPr>
            <w:tcW w:w="1526" w:type="dxa"/>
          </w:tcPr>
          <w:p w:rsidR="000215C5" w:rsidRDefault="00703023">
            <w:pPr>
              <w:spacing w:after="0"/>
            </w:pPr>
            <w:r>
              <w:t>BQE</w:t>
            </w:r>
          </w:p>
        </w:tc>
        <w:tc>
          <w:tcPr>
            <w:tcW w:w="7229" w:type="dxa"/>
          </w:tcPr>
          <w:p w:rsidR="000215C5" w:rsidRDefault="00703023">
            <w:pPr>
              <w:spacing w:after="0"/>
              <w:ind w:right="34"/>
            </w:pPr>
            <w:r>
              <w:t>Biologisk kvalitetsfaktor</w:t>
            </w:r>
          </w:p>
        </w:tc>
      </w:tr>
      <w:tr w:rsidR="000215C5">
        <w:tc>
          <w:tcPr>
            <w:tcW w:w="1526" w:type="dxa"/>
          </w:tcPr>
          <w:p w:rsidR="000215C5" w:rsidRDefault="00703023">
            <w:pPr>
              <w:spacing w:after="0"/>
            </w:pPr>
            <w:r>
              <w:t>CIS</w:t>
            </w:r>
          </w:p>
        </w:tc>
        <w:tc>
          <w:tcPr>
            <w:tcW w:w="7229" w:type="dxa"/>
          </w:tcPr>
          <w:p w:rsidR="000215C5" w:rsidRDefault="00703023">
            <w:pPr>
              <w:spacing w:after="0"/>
              <w:ind w:right="34"/>
            </w:pPr>
            <w:r>
              <w:t>Gemensam genomförandestrategi</w:t>
            </w:r>
          </w:p>
        </w:tc>
      </w:tr>
      <w:tr w:rsidR="000215C5">
        <w:tc>
          <w:tcPr>
            <w:tcW w:w="1526" w:type="dxa"/>
          </w:tcPr>
          <w:p w:rsidR="000215C5" w:rsidRDefault="00703023">
            <w:pPr>
              <w:spacing w:after="0"/>
            </w:pPr>
            <w:r>
              <w:t>FAB</w:t>
            </w:r>
          </w:p>
        </w:tc>
        <w:tc>
          <w:tcPr>
            <w:tcW w:w="7229" w:type="dxa"/>
          </w:tcPr>
          <w:p w:rsidR="000215C5" w:rsidRDefault="00703023">
            <w:pPr>
              <w:spacing w:after="0"/>
              <w:ind w:right="34"/>
            </w:pPr>
            <w:r>
              <w:t>Referenssystem för koordinater</w:t>
            </w:r>
          </w:p>
        </w:tc>
      </w:tr>
      <w:tr w:rsidR="000215C5">
        <w:tc>
          <w:tcPr>
            <w:tcW w:w="1526" w:type="dxa"/>
          </w:tcPr>
          <w:p w:rsidR="000215C5" w:rsidRDefault="00703023">
            <w:pPr>
              <w:spacing w:after="0"/>
            </w:pPr>
            <w:r>
              <w:t>CW</w:t>
            </w:r>
          </w:p>
        </w:tc>
        <w:tc>
          <w:tcPr>
            <w:tcW w:w="7229" w:type="dxa"/>
          </w:tcPr>
          <w:p w:rsidR="000215C5" w:rsidRDefault="00703023">
            <w:pPr>
              <w:spacing w:after="0"/>
              <w:ind w:right="34"/>
            </w:pPr>
            <w:r>
              <w:t>Kustvatten (när det gäller en vattenförekomst)</w:t>
            </w:r>
          </w:p>
        </w:tc>
      </w:tr>
      <w:tr w:rsidR="000215C5">
        <w:tc>
          <w:tcPr>
            <w:tcW w:w="1526" w:type="dxa"/>
          </w:tcPr>
          <w:p w:rsidR="000215C5" w:rsidRDefault="00703023">
            <w:pPr>
              <w:spacing w:after="0"/>
            </w:pPr>
            <w:r>
              <w:t>DPSIR</w:t>
            </w:r>
          </w:p>
        </w:tc>
        <w:tc>
          <w:tcPr>
            <w:tcW w:w="7229" w:type="dxa"/>
          </w:tcPr>
          <w:p w:rsidR="000215C5" w:rsidRDefault="00703023">
            <w:pPr>
              <w:spacing w:after="0"/>
              <w:ind w:right="34"/>
            </w:pPr>
            <w:r>
              <w:t>Drivers-Pressures-States-Impacts-Responses</w:t>
            </w:r>
          </w:p>
        </w:tc>
      </w:tr>
      <w:tr w:rsidR="000215C5">
        <w:tc>
          <w:tcPr>
            <w:tcW w:w="1526" w:type="dxa"/>
          </w:tcPr>
          <w:p w:rsidR="000215C5" w:rsidRDefault="00703023">
            <w:pPr>
              <w:spacing w:after="0"/>
            </w:pPr>
            <w:r>
              <w:t>EEA</w:t>
            </w:r>
          </w:p>
        </w:tc>
        <w:tc>
          <w:tcPr>
            <w:tcW w:w="7229" w:type="dxa"/>
          </w:tcPr>
          <w:p w:rsidR="000215C5" w:rsidRDefault="00703023">
            <w:pPr>
              <w:spacing w:after="0"/>
              <w:ind w:right="34"/>
            </w:pPr>
            <w:r>
              <w:t>Europeiska miljöbyrån (European Environment Agency)</w:t>
            </w:r>
          </w:p>
        </w:tc>
      </w:tr>
      <w:tr w:rsidR="000215C5">
        <w:tc>
          <w:tcPr>
            <w:tcW w:w="1526" w:type="dxa"/>
          </w:tcPr>
          <w:p w:rsidR="000215C5" w:rsidRDefault="00703023">
            <w:pPr>
              <w:spacing w:after="0"/>
            </w:pPr>
            <w:r>
              <w:t>Eionet</w:t>
            </w:r>
          </w:p>
        </w:tc>
        <w:tc>
          <w:tcPr>
            <w:tcW w:w="7229" w:type="dxa"/>
          </w:tcPr>
          <w:p w:rsidR="000215C5" w:rsidRDefault="00703023">
            <w:pPr>
              <w:spacing w:after="0"/>
              <w:ind w:right="34"/>
            </w:pPr>
            <w:r>
              <w:t>Europeiska nätverket för miljöinformation och miljöövervakning</w:t>
            </w:r>
          </w:p>
        </w:tc>
      </w:tr>
      <w:tr w:rsidR="000215C5">
        <w:tc>
          <w:tcPr>
            <w:tcW w:w="1526" w:type="dxa"/>
          </w:tcPr>
          <w:p w:rsidR="000215C5" w:rsidRDefault="00703023">
            <w:pPr>
              <w:spacing w:after="0"/>
            </w:pPr>
            <w:r>
              <w:t>E-PRTR</w:t>
            </w:r>
          </w:p>
        </w:tc>
        <w:tc>
          <w:tcPr>
            <w:tcW w:w="7229" w:type="dxa"/>
          </w:tcPr>
          <w:p w:rsidR="000215C5" w:rsidRDefault="00703023">
            <w:pPr>
              <w:spacing w:after="0"/>
              <w:ind w:right="34"/>
            </w:pPr>
            <w:r>
              <w:t>Europeiskt register över utsläpp och överföringar av föroreningar</w:t>
            </w:r>
          </w:p>
        </w:tc>
      </w:tr>
      <w:tr w:rsidR="000215C5">
        <w:tc>
          <w:tcPr>
            <w:tcW w:w="1526" w:type="dxa"/>
          </w:tcPr>
          <w:p w:rsidR="000215C5" w:rsidRDefault="00703023">
            <w:pPr>
              <w:spacing w:after="0"/>
            </w:pPr>
            <w:r>
              <w:t>MKN</w:t>
            </w:r>
          </w:p>
        </w:tc>
        <w:tc>
          <w:tcPr>
            <w:tcW w:w="7229" w:type="dxa"/>
          </w:tcPr>
          <w:p w:rsidR="000215C5" w:rsidRDefault="00703023">
            <w:pPr>
              <w:spacing w:after="0"/>
              <w:ind w:right="34"/>
            </w:pPr>
            <w:r>
              <w:t>Miljökvalitetsnormer</w:t>
            </w:r>
          </w:p>
        </w:tc>
      </w:tr>
      <w:tr w:rsidR="000215C5">
        <w:tc>
          <w:tcPr>
            <w:tcW w:w="1526" w:type="dxa"/>
          </w:tcPr>
          <w:p w:rsidR="000215C5" w:rsidRDefault="00D52D4D">
            <w:pPr>
              <w:spacing w:after="0"/>
            </w:pPr>
            <w:r>
              <w:t>MKN</w:t>
            </w:r>
            <w:r>
              <w:noBreakHyphen/>
            </w:r>
            <w:r w:rsidR="00703023">
              <w:t>direktivet</w:t>
            </w:r>
          </w:p>
        </w:tc>
        <w:tc>
          <w:tcPr>
            <w:tcW w:w="7229" w:type="dxa"/>
          </w:tcPr>
          <w:p w:rsidR="000215C5" w:rsidRDefault="00703023">
            <w:pPr>
              <w:spacing w:after="0"/>
              <w:ind w:right="34"/>
            </w:pPr>
            <w:r>
              <w:t>Direktivet om miljökvalitetsnormer</w:t>
            </w:r>
          </w:p>
        </w:tc>
      </w:tr>
      <w:tr w:rsidR="000215C5">
        <w:tc>
          <w:tcPr>
            <w:tcW w:w="1526" w:type="dxa"/>
          </w:tcPr>
          <w:p w:rsidR="000215C5" w:rsidRDefault="00703023">
            <w:pPr>
              <w:spacing w:after="0"/>
            </w:pPr>
            <w:r>
              <w:t>FAQ</w:t>
            </w:r>
          </w:p>
        </w:tc>
        <w:tc>
          <w:tcPr>
            <w:tcW w:w="7229" w:type="dxa"/>
          </w:tcPr>
          <w:p w:rsidR="000215C5" w:rsidRDefault="00703023">
            <w:pPr>
              <w:spacing w:after="0"/>
              <w:ind w:right="34"/>
            </w:pPr>
            <w:r>
              <w:t>Vanliga frågor</w:t>
            </w:r>
          </w:p>
        </w:tc>
      </w:tr>
      <w:tr w:rsidR="000215C5">
        <w:tc>
          <w:tcPr>
            <w:tcW w:w="1526" w:type="dxa"/>
          </w:tcPr>
          <w:p w:rsidR="000215C5" w:rsidRDefault="00703023">
            <w:pPr>
              <w:spacing w:after="0"/>
            </w:pPr>
            <w:r>
              <w:t>GCS</w:t>
            </w:r>
          </w:p>
        </w:tc>
        <w:tc>
          <w:tcPr>
            <w:tcW w:w="7229" w:type="dxa"/>
          </w:tcPr>
          <w:p w:rsidR="000215C5" w:rsidRDefault="00703023">
            <w:pPr>
              <w:spacing w:after="0"/>
              <w:ind w:right="34"/>
            </w:pPr>
            <w:r>
              <w:t>God kemisk status</w:t>
            </w:r>
          </w:p>
        </w:tc>
      </w:tr>
      <w:tr w:rsidR="000215C5">
        <w:tc>
          <w:tcPr>
            <w:tcW w:w="1526" w:type="dxa"/>
          </w:tcPr>
          <w:p w:rsidR="000215C5" w:rsidRDefault="00703023">
            <w:pPr>
              <w:spacing w:after="0"/>
            </w:pPr>
            <w:r>
              <w:t>GEP</w:t>
            </w:r>
          </w:p>
        </w:tc>
        <w:tc>
          <w:tcPr>
            <w:tcW w:w="7229" w:type="dxa"/>
          </w:tcPr>
          <w:p w:rsidR="000215C5" w:rsidRDefault="00703023">
            <w:pPr>
              <w:spacing w:after="0"/>
              <w:ind w:right="34"/>
            </w:pPr>
            <w:r>
              <w:t>God ekologisk potential</w:t>
            </w:r>
          </w:p>
        </w:tc>
      </w:tr>
      <w:tr w:rsidR="000215C5">
        <w:tc>
          <w:tcPr>
            <w:tcW w:w="1526" w:type="dxa"/>
          </w:tcPr>
          <w:p w:rsidR="000215C5" w:rsidRDefault="00703023">
            <w:pPr>
              <w:spacing w:after="0"/>
            </w:pPr>
            <w:r>
              <w:t>GIS</w:t>
            </w:r>
          </w:p>
        </w:tc>
        <w:tc>
          <w:tcPr>
            <w:tcW w:w="7229" w:type="dxa"/>
          </w:tcPr>
          <w:p w:rsidR="000215C5" w:rsidRDefault="00703023">
            <w:pPr>
              <w:spacing w:after="0"/>
              <w:ind w:right="34"/>
            </w:pPr>
            <w:r>
              <w:t>Geografiskt informationssystem</w:t>
            </w:r>
          </w:p>
        </w:tc>
      </w:tr>
      <w:tr w:rsidR="000215C5">
        <w:tc>
          <w:tcPr>
            <w:tcW w:w="1526" w:type="dxa"/>
          </w:tcPr>
          <w:p w:rsidR="000215C5" w:rsidRDefault="00703023">
            <w:pPr>
              <w:spacing w:after="0"/>
            </w:pPr>
            <w:r>
              <w:t>GML</w:t>
            </w:r>
          </w:p>
        </w:tc>
        <w:tc>
          <w:tcPr>
            <w:tcW w:w="7229" w:type="dxa"/>
          </w:tcPr>
          <w:p w:rsidR="000215C5" w:rsidRDefault="00703023">
            <w:pPr>
              <w:spacing w:after="0"/>
              <w:ind w:right="34"/>
            </w:pPr>
            <w:r>
              <w:t>Geography Markup Language</w:t>
            </w:r>
          </w:p>
        </w:tc>
      </w:tr>
      <w:tr w:rsidR="000215C5">
        <w:tc>
          <w:tcPr>
            <w:tcW w:w="1526" w:type="dxa"/>
          </w:tcPr>
          <w:p w:rsidR="000215C5" w:rsidRDefault="00703023">
            <w:pPr>
              <w:spacing w:after="0"/>
            </w:pPr>
            <w:r>
              <w:t>GWB</w:t>
            </w:r>
          </w:p>
        </w:tc>
        <w:tc>
          <w:tcPr>
            <w:tcW w:w="7229" w:type="dxa"/>
          </w:tcPr>
          <w:p w:rsidR="000215C5" w:rsidRDefault="00703023">
            <w:pPr>
              <w:spacing w:after="0"/>
              <w:ind w:right="34"/>
            </w:pPr>
            <w:r>
              <w:t>Grundvattenförekomst</w:t>
            </w:r>
          </w:p>
        </w:tc>
      </w:tr>
      <w:tr w:rsidR="000215C5">
        <w:tc>
          <w:tcPr>
            <w:tcW w:w="1526" w:type="dxa"/>
          </w:tcPr>
          <w:p w:rsidR="000215C5" w:rsidRDefault="00703023">
            <w:pPr>
              <w:spacing w:after="0"/>
            </w:pPr>
            <w:r>
              <w:t>GWD</w:t>
            </w:r>
          </w:p>
        </w:tc>
        <w:tc>
          <w:tcPr>
            <w:tcW w:w="7229" w:type="dxa"/>
          </w:tcPr>
          <w:p w:rsidR="000215C5" w:rsidRDefault="00703023">
            <w:pPr>
              <w:spacing w:after="0"/>
              <w:ind w:right="34"/>
            </w:pPr>
            <w:r>
              <w:t>Grundvattendirektivet</w:t>
            </w:r>
          </w:p>
        </w:tc>
      </w:tr>
      <w:tr w:rsidR="000215C5">
        <w:tc>
          <w:tcPr>
            <w:tcW w:w="1526" w:type="dxa"/>
          </w:tcPr>
          <w:p w:rsidR="000215C5" w:rsidRDefault="00703023">
            <w:pPr>
              <w:spacing w:after="0"/>
            </w:pPr>
            <w:r>
              <w:t>GWMET</w:t>
            </w:r>
          </w:p>
        </w:tc>
        <w:tc>
          <w:tcPr>
            <w:tcW w:w="7229" w:type="dxa"/>
          </w:tcPr>
          <w:p w:rsidR="000215C5" w:rsidRDefault="00703023">
            <w:pPr>
              <w:spacing w:after="0"/>
              <w:ind w:right="34"/>
            </w:pPr>
            <w:r>
              <w:t>Groundwater Methodologies (titel på en mall)</w:t>
            </w:r>
          </w:p>
        </w:tc>
      </w:tr>
      <w:tr w:rsidR="000215C5">
        <w:tc>
          <w:tcPr>
            <w:tcW w:w="1526" w:type="dxa"/>
          </w:tcPr>
          <w:p w:rsidR="000215C5" w:rsidRDefault="00703023">
            <w:pPr>
              <w:spacing w:after="0"/>
            </w:pPr>
            <w:r>
              <w:t>HMWB</w:t>
            </w:r>
          </w:p>
        </w:tc>
        <w:tc>
          <w:tcPr>
            <w:tcW w:w="7229" w:type="dxa"/>
          </w:tcPr>
          <w:p w:rsidR="000215C5" w:rsidRDefault="00703023">
            <w:pPr>
              <w:spacing w:after="0"/>
              <w:ind w:right="34"/>
            </w:pPr>
            <w:r>
              <w:t>Kraftigt modifierad vattenförekomst</w:t>
            </w:r>
          </w:p>
        </w:tc>
      </w:tr>
      <w:tr w:rsidR="000215C5">
        <w:tc>
          <w:tcPr>
            <w:tcW w:w="1526" w:type="dxa"/>
          </w:tcPr>
          <w:p w:rsidR="000215C5" w:rsidRDefault="00703023">
            <w:pPr>
              <w:spacing w:after="0"/>
            </w:pPr>
            <w:r>
              <w:t>IED</w:t>
            </w:r>
          </w:p>
        </w:tc>
        <w:tc>
          <w:tcPr>
            <w:tcW w:w="7229" w:type="dxa"/>
          </w:tcPr>
          <w:p w:rsidR="000215C5" w:rsidRDefault="00703023">
            <w:pPr>
              <w:spacing w:after="0"/>
              <w:ind w:right="34"/>
            </w:pPr>
            <w:r>
              <w:t>Direktivet om industriutsläpp</w:t>
            </w:r>
          </w:p>
        </w:tc>
      </w:tr>
      <w:tr w:rsidR="000215C5">
        <w:tc>
          <w:tcPr>
            <w:tcW w:w="1526" w:type="dxa"/>
          </w:tcPr>
          <w:p w:rsidR="000215C5" w:rsidRDefault="00703023">
            <w:pPr>
              <w:spacing w:after="0"/>
            </w:pPr>
            <w:r>
              <w:t>Inspire</w:t>
            </w:r>
          </w:p>
        </w:tc>
        <w:tc>
          <w:tcPr>
            <w:tcW w:w="7229" w:type="dxa"/>
          </w:tcPr>
          <w:p w:rsidR="000215C5" w:rsidRDefault="00703023">
            <w:pPr>
              <w:spacing w:after="0"/>
              <w:ind w:right="34"/>
            </w:pPr>
            <w:r>
              <w:t>Infrastruktur för rumslig information i Europeiska gemenskapen (direktiv 2007/2/EG)</w:t>
            </w:r>
          </w:p>
        </w:tc>
      </w:tr>
      <w:tr w:rsidR="000215C5">
        <w:tc>
          <w:tcPr>
            <w:tcW w:w="1526" w:type="dxa"/>
          </w:tcPr>
          <w:p w:rsidR="000215C5" w:rsidRDefault="00703023">
            <w:pPr>
              <w:spacing w:after="0"/>
            </w:pPr>
            <w:r>
              <w:t>IPPC</w:t>
            </w:r>
          </w:p>
        </w:tc>
        <w:tc>
          <w:tcPr>
            <w:tcW w:w="7229" w:type="dxa"/>
          </w:tcPr>
          <w:p w:rsidR="000215C5" w:rsidRDefault="00703023">
            <w:pPr>
              <w:spacing w:after="0"/>
              <w:ind w:right="34"/>
            </w:pPr>
            <w:r>
              <w:t>Samordnade åtgärder för att förebygga och begränsa föroreningar (direktiv)</w:t>
            </w:r>
          </w:p>
        </w:tc>
      </w:tr>
      <w:tr w:rsidR="000215C5">
        <w:tc>
          <w:tcPr>
            <w:tcW w:w="1526" w:type="dxa"/>
          </w:tcPr>
          <w:p w:rsidR="000215C5" w:rsidRDefault="00703023">
            <w:pPr>
              <w:spacing w:after="0"/>
            </w:pPr>
            <w:r>
              <w:t>GB</w:t>
            </w:r>
          </w:p>
        </w:tc>
        <w:tc>
          <w:tcPr>
            <w:tcW w:w="7229" w:type="dxa"/>
          </w:tcPr>
          <w:p w:rsidR="000215C5" w:rsidRDefault="00703023">
            <w:pPr>
              <w:spacing w:after="0"/>
              <w:ind w:right="34"/>
            </w:pPr>
            <w:r>
              <w:t>Genomförandebestämmelser</w:t>
            </w:r>
          </w:p>
        </w:tc>
      </w:tr>
      <w:tr w:rsidR="000215C5">
        <w:tc>
          <w:tcPr>
            <w:tcW w:w="1526" w:type="dxa"/>
          </w:tcPr>
          <w:p w:rsidR="000215C5" w:rsidRDefault="00703023">
            <w:pPr>
              <w:spacing w:after="0"/>
            </w:pPr>
            <w:r>
              <w:t>ISO</w:t>
            </w:r>
          </w:p>
        </w:tc>
        <w:tc>
          <w:tcPr>
            <w:tcW w:w="7229" w:type="dxa"/>
          </w:tcPr>
          <w:p w:rsidR="000215C5" w:rsidRDefault="00703023">
            <w:pPr>
              <w:spacing w:after="0"/>
              <w:ind w:right="34"/>
            </w:pPr>
            <w:r>
              <w:t>Internationella standardiseringsorganisationen</w:t>
            </w:r>
          </w:p>
        </w:tc>
      </w:tr>
      <w:tr w:rsidR="000215C5">
        <w:tc>
          <w:tcPr>
            <w:tcW w:w="1526" w:type="dxa"/>
          </w:tcPr>
          <w:p w:rsidR="000215C5" w:rsidRDefault="00703023">
            <w:pPr>
              <w:spacing w:after="0"/>
            </w:pPr>
            <w:r>
              <w:t>KTM</w:t>
            </w:r>
          </w:p>
        </w:tc>
        <w:tc>
          <w:tcPr>
            <w:tcW w:w="7229" w:type="dxa"/>
          </w:tcPr>
          <w:p w:rsidR="000215C5" w:rsidRDefault="00703023">
            <w:pPr>
              <w:spacing w:after="0"/>
              <w:ind w:right="34"/>
            </w:pPr>
            <w:r>
              <w:t>Key Type of Measure</w:t>
            </w:r>
          </w:p>
        </w:tc>
      </w:tr>
      <w:tr w:rsidR="000215C5">
        <w:tc>
          <w:tcPr>
            <w:tcW w:w="1526" w:type="dxa"/>
          </w:tcPr>
          <w:p w:rsidR="000215C5" w:rsidRDefault="00703023">
            <w:pPr>
              <w:spacing w:after="0"/>
            </w:pPr>
            <w:r>
              <w:t>LW</w:t>
            </w:r>
          </w:p>
        </w:tc>
        <w:tc>
          <w:tcPr>
            <w:tcW w:w="7229" w:type="dxa"/>
          </w:tcPr>
          <w:p w:rsidR="000215C5" w:rsidRDefault="00703023">
            <w:pPr>
              <w:spacing w:after="0"/>
              <w:ind w:right="34"/>
            </w:pPr>
            <w:r>
              <w:t>Sjö (när det gäller en vattenförekomst)</w:t>
            </w:r>
          </w:p>
        </w:tc>
      </w:tr>
      <w:tr w:rsidR="000215C5">
        <w:tc>
          <w:tcPr>
            <w:tcW w:w="1526" w:type="dxa"/>
          </w:tcPr>
          <w:p w:rsidR="000215C5" w:rsidRDefault="00703023">
            <w:pPr>
              <w:spacing w:after="0"/>
            </w:pPr>
            <w:r>
              <w:t>maxOccurs</w:t>
            </w:r>
          </w:p>
        </w:tc>
        <w:tc>
          <w:tcPr>
            <w:tcW w:w="7229" w:type="dxa"/>
          </w:tcPr>
          <w:p w:rsidR="000215C5" w:rsidRDefault="00703023">
            <w:pPr>
              <w:spacing w:after="0"/>
              <w:ind w:right="34"/>
            </w:pPr>
            <w:r>
              <w:t>Anger högsta antalet förekomster av en post i ett dokument. Om maxOccurs blir 0 ska mallposten inte förekomma. Om maxOccurs blir UNBOUNDED(-1) är antalet förekomster av mallposten obegränsat.</w:t>
            </w:r>
          </w:p>
        </w:tc>
      </w:tr>
      <w:tr w:rsidR="000215C5">
        <w:tc>
          <w:tcPr>
            <w:tcW w:w="1526" w:type="dxa"/>
          </w:tcPr>
          <w:p w:rsidR="000215C5" w:rsidRDefault="00703023">
            <w:pPr>
              <w:spacing w:after="0"/>
            </w:pPr>
            <w:r>
              <w:t>MEP</w:t>
            </w:r>
          </w:p>
        </w:tc>
        <w:tc>
          <w:tcPr>
            <w:tcW w:w="7229" w:type="dxa"/>
          </w:tcPr>
          <w:p w:rsidR="000215C5" w:rsidRDefault="00703023">
            <w:pPr>
              <w:spacing w:after="0"/>
              <w:ind w:right="34"/>
            </w:pPr>
            <w:r>
              <w:t>Maximal ekologisk potential</w:t>
            </w:r>
          </w:p>
        </w:tc>
      </w:tr>
      <w:tr w:rsidR="000215C5">
        <w:tc>
          <w:tcPr>
            <w:tcW w:w="1526" w:type="dxa"/>
          </w:tcPr>
          <w:p w:rsidR="000215C5" w:rsidRDefault="00703023">
            <w:pPr>
              <w:spacing w:after="0"/>
            </w:pPr>
            <w:r>
              <w:t>minOccurs</w:t>
            </w:r>
          </w:p>
        </w:tc>
        <w:tc>
          <w:tcPr>
            <w:tcW w:w="7229" w:type="dxa"/>
          </w:tcPr>
          <w:p w:rsidR="000215C5" w:rsidRDefault="00703023">
            <w:pPr>
              <w:spacing w:after="0"/>
              <w:ind w:right="34"/>
            </w:pPr>
            <w:r>
              <w:t>Minsta antal förekomster av en post i ett dokument. Ett värde på noll anger att posten är valfri.</w:t>
            </w:r>
          </w:p>
        </w:tc>
      </w:tr>
      <w:tr w:rsidR="000215C5">
        <w:tc>
          <w:tcPr>
            <w:tcW w:w="1526" w:type="dxa"/>
          </w:tcPr>
          <w:p w:rsidR="000215C5" w:rsidRDefault="00703023">
            <w:pPr>
              <w:spacing w:after="0"/>
            </w:pPr>
            <w:r>
              <w:t>MS</w:t>
            </w:r>
          </w:p>
        </w:tc>
        <w:tc>
          <w:tcPr>
            <w:tcW w:w="7229" w:type="dxa"/>
          </w:tcPr>
          <w:p w:rsidR="000215C5" w:rsidRDefault="00703023">
            <w:pPr>
              <w:spacing w:after="0"/>
              <w:ind w:right="34"/>
            </w:pPr>
            <w:r>
              <w:t>Medlemsstat</w:t>
            </w:r>
          </w:p>
        </w:tc>
      </w:tr>
      <w:tr w:rsidR="000215C5">
        <w:tc>
          <w:tcPr>
            <w:tcW w:w="1526" w:type="dxa"/>
          </w:tcPr>
          <w:p w:rsidR="000215C5" w:rsidRDefault="00703023">
            <w:pPr>
              <w:spacing w:after="0"/>
            </w:pPr>
            <w:r>
              <w:t>MSFD</w:t>
            </w:r>
          </w:p>
        </w:tc>
        <w:tc>
          <w:tcPr>
            <w:tcW w:w="7229" w:type="dxa"/>
          </w:tcPr>
          <w:p w:rsidR="000215C5" w:rsidRDefault="00703023">
            <w:pPr>
              <w:spacing w:after="0"/>
              <w:ind w:right="34"/>
            </w:pPr>
            <w:r>
              <w:t>Ramdirektivet om en marin strategi</w:t>
            </w:r>
          </w:p>
        </w:tc>
      </w:tr>
      <w:tr w:rsidR="000215C5">
        <w:tc>
          <w:tcPr>
            <w:tcW w:w="1526" w:type="dxa"/>
          </w:tcPr>
          <w:p w:rsidR="000215C5" w:rsidRDefault="00703023">
            <w:pPr>
              <w:spacing w:after="0"/>
            </w:pPr>
            <w:r>
              <w:t>NBL</w:t>
            </w:r>
          </w:p>
        </w:tc>
        <w:tc>
          <w:tcPr>
            <w:tcW w:w="7229" w:type="dxa"/>
          </w:tcPr>
          <w:p w:rsidR="000215C5" w:rsidRDefault="00703023">
            <w:pPr>
              <w:spacing w:after="0"/>
              <w:ind w:right="34"/>
            </w:pPr>
            <w:r>
              <w:t>Naturliga bakgrundsnivåer</w:t>
            </w:r>
          </w:p>
        </w:tc>
      </w:tr>
      <w:tr w:rsidR="000215C5">
        <w:tc>
          <w:tcPr>
            <w:tcW w:w="1526" w:type="dxa"/>
          </w:tcPr>
          <w:p w:rsidR="000215C5" w:rsidRDefault="00703023">
            <w:pPr>
              <w:spacing w:after="0"/>
            </w:pPr>
            <w:r>
              <w:t>NiD</w:t>
            </w:r>
          </w:p>
        </w:tc>
        <w:tc>
          <w:tcPr>
            <w:tcW w:w="7229" w:type="dxa"/>
          </w:tcPr>
          <w:p w:rsidR="000215C5" w:rsidRDefault="00703023">
            <w:pPr>
              <w:spacing w:after="0"/>
              <w:ind w:right="34"/>
            </w:pPr>
            <w:r>
              <w:t>Nitratdirektivet</w:t>
            </w:r>
          </w:p>
        </w:tc>
      </w:tr>
      <w:tr w:rsidR="000215C5">
        <w:tc>
          <w:tcPr>
            <w:tcW w:w="1526" w:type="dxa"/>
          </w:tcPr>
          <w:p w:rsidR="000215C5" w:rsidRDefault="00703023">
            <w:pPr>
              <w:spacing w:after="0"/>
            </w:pPr>
            <w:r>
              <w:t>NWRM</w:t>
            </w:r>
          </w:p>
        </w:tc>
        <w:tc>
          <w:tcPr>
            <w:tcW w:w="7229" w:type="dxa"/>
          </w:tcPr>
          <w:p w:rsidR="000215C5" w:rsidRDefault="00703023">
            <w:pPr>
              <w:spacing w:after="0"/>
              <w:ind w:right="34"/>
            </w:pPr>
            <w:r>
              <w:t>Åtgärder för naturlig vattenupptagning</w:t>
            </w:r>
          </w:p>
        </w:tc>
      </w:tr>
      <w:tr w:rsidR="000215C5">
        <w:tc>
          <w:tcPr>
            <w:tcW w:w="1526" w:type="dxa"/>
          </w:tcPr>
          <w:p w:rsidR="000215C5" w:rsidRDefault="00703023">
            <w:pPr>
              <w:spacing w:after="0"/>
            </w:pPr>
            <w:r>
              <w:t>PoM</w:t>
            </w:r>
          </w:p>
        </w:tc>
        <w:tc>
          <w:tcPr>
            <w:tcW w:w="7229" w:type="dxa"/>
          </w:tcPr>
          <w:p w:rsidR="000215C5" w:rsidRDefault="00703023">
            <w:pPr>
              <w:spacing w:after="0"/>
              <w:ind w:right="34"/>
            </w:pPr>
            <w:r>
              <w:t>Åtgärdsprogram</w:t>
            </w:r>
          </w:p>
        </w:tc>
      </w:tr>
      <w:tr w:rsidR="000215C5">
        <w:tc>
          <w:tcPr>
            <w:tcW w:w="1526" w:type="dxa"/>
          </w:tcPr>
          <w:p w:rsidR="000215C5" w:rsidRDefault="00703023">
            <w:pPr>
              <w:spacing w:after="0"/>
            </w:pPr>
            <w:r>
              <w:t>QE</w:t>
            </w:r>
          </w:p>
        </w:tc>
        <w:tc>
          <w:tcPr>
            <w:tcW w:w="7229" w:type="dxa"/>
          </w:tcPr>
          <w:p w:rsidR="000215C5" w:rsidRDefault="00703023">
            <w:pPr>
              <w:spacing w:after="0"/>
              <w:ind w:right="34"/>
            </w:pPr>
            <w:r>
              <w:t>Kvalitetsfaktor</w:t>
            </w:r>
          </w:p>
        </w:tc>
      </w:tr>
      <w:tr w:rsidR="000215C5">
        <w:tc>
          <w:tcPr>
            <w:tcW w:w="1526" w:type="dxa"/>
          </w:tcPr>
          <w:p w:rsidR="000215C5" w:rsidRDefault="00703023">
            <w:pPr>
              <w:spacing w:after="0"/>
            </w:pPr>
            <w:r>
              <w:t>RBD</w:t>
            </w:r>
          </w:p>
        </w:tc>
        <w:tc>
          <w:tcPr>
            <w:tcW w:w="7229" w:type="dxa"/>
          </w:tcPr>
          <w:p w:rsidR="000215C5" w:rsidRDefault="00703023">
            <w:pPr>
              <w:spacing w:after="0"/>
              <w:ind w:right="34"/>
            </w:pPr>
            <w:r>
              <w:t>Avrinningsdistrikt</w:t>
            </w:r>
          </w:p>
        </w:tc>
      </w:tr>
      <w:tr w:rsidR="000215C5" w:rsidRPr="00D95552">
        <w:tc>
          <w:tcPr>
            <w:tcW w:w="1526" w:type="dxa"/>
          </w:tcPr>
          <w:p w:rsidR="000215C5" w:rsidRDefault="00703023">
            <w:pPr>
              <w:spacing w:after="0"/>
            </w:pPr>
            <w:r>
              <w:t>RBDSUCA</w:t>
            </w:r>
          </w:p>
        </w:tc>
        <w:tc>
          <w:tcPr>
            <w:tcW w:w="7229" w:type="dxa"/>
          </w:tcPr>
          <w:p w:rsidR="000215C5" w:rsidRPr="008D6A99" w:rsidRDefault="00703023">
            <w:pPr>
              <w:spacing w:after="0"/>
              <w:ind w:right="34"/>
              <w:rPr>
                <w:lang w:val="en-GB"/>
              </w:rPr>
            </w:pPr>
            <w:r w:rsidRPr="008D6A99">
              <w:rPr>
                <w:lang w:val="en-GB"/>
              </w:rPr>
              <w:t>River Basin District Sub Unit Competent Authority (titel på en mall)</w:t>
            </w:r>
          </w:p>
        </w:tc>
      </w:tr>
      <w:tr w:rsidR="000215C5">
        <w:tc>
          <w:tcPr>
            <w:tcW w:w="1526" w:type="dxa"/>
          </w:tcPr>
          <w:p w:rsidR="000215C5" w:rsidRDefault="00703023">
            <w:pPr>
              <w:spacing w:after="0"/>
            </w:pPr>
            <w:r>
              <w:t>RBMP</w:t>
            </w:r>
          </w:p>
        </w:tc>
        <w:tc>
          <w:tcPr>
            <w:tcW w:w="7229" w:type="dxa"/>
          </w:tcPr>
          <w:p w:rsidR="000215C5" w:rsidRDefault="00703023">
            <w:pPr>
              <w:spacing w:after="0"/>
              <w:ind w:right="34"/>
            </w:pPr>
            <w:r>
              <w:t>Förvaltningsplan för avrinningsdistrikt</w:t>
            </w:r>
          </w:p>
        </w:tc>
      </w:tr>
      <w:tr w:rsidR="000215C5">
        <w:tc>
          <w:tcPr>
            <w:tcW w:w="1526" w:type="dxa"/>
          </w:tcPr>
          <w:p w:rsidR="000215C5" w:rsidRDefault="00703023">
            <w:pPr>
              <w:spacing w:after="0"/>
            </w:pPr>
            <w:r>
              <w:t>RBMPPoM</w:t>
            </w:r>
          </w:p>
        </w:tc>
        <w:tc>
          <w:tcPr>
            <w:tcW w:w="7229" w:type="dxa"/>
          </w:tcPr>
          <w:p w:rsidR="000215C5" w:rsidRDefault="00703023">
            <w:pPr>
              <w:spacing w:after="0"/>
              <w:ind w:right="34"/>
            </w:pPr>
            <w:r>
              <w:t>Riber Basin Management Plan Programme of Measures (titel på en mall)</w:t>
            </w:r>
          </w:p>
        </w:tc>
      </w:tr>
      <w:tr w:rsidR="000215C5">
        <w:tc>
          <w:tcPr>
            <w:tcW w:w="1526" w:type="dxa"/>
          </w:tcPr>
          <w:p w:rsidR="000215C5" w:rsidRDefault="00703023">
            <w:pPr>
              <w:spacing w:after="0"/>
            </w:pPr>
            <w:r>
              <w:t>RBSP</w:t>
            </w:r>
          </w:p>
        </w:tc>
        <w:tc>
          <w:tcPr>
            <w:tcW w:w="7229" w:type="dxa"/>
          </w:tcPr>
          <w:p w:rsidR="000215C5" w:rsidRDefault="00703023">
            <w:pPr>
              <w:spacing w:after="0"/>
              <w:ind w:right="34"/>
            </w:pPr>
            <w:r>
              <w:t>Särskilt förorenande ämne för avrinningsdistrikt</w:t>
            </w:r>
          </w:p>
        </w:tc>
      </w:tr>
      <w:tr w:rsidR="000215C5">
        <w:tc>
          <w:tcPr>
            <w:tcW w:w="1526" w:type="dxa"/>
          </w:tcPr>
          <w:p w:rsidR="000215C5" w:rsidRDefault="00703023">
            <w:pPr>
              <w:spacing w:after="0"/>
            </w:pPr>
            <w:r>
              <w:t>ROD</w:t>
            </w:r>
          </w:p>
        </w:tc>
        <w:tc>
          <w:tcPr>
            <w:tcW w:w="7229" w:type="dxa"/>
          </w:tcPr>
          <w:p w:rsidR="000215C5" w:rsidRDefault="00703023">
            <w:pPr>
              <w:spacing w:after="0"/>
              <w:ind w:right="34"/>
            </w:pPr>
            <w:r>
              <w:t>Reporting Obligations Database</w:t>
            </w:r>
          </w:p>
        </w:tc>
      </w:tr>
      <w:tr w:rsidR="000215C5">
        <w:tc>
          <w:tcPr>
            <w:tcW w:w="1526" w:type="dxa"/>
          </w:tcPr>
          <w:p w:rsidR="000215C5" w:rsidRDefault="00703023">
            <w:pPr>
              <w:spacing w:after="0"/>
            </w:pPr>
            <w:r>
              <w:t>RPA</w:t>
            </w:r>
          </w:p>
        </w:tc>
        <w:tc>
          <w:tcPr>
            <w:tcW w:w="7229" w:type="dxa"/>
          </w:tcPr>
          <w:p w:rsidR="000215C5" w:rsidRDefault="00703023">
            <w:pPr>
              <w:spacing w:after="0"/>
              <w:ind w:right="34"/>
            </w:pPr>
            <w:r>
              <w:t>Pathway Oriented Approach</w:t>
            </w:r>
          </w:p>
        </w:tc>
      </w:tr>
      <w:tr w:rsidR="000215C5">
        <w:tc>
          <w:tcPr>
            <w:tcW w:w="1526" w:type="dxa"/>
          </w:tcPr>
          <w:p w:rsidR="000215C5" w:rsidRDefault="00703023">
            <w:pPr>
              <w:spacing w:after="0"/>
            </w:pPr>
            <w:r>
              <w:t>RW</w:t>
            </w:r>
          </w:p>
        </w:tc>
        <w:tc>
          <w:tcPr>
            <w:tcW w:w="7229" w:type="dxa"/>
          </w:tcPr>
          <w:p w:rsidR="000215C5" w:rsidRDefault="00703023">
            <w:pPr>
              <w:spacing w:after="0"/>
              <w:ind w:right="34"/>
            </w:pPr>
            <w:r>
              <w:t>Flod (när det gäller en vattenförekomst)</w:t>
            </w:r>
          </w:p>
        </w:tc>
      </w:tr>
      <w:tr w:rsidR="000215C5">
        <w:tc>
          <w:tcPr>
            <w:tcW w:w="1526" w:type="dxa"/>
          </w:tcPr>
          <w:p w:rsidR="000215C5" w:rsidRDefault="00703023">
            <w:pPr>
              <w:spacing w:after="0"/>
            </w:pPr>
            <w:r>
              <w:t>SCG</w:t>
            </w:r>
          </w:p>
        </w:tc>
        <w:tc>
          <w:tcPr>
            <w:tcW w:w="7229" w:type="dxa"/>
          </w:tcPr>
          <w:p w:rsidR="000215C5" w:rsidRDefault="00703023">
            <w:pPr>
              <w:spacing w:after="0"/>
              <w:ind w:right="34"/>
            </w:pPr>
            <w:r>
              <w:t>Strategisk samordningsgrupp</w:t>
            </w:r>
          </w:p>
        </w:tc>
      </w:tr>
      <w:tr w:rsidR="000215C5">
        <w:tc>
          <w:tcPr>
            <w:tcW w:w="1526" w:type="dxa"/>
          </w:tcPr>
          <w:p w:rsidR="000215C5" w:rsidRDefault="00703023">
            <w:pPr>
              <w:spacing w:after="0"/>
            </w:pPr>
            <w:r>
              <w:t>Seis</w:t>
            </w:r>
          </w:p>
        </w:tc>
        <w:tc>
          <w:tcPr>
            <w:tcW w:w="7229" w:type="dxa"/>
          </w:tcPr>
          <w:p w:rsidR="000215C5" w:rsidRDefault="00703023">
            <w:pPr>
              <w:spacing w:after="0"/>
              <w:ind w:right="34"/>
            </w:pPr>
            <w:r>
              <w:t>Gemensamt miljöinformationssystem</w:t>
            </w:r>
          </w:p>
        </w:tc>
      </w:tr>
      <w:tr w:rsidR="000215C5">
        <w:tc>
          <w:tcPr>
            <w:tcW w:w="1526" w:type="dxa"/>
          </w:tcPr>
          <w:p w:rsidR="000215C5" w:rsidRDefault="00703023">
            <w:pPr>
              <w:spacing w:after="0"/>
            </w:pPr>
            <w:r>
              <w:t>SFA</w:t>
            </w:r>
          </w:p>
        </w:tc>
        <w:tc>
          <w:tcPr>
            <w:tcW w:w="7229" w:type="dxa"/>
          </w:tcPr>
          <w:p w:rsidR="000215C5" w:rsidRDefault="00703023">
            <w:pPr>
              <w:spacing w:after="0"/>
              <w:ind w:right="34"/>
            </w:pPr>
            <w:r>
              <w:t>Ämnesflödesanalys (Substance Flow Analysis)</w:t>
            </w:r>
          </w:p>
        </w:tc>
      </w:tr>
      <w:tr w:rsidR="000215C5">
        <w:tc>
          <w:tcPr>
            <w:tcW w:w="1526" w:type="dxa"/>
          </w:tcPr>
          <w:p w:rsidR="000215C5" w:rsidRDefault="00703023">
            <w:pPr>
              <w:spacing w:after="0"/>
            </w:pPr>
            <w:r>
              <w:t>SIIF</w:t>
            </w:r>
          </w:p>
        </w:tc>
        <w:tc>
          <w:tcPr>
            <w:tcW w:w="7229" w:type="dxa"/>
          </w:tcPr>
          <w:p w:rsidR="000215C5" w:rsidRDefault="00703023">
            <w:pPr>
              <w:spacing w:after="0"/>
              <w:ind w:right="34"/>
            </w:pPr>
            <w:r>
              <w:t>Strukturerad genomförande- och informationsram</w:t>
            </w:r>
          </w:p>
        </w:tc>
      </w:tr>
      <w:tr w:rsidR="000215C5">
        <w:tc>
          <w:tcPr>
            <w:tcW w:w="1526" w:type="dxa"/>
          </w:tcPr>
          <w:p w:rsidR="000215C5" w:rsidRDefault="00703023">
            <w:pPr>
              <w:spacing w:after="0"/>
            </w:pPr>
            <w:r>
              <w:t>SoE</w:t>
            </w:r>
          </w:p>
        </w:tc>
        <w:tc>
          <w:tcPr>
            <w:tcW w:w="7229" w:type="dxa"/>
          </w:tcPr>
          <w:p w:rsidR="000215C5" w:rsidRDefault="00703023">
            <w:pPr>
              <w:spacing w:after="0"/>
              <w:ind w:right="34"/>
            </w:pPr>
            <w:r>
              <w:t>Miljöns tillstånd</w:t>
            </w:r>
          </w:p>
        </w:tc>
      </w:tr>
      <w:tr w:rsidR="000215C5">
        <w:tc>
          <w:tcPr>
            <w:tcW w:w="1526" w:type="dxa"/>
          </w:tcPr>
          <w:p w:rsidR="000215C5" w:rsidRDefault="00703023">
            <w:pPr>
              <w:spacing w:after="0"/>
            </w:pPr>
            <w:r>
              <w:t>SOER</w:t>
            </w:r>
          </w:p>
        </w:tc>
        <w:tc>
          <w:tcPr>
            <w:tcW w:w="7229" w:type="dxa"/>
          </w:tcPr>
          <w:p w:rsidR="000215C5" w:rsidRDefault="00703023">
            <w:pPr>
              <w:spacing w:after="0"/>
              <w:ind w:right="34"/>
            </w:pPr>
            <w:r>
              <w:t>Rapport om miljötillståndet</w:t>
            </w:r>
          </w:p>
        </w:tc>
      </w:tr>
      <w:tr w:rsidR="000215C5">
        <w:tc>
          <w:tcPr>
            <w:tcW w:w="1526" w:type="dxa"/>
          </w:tcPr>
          <w:p w:rsidR="000215C5" w:rsidRDefault="00703023">
            <w:pPr>
              <w:spacing w:after="0"/>
            </w:pPr>
            <w:r>
              <w:t>SU</w:t>
            </w:r>
          </w:p>
        </w:tc>
        <w:tc>
          <w:tcPr>
            <w:tcW w:w="7229" w:type="dxa"/>
          </w:tcPr>
          <w:p w:rsidR="000215C5" w:rsidRDefault="00703023">
            <w:pPr>
              <w:spacing w:after="0"/>
              <w:ind w:right="34"/>
            </w:pPr>
            <w:r>
              <w:t>Delavrinningsdistrikt</w:t>
            </w:r>
          </w:p>
        </w:tc>
      </w:tr>
      <w:tr w:rsidR="000215C5">
        <w:tc>
          <w:tcPr>
            <w:tcW w:w="1526" w:type="dxa"/>
          </w:tcPr>
          <w:p w:rsidR="000215C5" w:rsidRDefault="00703023">
            <w:pPr>
              <w:spacing w:after="0"/>
            </w:pPr>
            <w:r>
              <w:t>SWB</w:t>
            </w:r>
          </w:p>
        </w:tc>
        <w:tc>
          <w:tcPr>
            <w:tcW w:w="7229" w:type="dxa"/>
          </w:tcPr>
          <w:p w:rsidR="000215C5" w:rsidRDefault="00703023">
            <w:pPr>
              <w:spacing w:after="0"/>
              <w:ind w:right="34"/>
            </w:pPr>
            <w:r>
              <w:t>Ytvattenförekomst</w:t>
            </w:r>
          </w:p>
        </w:tc>
      </w:tr>
      <w:tr w:rsidR="000215C5">
        <w:tc>
          <w:tcPr>
            <w:tcW w:w="1526" w:type="dxa"/>
          </w:tcPr>
          <w:p w:rsidR="000215C5" w:rsidRDefault="00703023">
            <w:pPr>
              <w:spacing w:after="0"/>
            </w:pPr>
            <w:r>
              <w:t>SWD</w:t>
            </w:r>
          </w:p>
        </w:tc>
        <w:tc>
          <w:tcPr>
            <w:tcW w:w="7229" w:type="dxa"/>
          </w:tcPr>
          <w:p w:rsidR="000215C5" w:rsidRDefault="00703023">
            <w:pPr>
              <w:spacing w:after="0"/>
              <w:ind w:right="34"/>
            </w:pPr>
            <w:r>
              <w:t>Arbetsdokument</w:t>
            </w:r>
          </w:p>
        </w:tc>
      </w:tr>
      <w:tr w:rsidR="000215C5">
        <w:tc>
          <w:tcPr>
            <w:tcW w:w="1526" w:type="dxa"/>
          </w:tcPr>
          <w:p w:rsidR="000215C5" w:rsidRDefault="00703023">
            <w:pPr>
              <w:spacing w:after="0"/>
            </w:pPr>
            <w:r>
              <w:t>SWMET</w:t>
            </w:r>
          </w:p>
        </w:tc>
        <w:tc>
          <w:tcPr>
            <w:tcW w:w="7229" w:type="dxa"/>
          </w:tcPr>
          <w:p w:rsidR="000215C5" w:rsidRDefault="00703023">
            <w:pPr>
              <w:spacing w:after="0"/>
              <w:ind w:right="34"/>
            </w:pPr>
            <w:r>
              <w:t>Surface Water Methodologies (titel på en mall)</w:t>
            </w:r>
          </w:p>
        </w:tc>
      </w:tr>
      <w:tr w:rsidR="000215C5">
        <w:tc>
          <w:tcPr>
            <w:tcW w:w="1526" w:type="dxa"/>
          </w:tcPr>
          <w:p w:rsidR="000215C5" w:rsidRDefault="00703023">
            <w:pPr>
              <w:spacing w:after="0"/>
            </w:pPr>
            <w:r>
              <w:t>TeW</w:t>
            </w:r>
          </w:p>
        </w:tc>
        <w:tc>
          <w:tcPr>
            <w:tcW w:w="7229" w:type="dxa"/>
          </w:tcPr>
          <w:p w:rsidR="000215C5" w:rsidRDefault="00703023">
            <w:pPr>
              <w:spacing w:after="0"/>
              <w:ind w:right="34"/>
            </w:pPr>
            <w:r>
              <w:t>Territorialvatten (när det gäller en vattenförekomst)</w:t>
            </w:r>
          </w:p>
        </w:tc>
      </w:tr>
      <w:tr w:rsidR="000215C5">
        <w:tc>
          <w:tcPr>
            <w:tcW w:w="1526" w:type="dxa"/>
          </w:tcPr>
          <w:p w:rsidR="000215C5" w:rsidRDefault="00703023">
            <w:pPr>
              <w:spacing w:after="0"/>
            </w:pPr>
            <w:r>
              <w:t>TG</w:t>
            </w:r>
          </w:p>
        </w:tc>
        <w:tc>
          <w:tcPr>
            <w:tcW w:w="7229" w:type="dxa"/>
          </w:tcPr>
          <w:p w:rsidR="000215C5" w:rsidRDefault="00703023">
            <w:pPr>
              <w:spacing w:after="0"/>
              <w:ind w:right="34"/>
            </w:pPr>
            <w:r>
              <w:t>Teknisk riktlinje</w:t>
            </w:r>
          </w:p>
        </w:tc>
      </w:tr>
      <w:tr w:rsidR="000215C5">
        <w:tc>
          <w:tcPr>
            <w:tcW w:w="1526" w:type="dxa"/>
          </w:tcPr>
          <w:p w:rsidR="000215C5" w:rsidRDefault="00703023">
            <w:pPr>
              <w:spacing w:after="0"/>
            </w:pPr>
            <w:r>
              <w:t>TW</w:t>
            </w:r>
          </w:p>
        </w:tc>
        <w:tc>
          <w:tcPr>
            <w:tcW w:w="7229" w:type="dxa"/>
          </w:tcPr>
          <w:p w:rsidR="000215C5" w:rsidRDefault="00703023">
            <w:pPr>
              <w:spacing w:after="0"/>
              <w:ind w:right="34"/>
            </w:pPr>
            <w:r>
              <w:t>Vatten i övergångszon (när det gäller en vattenförekomst)</w:t>
            </w:r>
          </w:p>
        </w:tc>
      </w:tr>
      <w:tr w:rsidR="000215C5">
        <w:tc>
          <w:tcPr>
            <w:tcW w:w="1526" w:type="dxa"/>
          </w:tcPr>
          <w:p w:rsidR="000215C5" w:rsidRDefault="00703023">
            <w:pPr>
              <w:spacing w:after="0"/>
            </w:pPr>
            <w:r>
              <w:t>UML</w:t>
            </w:r>
          </w:p>
        </w:tc>
        <w:tc>
          <w:tcPr>
            <w:tcW w:w="7229" w:type="dxa"/>
          </w:tcPr>
          <w:p w:rsidR="000215C5" w:rsidRDefault="00703023">
            <w:pPr>
              <w:spacing w:after="0"/>
              <w:ind w:right="34"/>
            </w:pPr>
            <w:r>
              <w:t>Unified Modelling Language</w:t>
            </w:r>
          </w:p>
        </w:tc>
      </w:tr>
      <w:tr w:rsidR="000215C5">
        <w:tc>
          <w:tcPr>
            <w:tcW w:w="1526" w:type="dxa"/>
          </w:tcPr>
          <w:p w:rsidR="000215C5" w:rsidRDefault="00703023">
            <w:pPr>
              <w:spacing w:after="0"/>
            </w:pPr>
            <w:r>
              <w:t>URIs</w:t>
            </w:r>
          </w:p>
        </w:tc>
        <w:tc>
          <w:tcPr>
            <w:tcW w:w="7229" w:type="dxa"/>
          </w:tcPr>
          <w:p w:rsidR="000215C5" w:rsidRDefault="00703023">
            <w:pPr>
              <w:spacing w:after="0"/>
              <w:ind w:right="34"/>
            </w:pPr>
            <w:r>
              <w:t>Uniform Resource Identifiers</w:t>
            </w:r>
          </w:p>
        </w:tc>
      </w:tr>
      <w:tr w:rsidR="000215C5">
        <w:tc>
          <w:tcPr>
            <w:tcW w:w="1526" w:type="dxa"/>
          </w:tcPr>
          <w:p w:rsidR="000215C5" w:rsidRDefault="00703023">
            <w:pPr>
              <w:spacing w:after="0"/>
            </w:pPr>
            <w:r>
              <w:t>URL</w:t>
            </w:r>
          </w:p>
        </w:tc>
        <w:tc>
          <w:tcPr>
            <w:tcW w:w="7229" w:type="dxa"/>
          </w:tcPr>
          <w:p w:rsidR="000215C5" w:rsidRDefault="00703023">
            <w:pPr>
              <w:spacing w:after="0"/>
              <w:ind w:right="34"/>
            </w:pPr>
            <w:r>
              <w:t>Uniform Resource Locator</w:t>
            </w:r>
          </w:p>
        </w:tc>
      </w:tr>
      <w:tr w:rsidR="000215C5">
        <w:tc>
          <w:tcPr>
            <w:tcW w:w="1526" w:type="dxa"/>
          </w:tcPr>
          <w:p w:rsidR="000215C5" w:rsidRDefault="00703023">
            <w:pPr>
              <w:spacing w:after="0"/>
            </w:pPr>
            <w:r>
              <w:t>UWWT</w:t>
            </w:r>
          </w:p>
        </w:tc>
        <w:tc>
          <w:tcPr>
            <w:tcW w:w="7229" w:type="dxa"/>
          </w:tcPr>
          <w:p w:rsidR="000215C5" w:rsidRDefault="00703023">
            <w:pPr>
              <w:spacing w:after="0"/>
              <w:ind w:right="34"/>
            </w:pPr>
            <w:r>
              <w:t>Direktivet om rening av avloppsvatten från tätbebyggelse</w:t>
            </w:r>
          </w:p>
        </w:tc>
      </w:tr>
      <w:tr w:rsidR="000215C5">
        <w:tc>
          <w:tcPr>
            <w:tcW w:w="1526" w:type="dxa"/>
          </w:tcPr>
          <w:p w:rsidR="000215C5" w:rsidRDefault="00703023">
            <w:pPr>
              <w:spacing w:after="0"/>
            </w:pPr>
            <w:r>
              <w:t>WB</w:t>
            </w:r>
          </w:p>
        </w:tc>
        <w:tc>
          <w:tcPr>
            <w:tcW w:w="7229" w:type="dxa"/>
          </w:tcPr>
          <w:p w:rsidR="000215C5" w:rsidRDefault="00703023">
            <w:pPr>
              <w:spacing w:after="0"/>
              <w:ind w:right="34"/>
            </w:pPr>
            <w:r>
              <w:t>Vattenförekomst</w:t>
            </w:r>
          </w:p>
        </w:tc>
      </w:tr>
      <w:tr w:rsidR="000215C5">
        <w:tc>
          <w:tcPr>
            <w:tcW w:w="1526" w:type="dxa"/>
          </w:tcPr>
          <w:p w:rsidR="000215C5" w:rsidRDefault="00703023">
            <w:pPr>
              <w:spacing w:after="0"/>
            </w:pPr>
            <w:r>
              <w:t>WEI+</w:t>
            </w:r>
          </w:p>
        </w:tc>
        <w:tc>
          <w:tcPr>
            <w:tcW w:w="7229" w:type="dxa"/>
          </w:tcPr>
          <w:p w:rsidR="000215C5" w:rsidRDefault="00703023">
            <w:pPr>
              <w:spacing w:after="0"/>
              <w:ind w:right="34"/>
            </w:pPr>
            <w:r>
              <w:t>Vattenexploateringsindex plus</w:t>
            </w:r>
          </w:p>
        </w:tc>
      </w:tr>
      <w:tr w:rsidR="000215C5">
        <w:tc>
          <w:tcPr>
            <w:tcW w:w="1526" w:type="dxa"/>
          </w:tcPr>
          <w:p w:rsidR="000215C5" w:rsidRDefault="00703023">
            <w:pPr>
              <w:spacing w:after="0"/>
            </w:pPr>
            <w:r>
              <w:t>WFD</w:t>
            </w:r>
          </w:p>
        </w:tc>
        <w:tc>
          <w:tcPr>
            <w:tcW w:w="7229" w:type="dxa"/>
          </w:tcPr>
          <w:p w:rsidR="000215C5" w:rsidRDefault="00703023">
            <w:pPr>
              <w:spacing w:after="0"/>
              <w:ind w:right="34"/>
            </w:pPr>
            <w:r>
              <w:t>Ramdirektivet för vatten</w:t>
            </w:r>
          </w:p>
        </w:tc>
      </w:tr>
      <w:tr w:rsidR="000215C5" w:rsidRPr="00D95552">
        <w:tc>
          <w:tcPr>
            <w:tcW w:w="1526" w:type="dxa"/>
          </w:tcPr>
          <w:p w:rsidR="000215C5" w:rsidRDefault="00703023">
            <w:pPr>
              <w:spacing w:after="0"/>
            </w:pPr>
            <w:r>
              <w:t>WG DIS</w:t>
            </w:r>
          </w:p>
        </w:tc>
        <w:tc>
          <w:tcPr>
            <w:tcW w:w="7229" w:type="dxa"/>
          </w:tcPr>
          <w:p w:rsidR="000215C5" w:rsidRPr="008D6A99" w:rsidRDefault="00703023">
            <w:pPr>
              <w:spacing w:after="0"/>
              <w:ind w:right="34"/>
              <w:rPr>
                <w:lang w:val="en-GB"/>
              </w:rPr>
            </w:pPr>
            <w:r w:rsidRPr="008D6A99">
              <w:rPr>
                <w:lang w:val="en-GB"/>
              </w:rPr>
              <w:t>CIS Working Group on Data and Information Sharing</w:t>
            </w:r>
          </w:p>
        </w:tc>
      </w:tr>
      <w:tr w:rsidR="000215C5">
        <w:tc>
          <w:tcPr>
            <w:tcW w:w="1526" w:type="dxa"/>
          </w:tcPr>
          <w:p w:rsidR="000215C5" w:rsidRDefault="00703023">
            <w:pPr>
              <w:spacing w:after="0"/>
            </w:pPr>
            <w:r>
              <w:t>Wise</w:t>
            </w:r>
          </w:p>
        </w:tc>
        <w:tc>
          <w:tcPr>
            <w:tcW w:w="7229" w:type="dxa"/>
          </w:tcPr>
          <w:p w:rsidR="000215C5" w:rsidRDefault="00703023">
            <w:pPr>
              <w:spacing w:after="0"/>
              <w:ind w:right="34"/>
            </w:pPr>
            <w:r>
              <w:t>Vatteninformationssystemet för Europa</w:t>
            </w:r>
          </w:p>
        </w:tc>
      </w:tr>
      <w:tr w:rsidR="000215C5">
        <w:tc>
          <w:tcPr>
            <w:tcW w:w="1526" w:type="dxa"/>
          </w:tcPr>
          <w:p w:rsidR="000215C5" w:rsidRDefault="00703023">
            <w:pPr>
              <w:spacing w:after="0"/>
            </w:pPr>
            <w:r>
              <w:t>Wise-SoE</w:t>
            </w:r>
          </w:p>
        </w:tc>
        <w:tc>
          <w:tcPr>
            <w:tcW w:w="7229" w:type="dxa"/>
          </w:tcPr>
          <w:p w:rsidR="000215C5" w:rsidRDefault="00703023">
            <w:pPr>
              <w:spacing w:after="0"/>
              <w:ind w:right="34"/>
            </w:pPr>
            <w:r>
              <w:t>Flödet av uppgifter om miljötillståndet till vatteninformationssystemet för Europa</w:t>
            </w:r>
          </w:p>
        </w:tc>
      </w:tr>
      <w:tr w:rsidR="000215C5">
        <w:tc>
          <w:tcPr>
            <w:tcW w:w="1526" w:type="dxa"/>
          </w:tcPr>
          <w:p w:rsidR="000215C5" w:rsidRDefault="00703023">
            <w:pPr>
              <w:spacing w:after="0"/>
            </w:pPr>
            <w:r>
              <w:t>WP</w:t>
            </w:r>
          </w:p>
        </w:tc>
        <w:tc>
          <w:tcPr>
            <w:tcW w:w="7229" w:type="dxa"/>
          </w:tcPr>
          <w:p w:rsidR="000215C5" w:rsidRDefault="00703023">
            <w:pPr>
              <w:spacing w:after="0"/>
              <w:ind w:right="34"/>
            </w:pPr>
            <w:r>
              <w:t>Arbetsprogram</w:t>
            </w:r>
          </w:p>
        </w:tc>
      </w:tr>
      <w:tr w:rsidR="000215C5">
        <w:tc>
          <w:tcPr>
            <w:tcW w:w="1526" w:type="dxa"/>
          </w:tcPr>
          <w:p w:rsidR="000215C5" w:rsidRDefault="00703023">
            <w:pPr>
              <w:spacing w:after="0"/>
            </w:pPr>
            <w:r>
              <w:t>XML</w:t>
            </w:r>
          </w:p>
        </w:tc>
        <w:tc>
          <w:tcPr>
            <w:tcW w:w="7229" w:type="dxa"/>
          </w:tcPr>
          <w:p w:rsidR="000215C5" w:rsidRDefault="00703023">
            <w:pPr>
              <w:spacing w:after="0"/>
              <w:ind w:right="34"/>
            </w:pPr>
            <w:r>
              <w:t>Extensible Markup Language</w:t>
            </w:r>
          </w:p>
        </w:tc>
      </w:tr>
      <w:tr w:rsidR="000215C5">
        <w:tc>
          <w:tcPr>
            <w:tcW w:w="1526" w:type="dxa"/>
          </w:tcPr>
          <w:p w:rsidR="000215C5" w:rsidRDefault="00703023">
            <w:pPr>
              <w:spacing w:after="0"/>
            </w:pPr>
            <w:r>
              <w:t>XSD</w:t>
            </w:r>
          </w:p>
        </w:tc>
        <w:tc>
          <w:tcPr>
            <w:tcW w:w="7229" w:type="dxa"/>
          </w:tcPr>
          <w:p w:rsidR="000215C5" w:rsidRDefault="00703023">
            <w:pPr>
              <w:spacing w:after="0"/>
              <w:ind w:right="34"/>
            </w:pPr>
            <w:r>
              <w:t>XML Schema Definition</w:t>
            </w:r>
          </w:p>
        </w:tc>
      </w:tr>
    </w:tbl>
    <w:p w:rsidR="000215C5" w:rsidRDefault="000215C5">
      <w:pPr>
        <w:ind w:right="1699"/>
      </w:pPr>
    </w:p>
    <w:p w:rsidR="000215C5" w:rsidRDefault="00703023">
      <w:pPr>
        <w:pStyle w:val="Rubrik1"/>
        <w:jc w:val="both"/>
      </w:pPr>
      <w:r>
        <w:br w:type="page"/>
      </w:r>
      <w:bookmarkStart w:id="1" w:name="_Toc375220032"/>
      <w:bookmarkStart w:id="2" w:name="_Toc386464201"/>
      <w:bookmarkStart w:id="3" w:name="_Toc425522024"/>
      <w:bookmarkStart w:id="4" w:name="_Toc432666038"/>
      <w:bookmarkStart w:id="5" w:name="_Toc437520234"/>
      <w:r>
        <w:t>Inledning</w:t>
      </w:r>
      <w:bookmarkEnd w:id="1"/>
      <w:bookmarkEnd w:id="2"/>
      <w:bookmarkEnd w:id="3"/>
      <w:bookmarkEnd w:id="4"/>
      <w:bookmarkEnd w:id="5"/>
    </w:p>
    <w:p w:rsidR="000215C5" w:rsidRDefault="00703023">
      <w:pPr>
        <w:pStyle w:val="Rubrik2"/>
        <w:jc w:val="both"/>
      </w:pPr>
      <w:bookmarkStart w:id="6" w:name="_Toc375220033"/>
      <w:bookmarkStart w:id="7" w:name="_Ref384715253"/>
      <w:bookmarkStart w:id="8" w:name="_Toc386464202"/>
      <w:bookmarkStart w:id="9" w:name="_Toc425522025"/>
      <w:bookmarkStart w:id="10" w:name="_Toc432666039"/>
      <w:bookmarkStart w:id="11" w:name="_Toc437520235"/>
      <w:r>
        <w:t>Syftet</w:t>
      </w:r>
      <w:bookmarkEnd w:id="6"/>
      <w:r>
        <w:t xml:space="preserve"> med detta dokument</w:t>
      </w:r>
      <w:bookmarkEnd w:id="7"/>
      <w:bookmarkEnd w:id="8"/>
      <w:bookmarkEnd w:id="9"/>
      <w:bookmarkEnd w:id="10"/>
      <w:bookmarkEnd w:id="11"/>
    </w:p>
    <w:p w:rsidR="000215C5" w:rsidRDefault="00703023">
      <w:pPr>
        <w:jc w:val="both"/>
      </w:pPr>
      <w:r>
        <w:t>Syftet med detta dokument är att det ska fungera som en vägledning för medlemsstaterna om hur de ska rapportera till Europeiska kommissionen om de olika aspekterna av ramdirektivet för vatten. De olika delarna i befintliga vägledningar och annat material har samlats och uppdaterats till en enda gemensam vägledning om rapporteringen i samband med ramdirektivet för vatten, som kan användas av dem som ansvarar för rapportering av data och information. Förhoppningen är att vägledningen ska bidra till att rationalisera rapporteringsprocessen så att den blir effektivare och mer konsekvent. Processen kommer att förbättras ytterligare i och med att vägledningen översätts till samtliga EU-språk.</w:t>
      </w:r>
    </w:p>
    <w:p w:rsidR="000215C5" w:rsidRDefault="00703023">
      <w:pPr>
        <w:jc w:val="both"/>
      </w:pPr>
      <w:r>
        <w:t>Ramdirektivet för vatten antogs år 2000. Det byggde på EU:s befintliga vattenlagstiftning och införde nya och ambitiösa mål för att skapa ett mer heltäckande skydd av akvatiska ekosystem, med beaktande av vattnets betydelse för människors liv och den mänskliga utvecklingen. I och med vattendirektivet samlades de viktigaste principerna för integrerad förvaltning av avrinningsdistrikt i ett rättsligt bindande instrument:</w:t>
      </w:r>
    </w:p>
    <w:p w:rsidR="000215C5" w:rsidRDefault="00703023">
      <w:pPr>
        <w:pStyle w:val="ListNumber2Level4"/>
        <w:numPr>
          <w:ilvl w:val="0"/>
          <w:numId w:val="67"/>
        </w:numPr>
        <w:jc w:val="both"/>
      </w:pPr>
      <w:r>
        <w:t>Aktivt deltagande i planering och förvaltning av avrinningsdistrikt.</w:t>
      </w:r>
    </w:p>
    <w:p w:rsidR="000215C5" w:rsidRDefault="00703023">
      <w:pPr>
        <w:pStyle w:val="ListNumber2Level4"/>
        <w:numPr>
          <w:ilvl w:val="0"/>
          <w:numId w:val="67"/>
        </w:numPr>
        <w:jc w:val="both"/>
      </w:pPr>
      <w:r>
        <w:t>Övervägande av hela den hydrologiska cykeln och samtliga faktorer som påverkar den.</w:t>
      </w:r>
    </w:p>
    <w:p w:rsidR="000215C5" w:rsidRDefault="00703023">
      <w:pPr>
        <w:pStyle w:val="ListNumber2Level4"/>
        <w:numPr>
          <w:ilvl w:val="0"/>
          <w:numId w:val="67"/>
        </w:numPr>
        <w:jc w:val="both"/>
      </w:pPr>
      <w:r>
        <w:t>Integration av ekonomiska och ekologiska perspektiv i vattenförvaltningen.</w:t>
      </w:r>
    </w:p>
    <w:p w:rsidR="000215C5" w:rsidRDefault="00703023">
      <w:pPr>
        <w:jc w:val="both"/>
      </w:pPr>
      <w:r>
        <w:t>Direktivet fungerar som en ram för avvägningen mellan höga miljöskyddsnivåer och hållbar ekonomisk utveckling.</w:t>
      </w:r>
    </w:p>
    <w:p w:rsidR="000215C5" w:rsidRDefault="00703023">
      <w:pPr>
        <w:jc w:val="both"/>
      </w:pPr>
      <w:r>
        <w:t>Genomförandeprocessen för direktivet var lång. De första förvaltningsplanerna för avrinningsdistrikt antogs 2009, där det beskrevs vilka åtgärder som planerades för direktivets genomförande. Planerna utformades för att genomföra direktivets mål, bland annat att förhindra försämringar av vattenstatusen och uppnå god miljöstatus senast 2015.</w:t>
      </w:r>
    </w:p>
    <w:p w:rsidR="000215C5" w:rsidRDefault="00703023">
      <w:pPr>
        <w:jc w:val="both"/>
      </w:pPr>
      <w:r>
        <w:t>I och med direktivet infördes dessutom ett antal viktiga principer för förvaltningen och skyddet av de akvatiska resurserna.</w:t>
      </w:r>
    </w:p>
    <w:p w:rsidR="000215C5" w:rsidRDefault="00703023">
      <w:pPr>
        <w:pStyle w:val="ListNumber2Level4"/>
        <w:numPr>
          <w:ilvl w:val="0"/>
          <w:numId w:val="68"/>
        </w:numPr>
        <w:jc w:val="both"/>
      </w:pPr>
      <w:r>
        <w:t>En integrerad planeringsprocess för avrinningsdistrikten, från karakterisering till fastställande av åtgärder för att uppnå miljömålen.</w:t>
      </w:r>
    </w:p>
    <w:p w:rsidR="000215C5" w:rsidRDefault="00703023">
      <w:pPr>
        <w:pStyle w:val="ListNumber2Level4"/>
        <w:numPr>
          <w:ilvl w:val="0"/>
          <w:numId w:val="68"/>
        </w:numPr>
        <w:jc w:val="both"/>
      </w:pPr>
      <w:r>
        <w:t>En heltäckande bedömning av påverkan och effekter på samt status hos den akvatiska miljön, även ur ett ekologiskt perspektiv.</w:t>
      </w:r>
    </w:p>
    <w:p w:rsidR="000215C5" w:rsidRDefault="00703023">
      <w:pPr>
        <w:pStyle w:val="ListNumber2Level4"/>
        <w:numPr>
          <w:ilvl w:val="0"/>
          <w:numId w:val="68"/>
        </w:numPr>
        <w:jc w:val="both"/>
      </w:pPr>
      <w:r>
        <w:t>En ekonomisk analys av de åtgärder som föreslås eller vidtas samt användning av ekonomiska instrument.</w:t>
      </w:r>
    </w:p>
    <w:p w:rsidR="000215C5" w:rsidRDefault="00703023">
      <w:pPr>
        <w:pStyle w:val="ListNumber2Level4"/>
        <w:numPr>
          <w:ilvl w:val="0"/>
          <w:numId w:val="68"/>
        </w:numPr>
        <w:jc w:val="both"/>
      </w:pPr>
      <w:r>
        <w:t>Principen om integrerad förvaltning av vattenresurser, som innebär att miljömålen integreras med målen för vattenförvaltning och relaterade politiska åtgärder.</w:t>
      </w:r>
    </w:p>
    <w:p w:rsidR="000215C5" w:rsidRDefault="00703023">
      <w:pPr>
        <w:pStyle w:val="ListNumber2Level4"/>
        <w:numPr>
          <w:ilvl w:val="0"/>
          <w:numId w:val="68"/>
        </w:numPr>
        <w:jc w:val="both"/>
      </w:pPr>
      <w:r>
        <w:t>Allmänhetens deltagande och aktiva engagemang i vattenförvaltningen.</w:t>
      </w:r>
    </w:p>
    <w:p w:rsidR="000215C5" w:rsidRDefault="00703023">
      <w:pPr>
        <w:jc w:val="both"/>
      </w:pPr>
      <w:r>
        <w:t>Ramdirektivet för vatten har följande centrala mål:</w:t>
      </w:r>
    </w:p>
    <w:p w:rsidR="000215C5" w:rsidRDefault="00703023">
      <w:pPr>
        <w:pStyle w:val="Liststycke"/>
        <w:numPr>
          <w:ilvl w:val="0"/>
          <w:numId w:val="69"/>
        </w:numPr>
        <w:jc w:val="both"/>
        <w:rPr>
          <w:szCs w:val="24"/>
        </w:rPr>
      </w:pPr>
      <w:r>
        <w:t>Förhindra försämring av ytvatten- och grundvattenförekomster samt skydda, förbättra och återställa alla vattenförekomster.</w:t>
      </w:r>
    </w:p>
    <w:p w:rsidR="000215C5" w:rsidRDefault="00703023">
      <w:pPr>
        <w:pStyle w:val="ListNumber2Level4"/>
        <w:numPr>
          <w:ilvl w:val="0"/>
          <w:numId w:val="69"/>
        </w:numPr>
        <w:jc w:val="both"/>
        <w:rPr>
          <w:szCs w:val="24"/>
        </w:rPr>
      </w:pPr>
      <w:r>
        <w:t>Uppnå god miljöstatus hos alla vattenförekomster senast 2015. Dessa mål omfattar i sin tur målen för god ekologisk status och god kemisk status hos alla naturliga ytvattenförekomster, god ekologisk potential och god kemisk status hos alla kraftigt modifierade eller konstgjorda vattenförekomster samt god kvantitativ status och god kemisk status hos alla grundvattenförekomster.</w:t>
      </w:r>
    </w:p>
    <w:p w:rsidR="000215C5" w:rsidRDefault="00703023">
      <w:pPr>
        <w:pStyle w:val="ListNumber2Level4"/>
        <w:numPr>
          <w:ilvl w:val="0"/>
          <w:numId w:val="69"/>
        </w:numPr>
        <w:jc w:val="both"/>
        <w:rPr>
          <w:szCs w:val="24"/>
        </w:rPr>
      </w:pPr>
      <w:r>
        <w:t>Successiv minskning av föroreningar av prioriterade ämnen och stegvis eliminering av prioriterade farliga ämnen i ytvattenförekomster samt åtgärder för att förebygga eller begränsa att föroreningar kommer ut i grundvattenförekomster.</w:t>
      </w:r>
    </w:p>
    <w:p w:rsidR="000215C5" w:rsidRDefault="00703023">
      <w:pPr>
        <w:pStyle w:val="ListNumber2Level4"/>
        <w:numPr>
          <w:ilvl w:val="0"/>
          <w:numId w:val="69"/>
        </w:numPr>
        <w:jc w:val="both"/>
        <w:rPr>
          <w:szCs w:val="24"/>
        </w:rPr>
      </w:pPr>
      <w:r>
        <w:t>Omsvängning av eventuella betydande tendenser till ökning av koncentrationen av föroreningar i grundvattenförekomster.</w:t>
      </w:r>
    </w:p>
    <w:p w:rsidR="000215C5" w:rsidRDefault="00703023">
      <w:pPr>
        <w:pStyle w:val="ListNumber2Level4"/>
        <w:numPr>
          <w:ilvl w:val="0"/>
          <w:numId w:val="69"/>
        </w:numPr>
        <w:jc w:val="both"/>
        <w:rPr>
          <w:szCs w:val="24"/>
        </w:rPr>
      </w:pPr>
      <w:r>
        <w:t>Uppnå de standarder och mål som fastställts för skyddade områden enligt EU-lagstiftningen.</w:t>
      </w:r>
    </w:p>
    <w:p w:rsidR="000215C5" w:rsidRDefault="00703023">
      <w:pPr>
        <w:jc w:val="both"/>
      </w:pPr>
      <w:r>
        <w:t xml:space="preserve">Planeringsprocessen är ett stegvis förfarande där varje steg är viktigt för nästa (se </w:t>
      </w:r>
      <w:r>
        <w:fldChar w:fldCharType="begin"/>
      </w:r>
      <w:r>
        <w:instrText xml:space="preserve"> REF _Ref384711849 \h  \* MERGEFORMAT </w:instrText>
      </w:r>
      <w:r>
        <w:fldChar w:fldCharType="separate"/>
      </w:r>
      <w:r w:rsidR="0003666D">
        <w:t>Figur 1</w:t>
      </w:r>
      <w:r>
        <w:fldChar w:fldCharType="end"/>
      </w:r>
      <w:r>
        <w:t>), från införlivandet av direktivet och administrativa rutiner, följt av karakterisering av avrinningsdistrikt, övervakning och bedömning av status, fastställande av mål samt inrättande och genomförande av ett lämpligt åtgärdsprogram, inklusive övervakning och utvärdering av dess effektivitet.</w:t>
      </w:r>
    </w:p>
    <w:p w:rsidR="000215C5" w:rsidRDefault="00703023">
      <w:pPr>
        <w:jc w:val="both"/>
      </w:pPr>
      <w:r>
        <w:t>Det viktigaste verktyget för vattendirektivets genomförande är förvaltningsplanerna för avrinningsdistrikt, inklusive åtgärdsprogrammen. Åtgärdsprogrammen har utformats för att hjälpa medlemsstaterna att på lämpligt sätt åtgärda identifierade faktorer som påverkar avrinningsdistrikten under analysen av påverkan och effekter, med målet att uppnå god status hos avrinningsdistriktet eller vattenförekomsten. Om en betydande påverkan förbises under analysen av påverkan och effekter kan det leda till att övervakningsprogrammet inte är utformat för att bedöma denna faktor, vilket i sin tur leder till att det saknas lämpliga åtgärder i åtgärdsprogrammet för att hantera den. Förvaltningsplanerna för avrinningsdistrikt beskriver hur vattenförvaltningen ska genomföras och anger alla åtgärder som ska vidtas i det berörda avrinningsdistriktet.</w:t>
      </w:r>
    </w:p>
    <w:p w:rsidR="000215C5" w:rsidRDefault="00703023">
      <w:pPr>
        <w:jc w:val="both"/>
      </w:pPr>
      <w:r>
        <w:rPr>
          <w:noProof/>
          <w:lang w:bidi="ar-SA"/>
        </w:rPr>
        <w:drawing>
          <wp:inline distT="0" distB="0" distL="0" distR="0">
            <wp:extent cx="3683635" cy="2743200"/>
            <wp:effectExtent l="19050" t="19050" r="12065" b="1905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635" cy="2743200"/>
                    </a:xfrm>
                    <a:prstGeom prst="rect">
                      <a:avLst/>
                    </a:prstGeom>
                    <a:noFill/>
                    <a:ln>
                      <a:solidFill>
                        <a:schemeClr val="tx1"/>
                      </a:solidFill>
                    </a:ln>
                  </pic:spPr>
                </pic:pic>
              </a:graphicData>
            </a:graphic>
          </wp:inline>
        </w:drawing>
      </w:r>
    </w:p>
    <w:p w:rsidR="000215C5" w:rsidRDefault="00703023">
      <w:pPr>
        <w:pStyle w:val="References"/>
        <w:ind w:left="0"/>
        <w:jc w:val="both"/>
      </w:pPr>
      <w:bookmarkStart w:id="12" w:name="_Ref384711849"/>
      <w:r>
        <w:t xml:space="preserve">Figur </w:t>
      </w:r>
      <w:r w:rsidR="00FA0245">
        <w:fldChar w:fldCharType="begin"/>
      </w:r>
      <w:r w:rsidR="00FA0245">
        <w:instrText xml:space="preserve"> SEQ Figure \* ARABIC </w:instrText>
      </w:r>
      <w:r w:rsidR="00FA0245">
        <w:fldChar w:fldCharType="separate"/>
      </w:r>
      <w:r>
        <w:rPr>
          <w:noProof/>
        </w:rPr>
        <w:t>1</w:t>
      </w:r>
      <w:r w:rsidR="00FA0245">
        <w:rPr>
          <w:noProof/>
        </w:rPr>
        <w:fldChar w:fldCharType="end"/>
      </w:r>
      <w:bookmarkEnd w:id="12"/>
      <w:r>
        <w:tab/>
        <w:t>Schematisk översikt över planeringsprocessen enligt vattendirektivet</w:t>
      </w:r>
    </w:p>
    <w:p w:rsidR="000215C5" w:rsidRDefault="00703023">
      <w:pPr>
        <w:jc w:val="both"/>
      </w:pPr>
      <w:r>
        <w:t>Enligt artikel 18 i vattendirektivet ska Europeiska kommissionen offentliggöra rapporter om direktivets genomförande och överlämna dem till Europaparlamentet och rådet. Bedömningen baseras på den information som har rapporterats av medlemsstaterna, som består av de offentliggjorda förvaltningsplanerna för avrinningsdistrikten samt den åtföljande dokumentation som krävs enligt artikel 15, den elektroniska rapporteringen via Vatteninformationssystemet för Europa (Wise) i förutbestämda format som överenskommits av vattenförvaltningarna samt eventuella kompletterande och styrkande bakgrundsdokument som medlemsstaterna finner relevanta.</w:t>
      </w:r>
    </w:p>
    <w:p w:rsidR="000215C5" w:rsidRDefault="00703023">
      <w:pPr>
        <w:jc w:val="both"/>
      </w:pPr>
      <w:r>
        <w:t>Förvaltningsplanerna är omfattande dokument som täcker många aspekter av vattenförvaltningen. De består av hundratals eller tusentals sidor med information och offentliggörs på de nationella språken. Bedömningen av förvaltningsplanerna är mycket svår och komplicerad. Handläggarna arbetar med omfattande information på fler än 20 språk. Kvaliteten på Europeiska kommissionens bedömningar beror på kvaliteten på medlemsstaternas rapporter. Dålig eller ofullständig rapportering kan leda till felaktiga och/eller ofullständiga bedömningar. Kommissionen är medveten om att rapporteringen är både tids- och resurskrävande för medlemsstaterna, särskilt den elektroniska rapporteringen till Wise. Bedömningen av de första förvaltningsplanerna för avrinningsdistrikt från 2009 visade exempel på mycket bra rapportering av hög kvalitet. I andra fall fanns det dock luckor eller motsägelser i rapporteringen. Kommissionen förväntar sig att kvaliteten på och mängden tillgänglig information för att stödja genomförandet av vattendirektivet kommer att ha förbättrats under de sex år som har gått sedan de första förvaltningsplanerna offentliggjordes. Detta förbättrar rapporteringen, vilket i sin tur förbättrar kvaliteten på kommissionens bedömningar och gör dem mer fullständiga.</w:t>
      </w:r>
    </w:p>
    <w:p w:rsidR="000215C5" w:rsidRDefault="00703023">
      <w:pPr>
        <w:jc w:val="both"/>
        <w:rPr>
          <w:szCs w:val="24"/>
        </w:rPr>
      </w:pPr>
      <w:r>
        <w:t xml:space="preserve">Erfarenheterna från den första rapporteringscykeln och kommissionens och Europeiska miljöbyråns bedömningar var generellt sett positiva. Alla aktörer har i hög grad förbättrat förståelsen för tillståndet för EU:s vatten. Arbetsbördan var dock stor, både på nationell nivå (rapportering) och EU-nivå (bedömning). En grundlig översyn av rapporteringskraven för den andra versionen av förvaltningsplanerna har gjorts. Den gemensamma genomförandestrategins vägledningsdokument nr 21: </w:t>
      </w:r>
      <w:r>
        <w:rPr>
          <w:i/>
        </w:rPr>
        <w:t>Guidance for reporting under the Water Framework Directive</w:t>
      </w:r>
      <w:r>
        <w:t>, som underlättade rapporteringen om förvaltningsplanerna 2010, har också reviderats betydligt. Detta dokument innehåller den reviderade vägledningen om rapportering av uppgifter och information om den andra versionen av förvaltningsplanerna enligt ramdirektivet för vatten.</w:t>
      </w:r>
    </w:p>
    <w:p w:rsidR="000215C5" w:rsidRDefault="00703023">
      <w:pPr>
        <w:jc w:val="both"/>
      </w:pPr>
      <w:r>
        <w:t>Vägledningen om rapportering enligt ramdirektivet för vatten är precis som alla vägledningsdokument som tas fram inom ramen för den gemensamma genomförandestrategin, resultatet av ett informellt samarbete mellan Europeiska kommissionen, medlemsstaterna och övriga aktörer, däribland andra EU-institutioner. Detta innebär att den inte leder till några ändringar av kraven i ramdirektivet för vatten eller medlemsstaternas skyldigheter enligt direktivet.</w:t>
      </w:r>
    </w:p>
    <w:p w:rsidR="000215C5" w:rsidRDefault="00703023">
      <w:pPr>
        <w:pStyle w:val="Rubrik2"/>
        <w:jc w:val="both"/>
      </w:pPr>
      <w:bookmarkStart w:id="13" w:name="_Ref384714940"/>
      <w:bookmarkStart w:id="14" w:name="_Toc386464203"/>
      <w:bookmarkStart w:id="15" w:name="_Toc425522026"/>
      <w:bookmarkStart w:id="16" w:name="_Toc432666040"/>
      <w:bookmarkStart w:id="17" w:name="_Toc437520236"/>
      <w:r>
        <w:t>Principer för översynen</w:t>
      </w:r>
      <w:bookmarkEnd w:id="13"/>
      <w:bookmarkEnd w:id="14"/>
      <w:bookmarkEnd w:id="15"/>
      <w:bookmarkEnd w:id="16"/>
      <w:bookmarkEnd w:id="17"/>
    </w:p>
    <w:p w:rsidR="000215C5" w:rsidRDefault="00703023">
      <w:pPr>
        <w:jc w:val="both"/>
      </w:pPr>
      <w:r>
        <w:t>Principerna för översynen av vägledningen om rapporteringen i samband med ramdirektivet för vatten har överenskommits av vattenförvaltningarna. Följande principer gäller:</w:t>
      </w:r>
    </w:p>
    <w:p w:rsidR="000215C5" w:rsidRDefault="00703023">
      <w:pPr>
        <w:numPr>
          <w:ilvl w:val="0"/>
          <w:numId w:val="27"/>
        </w:numPr>
        <w:jc w:val="both"/>
      </w:pPr>
      <w:r>
        <w:t>Tydligt fastställa rapporteringskraven, exakt ange de uppgifter och den information som ska rapporteras enligt vattendirektivets krav och, vid behov, kompletterande krav som måste godkännas av vattenförvaltningarna.</w:t>
      </w:r>
    </w:p>
    <w:p w:rsidR="000215C5" w:rsidRDefault="00703023">
      <w:pPr>
        <w:numPr>
          <w:ilvl w:val="0"/>
          <w:numId w:val="27"/>
        </w:numPr>
        <w:jc w:val="both"/>
      </w:pPr>
      <w:r>
        <w:t>Undersöka möjligheterna att införa rapportering av kompletterande information baserat på en kartläggning av resultaten av efterlevnadskontrollerna samt EU-omfattande bedömningar och riktmärkning med beaktande av kopplingarna till rapporteringen om andra direktiv på vattenområdet.</w:t>
      </w:r>
    </w:p>
    <w:p w:rsidR="000215C5" w:rsidRDefault="00703023">
      <w:pPr>
        <w:numPr>
          <w:ilvl w:val="0"/>
          <w:numId w:val="27"/>
        </w:numPr>
        <w:jc w:val="both"/>
      </w:pPr>
      <w:r>
        <w:t>Behålla huvuddragen i rapporteringen till Wise och stabilisera datauppsättningarna så att det är möjligt att följa framstegen.</w:t>
      </w:r>
    </w:p>
    <w:p w:rsidR="000215C5" w:rsidRDefault="00703023">
      <w:pPr>
        <w:numPr>
          <w:ilvl w:val="0"/>
          <w:numId w:val="27"/>
        </w:numPr>
        <w:jc w:val="both"/>
      </w:pPr>
      <w:r>
        <w:t>Förenkla rapporteringsmallarna så mycket som möjligt och integrera dem fullständigt i Wise-strukturen.</w:t>
      </w:r>
    </w:p>
    <w:p w:rsidR="000215C5" w:rsidRDefault="00703023">
      <w:pPr>
        <w:numPr>
          <w:ilvl w:val="0"/>
          <w:numId w:val="27"/>
        </w:numPr>
        <w:jc w:val="both"/>
      </w:pPr>
      <w:r>
        <w:t>Begränsa och rikta ändringarna av rapporteringsbladen.</w:t>
      </w:r>
    </w:p>
    <w:p w:rsidR="000215C5" w:rsidRDefault="00703023">
      <w:pPr>
        <w:numPr>
          <w:ilvl w:val="0"/>
          <w:numId w:val="27"/>
        </w:numPr>
        <w:jc w:val="both"/>
      </w:pPr>
      <w:r>
        <w:t>Harmonisera rapporteringsskalorna.</w:t>
      </w:r>
    </w:p>
    <w:p w:rsidR="000215C5" w:rsidRDefault="00703023">
      <w:pPr>
        <w:numPr>
          <w:ilvl w:val="0"/>
          <w:numId w:val="27"/>
        </w:numPr>
        <w:jc w:val="both"/>
      </w:pPr>
      <w:r>
        <w:t>Begränsa rapporteringen av vattenförekomster till vad som är absolut nödvändigt.</w:t>
      </w:r>
    </w:p>
    <w:p w:rsidR="000215C5" w:rsidRDefault="00703023">
      <w:pPr>
        <w:jc w:val="both"/>
      </w:pPr>
      <w:r>
        <w:t>De uppgifter och den information som rapporteras måste därför förenklas för att minska medlemsstaternas och kommissionens arbetsbörda. Uppgifterna och informationen måste dock vara användbara och ändamålsenliga. Följande konkreta krav införs i detta syfte:</w:t>
      </w:r>
    </w:p>
    <w:p w:rsidR="000215C5" w:rsidRDefault="00703023">
      <w:pPr>
        <w:numPr>
          <w:ilvl w:val="0"/>
          <w:numId w:val="28"/>
        </w:numPr>
        <w:jc w:val="both"/>
      </w:pPr>
      <w:r>
        <w:t xml:space="preserve">Den elektroniska rapporteringen bör inriktas på data och bör (genom riktade frågor) ange var man kan hitta detaljerad information om metoderna i förvaltningsplanerna och åtföljande dokument, vilket kräver sökbara format och garanterad tillgång. Detta kommer att leda till en omfattande förenkling av rapporteringen om de metodologiska rapporteringsmallarna (t.ex. om övervakningsprogram och metoder för yt- och grundvatten). </w:t>
      </w:r>
    </w:p>
    <w:p w:rsidR="000215C5" w:rsidRDefault="00703023">
      <w:pPr>
        <w:numPr>
          <w:ilvl w:val="0"/>
          <w:numId w:val="28"/>
        </w:numPr>
        <w:jc w:val="both"/>
      </w:pPr>
      <w:r>
        <w:t>Mallarnas struktur bör också förenklas, och bör koncentreras på en grundstruktur med högst två nivåer. Detta underlättar dessutom förfrågningar.</w:t>
      </w:r>
    </w:p>
    <w:p w:rsidR="000215C5" w:rsidRDefault="00703023">
      <w:pPr>
        <w:numPr>
          <w:ilvl w:val="0"/>
          <w:numId w:val="28"/>
        </w:numPr>
        <w:jc w:val="both"/>
      </w:pPr>
      <w:r>
        <w:t>Säkerställa konsekvens i DPSIR (Drivers-Pressures-States-Impacts-Responses), främst genom harmonisering av de gemensamma rapporteringsmallarna för drivkrafter, påverkan, status, effekter och åtgärder (svar), och införa regler för att kontrollera konsekvensen, vilket i sin tur skapar samverkan med rapporteringen enligt annan vattenrelaterad lagstiftning.</w:t>
      </w:r>
    </w:p>
    <w:p w:rsidR="000215C5" w:rsidRDefault="00703023">
      <w:pPr>
        <w:jc w:val="both"/>
      </w:pPr>
      <w:r>
        <w:t>DPSIR-metoden kan bygga på uppgifter och information som samlats in från flera olika källor (t.ex. övervakning, modellering, kvalitativa eller kvantitativa uppskattningar osv.) på olika nivåer (t.ex. vattenförekomst, upptagningsområde, avrinningsområde). DPSIR är inte en matematisk modell som tillämpas på vattenförekomstnivå, utan en användbar begreppsram för att stödja genomförandet av vattendirektivet på olika nivåer. Den praktiska användningen beror på hur komplex situationen för avrinningsdistriktet är, befintlig påverkan och effekter samt eventuellt genomförbara åtgärder.</w:t>
      </w:r>
    </w:p>
    <w:p w:rsidR="000215C5" w:rsidRDefault="00703023">
      <w:pPr>
        <w:autoSpaceDE w:val="0"/>
        <w:autoSpaceDN w:val="0"/>
        <w:adjustRightInd w:val="0"/>
        <w:jc w:val="both"/>
      </w:pPr>
      <w:r>
        <w:t>Det är viktigt att komma ihåg att rapporteringen ska grundas på skyldigheterna i vattendirektivet. De rapporteringskrav som anges i denna vägledning har överenskommits genom CIS-processen, och medlemsstaterna är skyldiga att rapportera elektroniska uppgifter och begärd information till Wise. Rapporteringen enligt denna vägledning bör garantera att uppgifterna och informationen är fullständiga och jämförbara när det gäller både rapporteringen och bedömningen av medlemsstaternas genomförande av vattendirektivet.</w:t>
      </w:r>
    </w:p>
    <w:p w:rsidR="000215C5" w:rsidRDefault="00703023">
      <w:pPr>
        <w:autoSpaceDE w:val="0"/>
        <w:autoSpaceDN w:val="0"/>
        <w:adjustRightInd w:val="0"/>
        <w:jc w:val="both"/>
      </w:pPr>
      <w:r>
        <w:t>Kommissionen inser att det kan vara svårt för vissa medlemsstater att lämna alla uppgifter och all information i det format och den struktur som krävs enligt denna vägledning. Anledningarna till att medlemsstaterna inte rapporterar eller lämnar ofullständiga uppgifter eller information kan variera. Vägledningen godkändes t.ex. efter tidsfristen för slutförandet av en del förberedande arbete inför den andra versionen av förvaltningsplanerna, bland annat analysen av påverkan och effekter och översynen av den ekonomiska analysen, vilka båda skulle lämnas in senast vid årsslutet 2013. Detta innebär att det blir svårt för medlemsstaterna att anpassa informationen till de strukturer och den aggregationsnivå som krävs enligt denna vägledning. Några medlemsstater kanske inte kan rapportera om vissa aspekter som krävs enligt vägledningen på grund av luckor i genomförandet.</w:t>
      </w:r>
    </w:p>
    <w:p w:rsidR="000215C5" w:rsidRDefault="00703023">
      <w:pPr>
        <w:autoSpaceDE w:val="0"/>
        <w:autoSpaceDN w:val="0"/>
        <w:adjustRightInd w:val="0"/>
        <w:jc w:val="both"/>
      </w:pPr>
      <w:r>
        <w:t>Om en medlemsstat inte rapporterar uppgifter eller lämnar ofullständig information enligt kraven i denna vägledning betyder det alltså inte nödvändigtvis att medlemsstaten inte genomför vattendirektivet på ett korrekt sätt. Medlemsstaterna kan ha gjort det nödvändiga arbetet, men kan av olika orsaker helt enkelt inte rapportera i det format och den struktur som krävs. Kommissionen är dock starkt beroende av de uppgifter och den information som rapporteras av medlemsstaterna för sin bedömning av genomförandet och det är därför mycket viktigt att den berörda medlemsstaten förklarar anledningarna till att den inte rapporterar om vissa aspekter eller lämnar ofullständig information. Under sådana omständigheter föreslår kommissionen att medlemsstaten lämnar en förklarande anmärkning till den elektroniska rapporteringen</w:t>
      </w:r>
      <w:r w:rsidR="003E5628">
        <w:t xml:space="preserve"> enligt beskrivningen i kapitel </w:t>
      </w:r>
      <w:r>
        <w:t>1.6. Där kan medlemsstaten ange länkar eller hänvisningar till annan kompletterande information där de nödvändiga uppgifterna finns (om de finns tillgängliga).</w:t>
      </w:r>
    </w:p>
    <w:p w:rsidR="000215C5" w:rsidRDefault="00703023">
      <w:pPr>
        <w:jc w:val="both"/>
      </w:pPr>
      <w:r>
        <w:t>Det finns ingen anledning att ta bort dessa krav från vägledningen på grund av att vissa medlemsstater kanske inte kan rapportera vissa uppgifter och information, eftersom de kanske kan göra det i framtiden. Andra medlemsstater kanske kan rapportera uppgifterna. En minsta gemensam faktor bör därför undvikas.</w:t>
      </w:r>
    </w:p>
    <w:p w:rsidR="000215C5" w:rsidRDefault="00703023">
      <w:pPr>
        <w:pStyle w:val="Rubrik2"/>
        <w:jc w:val="both"/>
      </w:pPr>
      <w:bookmarkStart w:id="18" w:name="_Toc375220034"/>
      <w:bookmarkStart w:id="19" w:name="_Toc386464204"/>
      <w:bookmarkStart w:id="20" w:name="_Toc425522027"/>
      <w:bookmarkStart w:id="21" w:name="_Toc432666041"/>
      <w:bookmarkStart w:id="22" w:name="_Toc437520237"/>
      <w:r>
        <w:t>Dokumentets</w:t>
      </w:r>
      <w:bookmarkEnd w:id="18"/>
      <w:r>
        <w:t xml:space="preserve"> struktur</w:t>
      </w:r>
      <w:bookmarkEnd w:id="19"/>
      <w:bookmarkEnd w:id="20"/>
      <w:bookmarkEnd w:id="21"/>
      <w:bookmarkEnd w:id="22"/>
    </w:p>
    <w:p w:rsidR="000215C5" w:rsidRDefault="00703023">
      <w:pPr>
        <w:jc w:val="both"/>
      </w:pPr>
      <w:r>
        <w:t xml:space="preserve">Denna vägledning om rapporteringen i samband med ramdirektivet för vatten är avsevärt längre än CIS vägledningsdokument nr 21: </w:t>
      </w:r>
      <w:r>
        <w:rPr>
          <w:i/>
        </w:rPr>
        <w:t>Guidance for reporting under the Water Framework Directive</w:t>
      </w:r>
      <w:r>
        <w:t>, som medlemsstaterna använde för rapporteringen av de första förvaltningsplanerna. Det beror på att alla relevanta användardokument och materialet om rapporteringen av den andra versionen av förvaltningsplanerna har slagits ihop till en enda vägledning (se bilagorna), och mer detaljer och hjälp ges om de begrepp som används.</w:t>
      </w:r>
    </w:p>
    <w:p w:rsidR="000215C5" w:rsidRDefault="00703023">
      <w:pPr>
        <w:jc w:val="both"/>
      </w:pPr>
      <w:r>
        <w:t xml:space="preserve">Denna vägledning är främst strukturerad enligt de mallar som togs fram för rapporteringen av de första förvaltningsplanerna 2010. Kapitlen är strukturerade enligt rapporteringsnivå, dvs. ytvattenförekomst, grundvattenförekomst, avrinningsdistrikt eller medlemsstat. Det innebär att informationen om vissa frågor kan fördelas över fler än ett kapitel. Uppgifter om status och påverkan på vattenförekomstnivå finns t.ex. i kapitel 2 för ytvattenförekomster och i kapitel 3 för grundvattenförekomster, medan information om metoder för påverkan och status finns i kapitel 7 respektive kapitel 8. </w:t>
      </w:r>
    </w:p>
    <w:p w:rsidR="000215C5" w:rsidRDefault="00703023">
      <w:pPr>
        <w:jc w:val="both"/>
      </w:pPr>
      <w:r>
        <w:t xml:space="preserve">Varje kapitel och delkapitel innehåller följande avsnitt: </w:t>
      </w:r>
    </w:p>
    <w:p w:rsidR="000215C5" w:rsidRDefault="00703023">
      <w:pPr>
        <w:pStyle w:val="ListNumber2Level4"/>
        <w:numPr>
          <w:ilvl w:val="0"/>
          <w:numId w:val="70"/>
        </w:numPr>
        <w:jc w:val="both"/>
        <w:rPr>
          <w:i/>
        </w:rPr>
      </w:pPr>
      <w:bookmarkStart w:id="23" w:name="_Toc375220036"/>
      <w:r>
        <w:rPr>
          <w:i/>
        </w:rPr>
        <w:t>Inledning</w:t>
      </w:r>
    </w:p>
    <w:p w:rsidR="000215C5" w:rsidRDefault="00703023">
      <w:pPr>
        <w:ind w:left="720"/>
        <w:jc w:val="both"/>
      </w:pPr>
      <w:r>
        <w:t>I denna del sammanfattas skyldigheterna enligt ramdirektivet för vatten för det relevanta ämnet och deras roll i planeringsprocessen.</w:t>
      </w:r>
    </w:p>
    <w:p w:rsidR="000215C5" w:rsidRDefault="00703023">
      <w:pPr>
        <w:pStyle w:val="ListNumber2Level4"/>
        <w:numPr>
          <w:ilvl w:val="0"/>
          <w:numId w:val="70"/>
        </w:numPr>
        <w:jc w:val="both"/>
        <w:rPr>
          <w:i/>
        </w:rPr>
      </w:pPr>
      <w:r>
        <w:rPr>
          <w:i/>
        </w:rPr>
        <w:t>Hur kommer kommissionen och Europeiska miljöbyrån att använda informationen?</w:t>
      </w:r>
    </w:p>
    <w:p w:rsidR="000215C5" w:rsidRDefault="00703023">
      <w:pPr>
        <w:ind w:left="709"/>
        <w:jc w:val="both"/>
      </w:pPr>
      <w:r>
        <w:t>Enligt artikel 18.2 b i ramdirektivet för vatten ska kommissio</w:t>
      </w:r>
      <w:r w:rsidR="00661070">
        <w:t>nen inbegripa en översyn av yt</w:t>
      </w:r>
      <w:r w:rsidR="00661070">
        <w:noBreakHyphen/>
      </w:r>
      <w:r>
        <w:t>och grundvattenstatusen samordnat med Europeiska miljöbyrån i sina rapporter om genomförandet av direktivet. Både kommissionen och Europeiska miljöbyrån kommer därför att använda de uppgifter och den information som rapporteras av medlemsstaterna. I detta avsnitt förklaras hur kommissionen och miljöbyrån kommer att använda de uppgifter och den information som rapporteras, de efterlevnadskontroller och analyser som kommer att göras och de produkter som tas fram på grundval av uppgifterna och informationen, t.ex. tabeller, olika typer av diagram samt kartor. Förteckningen över produkter i vägledningen är inte uttömmande. Kommissionen och miljöbyrån kan ta fram ytterligare produkter i nära samråd med medlemsstaterna inom ramen för CIS-processen.</w:t>
      </w:r>
    </w:p>
    <w:p w:rsidR="000215C5" w:rsidRDefault="00703023">
      <w:pPr>
        <w:pStyle w:val="ListNumber2Level4"/>
        <w:numPr>
          <w:ilvl w:val="0"/>
          <w:numId w:val="71"/>
        </w:numPr>
        <w:ind w:left="709" w:hanging="283"/>
        <w:jc w:val="both"/>
        <w:rPr>
          <w:i/>
        </w:rPr>
      </w:pPr>
      <w:r>
        <w:rPr>
          <w:i/>
        </w:rPr>
        <w:t>Innehåll i rapporteringen 2016</w:t>
      </w:r>
      <w:bookmarkEnd w:id="23"/>
    </w:p>
    <w:p w:rsidR="000215C5" w:rsidRDefault="00703023">
      <w:pPr>
        <w:numPr>
          <w:ilvl w:val="1"/>
          <w:numId w:val="2"/>
        </w:numPr>
        <w:jc w:val="both"/>
      </w:pPr>
      <w:r>
        <w:t xml:space="preserve">En skiss över rapporteringsmallarna för att visa hur uppgifterna och informationen bör struktureras i de filer som ska rapporteras. Dessa skisser presenteras i UML. De motsvarande XSD-formaten finns tillgängliga online på sidan för rapporteringsresurser för vattendirektivet. </w:t>
      </w:r>
    </w:p>
    <w:p w:rsidR="000215C5" w:rsidRDefault="00703023">
      <w:pPr>
        <w:numPr>
          <w:ilvl w:val="1"/>
          <w:numId w:val="2"/>
        </w:numPr>
        <w:jc w:val="both"/>
      </w:pPr>
      <w:r>
        <w:t xml:space="preserve">En teknisk beskrivning av de uppgifter och den GIS-information som ska rapporteras. Beskrivningen innehåller namn på respektive mallpost, postens fälttyp eller fas (t.ex. sträng, uppräkningslista osv.), vägledning om mallposten (t.ex. om det är obligatoriskt, villkorat eller valfritt – se avsnitt </w:t>
      </w:r>
      <w:r>
        <w:fldChar w:fldCharType="begin"/>
      </w:r>
      <w:r>
        <w:instrText xml:space="preserve"> REF _Ref425089935 \r \h  \* MERGEFORMAT </w:instrText>
      </w:r>
      <w:r>
        <w:fldChar w:fldCharType="separate"/>
      </w:r>
      <w:r>
        <w:t>1.8</w:t>
      </w:r>
      <w:r>
        <w:fldChar w:fldCharType="end"/>
      </w:r>
      <w:r>
        <w:t>, hur det multipliceras genom minsta eller högsta förekomst – minOccur och maxOccur, eventuell relaterad eller styrkande information som också bör rapporteras, innehållet i uppräkningslistorna osv.) samt en kort beskrivning av eventuella kvalitetskontroller. (Observera att kvalitetskontrollerna ingår i den validering som utförs av de rapporterade uppgifterna. Kontrollen görs när uppgifterna lämnas in.)</w:t>
      </w:r>
    </w:p>
    <w:p w:rsidR="000215C5" w:rsidRDefault="00703023">
      <w:pPr>
        <w:numPr>
          <w:ilvl w:val="1"/>
          <w:numId w:val="2"/>
        </w:numPr>
        <w:jc w:val="both"/>
      </w:pPr>
      <w:r>
        <w:t xml:space="preserve">Vägledning om det förväntade innehållet i förvaltningsplanerna för avrinningsdistrikt eller i bakgrundsdokument. Generellt ersätter detta de metodiska sammanfattningar som rapporterades 2010. Vägledningen är inte avsedd att vara uttömmande när det gäller vilka uppgifter som medlemsstaterna måste ta med i sina förvaltningsplaner eller bakgrundsdokument, utan anger vissa konkreta uppgifter som ska rapporteras (se avsnittet nedan om innehållet i rapporteringen 2016). </w:t>
      </w:r>
    </w:p>
    <w:p w:rsidR="000215C5" w:rsidRDefault="00703023">
      <w:pPr>
        <w:numPr>
          <w:ilvl w:val="1"/>
          <w:numId w:val="2"/>
        </w:numPr>
        <w:jc w:val="both"/>
      </w:pPr>
      <w:r>
        <w:t>Begrepp och rapporteringskrav klargörs i en ordlista (när det anses nödvändigt).</w:t>
      </w:r>
    </w:p>
    <w:p w:rsidR="000215C5" w:rsidRDefault="00703023">
      <w:pPr>
        <w:pStyle w:val="Rubrik2"/>
        <w:jc w:val="both"/>
      </w:pPr>
      <w:bookmarkStart w:id="24" w:name="_Toc386464205"/>
      <w:bookmarkStart w:id="25" w:name="_Toc425522028"/>
      <w:bookmarkStart w:id="26" w:name="_Toc432666042"/>
      <w:bookmarkStart w:id="27" w:name="_Toc437520238"/>
      <w:bookmarkStart w:id="28" w:name="_Toc375220037"/>
      <w:r>
        <w:t>Hur kommissionen och Europeiska miljöbyrån kommer att använda den information som lämnas</w:t>
      </w:r>
      <w:bookmarkEnd w:id="24"/>
      <w:bookmarkEnd w:id="25"/>
      <w:bookmarkEnd w:id="26"/>
      <w:bookmarkEnd w:id="27"/>
    </w:p>
    <w:p w:rsidR="000215C5" w:rsidRDefault="00703023">
      <w:pPr>
        <w:jc w:val="both"/>
      </w:pPr>
      <w:r>
        <w:t>Kommissionen kommer att använda den information som lämnas av medlemsstaterna för följande ändamål:</w:t>
      </w:r>
    </w:p>
    <w:p w:rsidR="000215C5" w:rsidRDefault="00703023">
      <w:pPr>
        <w:numPr>
          <w:ilvl w:val="0"/>
          <w:numId w:val="63"/>
        </w:numPr>
        <w:jc w:val="both"/>
      </w:pPr>
      <w:r>
        <w:t>Bedöma om genomförandet av kraven i ramdirektivet för vatten och dess särdirektiv (grundvattendirektivet (2006/118/EG</w:t>
      </w:r>
      <w:r>
        <w:rPr>
          <w:rStyle w:val="Fotnotsreferens"/>
        </w:rPr>
        <w:footnoteReference w:id="2"/>
      </w:r>
      <w:r>
        <w:t xml:space="preserve">), </w:t>
      </w:r>
      <w:bookmarkStart w:id="29" w:name="dir_prior"/>
      <w:bookmarkEnd w:id="29"/>
      <w:r>
        <w:t>direktiv 2008/105/EG om miljökvalitetsnormer</w:t>
      </w:r>
      <w:r>
        <w:rPr>
          <w:rStyle w:val="Fotnotsreferens"/>
        </w:rPr>
        <w:footnoteReference w:id="3"/>
      </w:r>
      <w:r>
        <w:t xml:space="preserve"> samt </w:t>
      </w:r>
      <w:r>
        <w:rPr>
          <w:color w:val="000000"/>
        </w:rPr>
        <w:t>direktiv 2013/39/EU</w:t>
      </w:r>
      <w:r>
        <w:rPr>
          <w:rStyle w:val="Fotnotsreferens"/>
          <w:color w:val="000000"/>
        </w:rPr>
        <w:footnoteReference w:id="4"/>
      </w:r>
      <w:r>
        <w:rPr>
          <w:color w:val="000000"/>
        </w:rPr>
        <w:t xml:space="preserve"> om ändring av direktiven 2000/60/EG</w:t>
      </w:r>
      <w:r>
        <w:rPr>
          <w:rStyle w:val="Fotnotsreferens"/>
          <w:color w:val="000000"/>
        </w:rPr>
        <w:footnoteReference w:id="5"/>
      </w:r>
      <w:r>
        <w:rPr>
          <w:color w:val="000000"/>
        </w:rPr>
        <w:t xml:space="preserve"> och 2008/105/EG vad gäller prioriterade ämnen på vattenpolitikens område)</w:t>
      </w:r>
      <w:r>
        <w:t xml:space="preserve"> är tillräckligt i varje medlemsstat (t.ex. efterlevnadsbedömningar).</w:t>
      </w:r>
    </w:p>
    <w:p w:rsidR="000215C5" w:rsidRDefault="00703023">
      <w:pPr>
        <w:numPr>
          <w:ilvl w:val="0"/>
          <w:numId w:val="44"/>
        </w:numPr>
        <w:jc w:val="both"/>
      </w:pPr>
      <w:r>
        <w:t>Bedöma vattendirektivet och dess särdirektiv för att fastställa om direktivens mål har uppnåtts och vad som kan förbättras i framtiden.</w:t>
      </w:r>
    </w:p>
    <w:p w:rsidR="000215C5" w:rsidRDefault="00703023">
      <w:pPr>
        <w:numPr>
          <w:ilvl w:val="0"/>
          <w:numId w:val="44"/>
        </w:numPr>
        <w:jc w:val="both"/>
      </w:pPr>
      <w:r>
        <w:t>Utarbeta rapporter för Europaparlamentet, ministerrådet och allmänheten om genomförandet av vattendirektivet och dess särdirektiv samt de förbättringar av tillståndet för vattenmiljön som har uppnåtts till följd av detta.</w:t>
      </w:r>
    </w:p>
    <w:p w:rsidR="000215C5" w:rsidRDefault="00703023">
      <w:pPr>
        <w:numPr>
          <w:ilvl w:val="0"/>
          <w:numId w:val="44"/>
        </w:numPr>
        <w:jc w:val="both"/>
      </w:pPr>
      <w:r>
        <w:t>Bestämma hur mycket EU-finansiering som behövs för att stödja genomförandet av politiska åtgärder (t.ex. genom strukturfonder, Sammanhållningsfonden, landsbygdsutvecklingsfonder och annan finansiering).</w:t>
      </w:r>
    </w:p>
    <w:p w:rsidR="000215C5" w:rsidRDefault="00703023">
      <w:pPr>
        <w:jc w:val="both"/>
      </w:pPr>
      <w:r>
        <w:t>Europeiska miljöbyrån kommer dessutom att använda den information som lämnas för att komplettera de uppgifter som samlas in genom byråns egna rapporteringskanaler när den tar fram integrerade miljöuppgifter och indikatoruppsättningar, bedömningar</w:t>
      </w:r>
      <w:r w:rsidR="00661070">
        <w:t xml:space="preserve"> och tematiska analyser på EU</w:t>
      </w:r>
      <w:r w:rsidR="00661070">
        <w:noBreakHyphen/>
        <w:t>, </w:t>
      </w:r>
      <w:r>
        <w:t>alleuropeisk och regional nivå.</w:t>
      </w:r>
    </w:p>
    <w:p w:rsidR="000215C5" w:rsidRDefault="00703023">
      <w:pPr>
        <w:jc w:val="both"/>
      </w:pPr>
      <w:r>
        <w:t>I likhet med rapporteringen om de första förvaltningsplanerna, sker rapporteringen på flera nivåer enligt följande:</w:t>
      </w:r>
    </w:p>
    <w:p w:rsidR="000215C5" w:rsidRDefault="00703023">
      <w:pPr>
        <w:numPr>
          <w:ilvl w:val="0"/>
          <w:numId w:val="64"/>
        </w:numPr>
        <w:jc w:val="both"/>
        <w:rPr>
          <w:i/>
        </w:rPr>
      </w:pPr>
      <w:r>
        <w:rPr>
          <w:i/>
        </w:rPr>
        <w:t>Vattenförekomstnivå</w:t>
      </w:r>
    </w:p>
    <w:p w:rsidR="000215C5" w:rsidRDefault="00703023">
      <w:pPr>
        <w:ind w:left="720"/>
        <w:jc w:val="both"/>
      </w:pPr>
      <w:r>
        <w:t>Vattenförekomster utgör vattendirektivets bedömningsnivå. Vattenförekomster är direktivets grundläggande fysiska enhet. Karakterisering, påverkan, effekter, mål, övervakning och bedömningar tillkommer. Vattenförekomster är därför den huvudsakliga rapporteringsenheten för dessa delar av vattendirektivets genomförande. Information på vattenförekomstnivå presenteras på samma sätt i Wise och rapporteringen kommer att möjliggöra aggregering på nivån för avrinningsdistrikt och på nationell nivå och EU-nivå. Kommissionen kan inte bedöma genomförandet på lämpligt sätt utan information som rapporteras på vattenförekomstnivå.</w:t>
      </w:r>
    </w:p>
    <w:p w:rsidR="000215C5" w:rsidRDefault="00703023">
      <w:pPr>
        <w:numPr>
          <w:ilvl w:val="0"/>
          <w:numId w:val="64"/>
        </w:numPr>
        <w:jc w:val="both"/>
      </w:pPr>
      <w:r>
        <w:rPr>
          <w:i/>
        </w:rPr>
        <w:t>Avrinningsdistrikt eller delavrinningsdistrikt</w:t>
      </w:r>
    </w:p>
    <w:p w:rsidR="000215C5" w:rsidRDefault="00703023">
      <w:pPr>
        <w:ind w:left="720"/>
        <w:jc w:val="both"/>
      </w:pPr>
      <w:r>
        <w:t>Metoderna och strategierna tas vanligen fram för (den nationella delen av) avrinningsdistrikt eller på nationell nivå, vilket innebär att det är den lämpliga rapporteringsnivån. Dessutom rapporteras åtgärder för (den nationella delen av) avrinningsdistrikt eller per delavrinningsdistrikt</w:t>
      </w:r>
      <w:r>
        <w:rPr>
          <w:rStyle w:val="Fotnotsreferens"/>
        </w:rPr>
        <w:footnoteReference w:id="6"/>
      </w:r>
      <w:r>
        <w:t xml:space="preserve"> enligt vattendirektivets krav, för att ta med en sammanfattning av åtgärdsprogrammen i förvaltningsplanerna. Att rapportera åtgärder utifrån vattenförekomstnivå skulle vara oproportionerligt och oanvändbart på EU-nivå.</w:t>
      </w:r>
    </w:p>
    <w:p w:rsidR="000215C5" w:rsidRDefault="00703023">
      <w:pPr>
        <w:jc w:val="both"/>
      </w:pPr>
      <w:r>
        <w:t>Eftersom de nationella rapporteringssystemen utvecklas enligt Inspire-kraven kan fysisk rapportering på EU-nivå bli mindre nödvändig. Denna utveckling kommer dock att stödjas genom att Wise kopplas till de nationella systemen. Under tiden kommer kommissionen och medlemsstaterna att fortsätta arbeta med de tillgängliga verktygen. Mer information om framtida rapportering finns i kapitel 12 i denna vägledning.</w:t>
      </w:r>
    </w:p>
    <w:p w:rsidR="000215C5" w:rsidRDefault="00703023">
      <w:pPr>
        <w:jc w:val="both"/>
      </w:pPr>
      <w:r>
        <w:t>Kommissionen och Europeiska miljöbyrån behöver fortfarande utföra djupgående bedömningar av nya och framväxande problem på vattenområdet, hur de påverkar vattenmiljön och hur medlemsstaterna hanterar dem genom sin politik. Kommissionen får ofta tidskrävande informationsförfrågningar från Europaparlamentet och medborgarna. En detaljerad och fullständig rapportering om vattendirektivet ska utgöra en värdefull informationskälla för dessa bedömningar och förfrågningar.</w:t>
      </w:r>
    </w:p>
    <w:p w:rsidR="000215C5" w:rsidRDefault="00703023">
      <w:pPr>
        <w:pStyle w:val="Rubrik2"/>
        <w:jc w:val="both"/>
      </w:pPr>
      <w:bookmarkStart w:id="30" w:name="_Toc386464206"/>
      <w:bookmarkStart w:id="31" w:name="_Toc425522029"/>
      <w:bookmarkStart w:id="32" w:name="_Toc432666043"/>
      <w:bookmarkStart w:id="33" w:name="_Toc437520239"/>
      <w:r>
        <w:t>Nytt innehåll i rapporteringen 2016</w:t>
      </w:r>
      <w:bookmarkEnd w:id="28"/>
      <w:bookmarkEnd w:id="30"/>
      <w:bookmarkEnd w:id="31"/>
      <w:bookmarkEnd w:id="32"/>
      <w:bookmarkEnd w:id="33"/>
    </w:p>
    <w:p w:rsidR="000215C5" w:rsidRDefault="00703023">
      <w:pPr>
        <w:jc w:val="both"/>
      </w:pPr>
      <w:r>
        <w:t>Rapporteringen om den andra versionen av förvaltningsplanerna 2016 innehåller nyheter. Vissa nya inslag beror på lagstiftning som inte hade trätt i kraft när de första förvaltningsplanerna antogs, andra beror på att den andra versionen kan jämföras med den första, vilket i sin tur gör det möjligt att bedöma framstegen mot att uppnå de uppsatta målen. I det följande avsnittet beskrivs ett antal aspekter som är nya för rapporteringen 2016 och tas upp i den reviderade vägledningen om rapporteringen i samband med ramdirektivet för vatten.</w:t>
      </w:r>
    </w:p>
    <w:p w:rsidR="000215C5" w:rsidRDefault="00703023">
      <w:pPr>
        <w:pStyle w:val="ListNumber2Level4"/>
        <w:numPr>
          <w:ilvl w:val="0"/>
          <w:numId w:val="64"/>
        </w:numPr>
        <w:jc w:val="both"/>
      </w:pPr>
      <w:r>
        <w:t>Generellt blir det med den andra versionen av förvaltningsplanerna möjligt att mäta utvecklingen av ett antal aspekter sedan antagandet av de första förvaltningsplanerna 2009</w:t>
      </w:r>
      <w:r>
        <w:rPr>
          <w:rStyle w:val="Fotnotsreferens"/>
        </w:rPr>
        <w:footnoteReference w:id="7"/>
      </w:r>
      <w:r>
        <w:t>:</w:t>
      </w:r>
    </w:p>
    <w:p w:rsidR="000215C5" w:rsidRDefault="00703023">
      <w:pPr>
        <w:numPr>
          <w:ilvl w:val="0"/>
          <w:numId w:val="73"/>
        </w:numPr>
        <w:jc w:val="both"/>
      </w:pPr>
      <w:r>
        <w:t xml:space="preserve">För det första blir det möjligt att mäta </w:t>
      </w:r>
      <w:r>
        <w:rPr>
          <w:b/>
        </w:rPr>
        <w:t>framstegen mot att uppnå miljömålen</w:t>
      </w:r>
      <w:r>
        <w:t xml:space="preserve"> genom att jämföra den status som rapporteras i den andra versionen av förvaltningsplanerna med den som rapporteras i den första. Som ett resultat av diskussionerna inom CIS (WG DIS, SCG och vattenförvaltningarna) kommer rapporteringen om den andra versionen av förvaltningsplanerna att möjliggöra en bedömning av framstegen med de individuella kvalitetsfaktorerna, förutom rapporteringen om allmän ekologisk och kemisk status.</w:t>
      </w:r>
    </w:p>
    <w:p w:rsidR="000215C5" w:rsidRDefault="00703023">
      <w:pPr>
        <w:numPr>
          <w:ilvl w:val="0"/>
          <w:numId w:val="73"/>
        </w:numPr>
        <w:jc w:val="both"/>
      </w:pPr>
      <w:r>
        <w:t xml:space="preserve">Framsteg mot det </w:t>
      </w:r>
      <w:r>
        <w:rPr>
          <w:b/>
        </w:rPr>
        <w:t>förväntade målet att uppnå god status senast 2015</w:t>
      </w:r>
      <w:r>
        <w:t xml:space="preserve">. Efter den föregående rapporteringen tog kommissionen fram denna information från medlemsstaternas rapporterade information om undantag i de första förvaltningsplanerna. Detta ledde till vissa tolkningssvårigheter, särskilt för vattenförekomster med okänd status. För den andra versionen av förvaltningsplanerna krävs det uttryckligen att medlemsstaterna på vattenförekomstnivå ska rapportera om vattenförekomsten </w:t>
      </w:r>
      <w:r>
        <w:rPr>
          <w:i/>
        </w:rPr>
        <w:t>förväntas</w:t>
      </w:r>
      <w:r>
        <w:t xml:space="preserve"> uppnå god status 2015. Detta ger medlemsstaterna mer kontroll över denna viktiga information och felaktiga resultat i aggregationsprocessen på EU-nivå kan undvikas. Den direkta användningen av statusbedömningar i den andra versionen av förvaltningsplanerna kan leda till felaktiga bedömningar, eftersom statusbedömningarna sannolikt baseras på övervakningsuppgifter från perioden 2010–2013, med tanke på att förvaltningsplanerna utarbetas 2014 för offentligt samråd. Den status som anges i förvaltningsplanerna återspeglar därför inte nödvändigtvis förväntad status 2015. Beroende på vilken metod medlemsstaterna använder kan resultaten från riskbedömningen 2013 (artikel 5 i vattendirektivet) även bidra till att fastställa om vattenförekomsterna kommer att uppnå god status 2015. Detta krav leder inte till nya engångsbedömningar, men medlemsstaterna kan använda resultaten från riskbedömningen 2013 tillsammans med statusbedömningarna i den andra versionen av förvaltningsplanerna för att ge kommissionen relevant information.</w:t>
      </w:r>
    </w:p>
    <w:p w:rsidR="000215C5" w:rsidRDefault="00703023">
      <w:pPr>
        <w:numPr>
          <w:ilvl w:val="0"/>
          <w:numId w:val="72"/>
        </w:numPr>
        <w:jc w:val="both"/>
      </w:pPr>
      <w:r>
        <w:t xml:space="preserve">Den andra versionen av förvaltningsplanerna förväntas också leda till </w:t>
      </w:r>
      <w:r>
        <w:rPr>
          <w:b/>
        </w:rPr>
        <w:t>förbättrade metoder</w:t>
      </w:r>
      <w:r>
        <w:t xml:space="preserve"> i många medlemsstater. Dessa förbättringar förväntas fylla de luckor som identifierades i de första förvaltningsplanerna.</w:t>
      </w:r>
    </w:p>
    <w:p w:rsidR="000215C5" w:rsidRDefault="00703023">
      <w:pPr>
        <w:pStyle w:val="ListNumber2Level4"/>
        <w:numPr>
          <w:ilvl w:val="0"/>
          <w:numId w:val="64"/>
        </w:numPr>
        <w:jc w:val="both"/>
      </w:pPr>
      <w:r>
        <w:t xml:space="preserve">Enligt bilaga VII del B i vattendirektivet ska medlemsstaterna i den andra versionen av förvaltningsplanerna också rapportera om </w:t>
      </w:r>
      <w:r>
        <w:rPr>
          <w:b/>
        </w:rPr>
        <w:t>ändringarna sedan de första förvaltningsplanerna</w:t>
      </w:r>
      <w:r>
        <w:t>, särskilt</w:t>
      </w:r>
    </w:p>
    <w:p w:rsidR="000215C5" w:rsidRDefault="00703023">
      <w:pPr>
        <w:pStyle w:val="ListNumber2Level4"/>
        <w:numPr>
          <w:ilvl w:val="0"/>
          <w:numId w:val="74"/>
        </w:numPr>
        <w:ind w:left="1077" w:hanging="357"/>
        <w:jc w:val="both"/>
      </w:pPr>
      <w:r>
        <w:t>en sammanfattning av de revideringar av undantag som gjorts enligt artikel 4.4–4.7,</w:t>
      </w:r>
    </w:p>
    <w:p w:rsidR="000215C5" w:rsidRDefault="00703023">
      <w:pPr>
        <w:pStyle w:val="ListNumber2Level4"/>
        <w:numPr>
          <w:ilvl w:val="0"/>
          <w:numId w:val="74"/>
        </w:numPr>
        <w:ind w:left="1077" w:hanging="357"/>
        <w:jc w:val="both"/>
      </w:pPr>
      <w:r>
        <w:t>en förklaring till varför ett eller flera miljömål inte har uppnåtts,</w:t>
      </w:r>
    </w:p>
    <w:p w:rsidR="000215C5" w:rsidRDefault="00703023">
      <w:pPr>
        <w:pStyle w:val="ListNumber2Level4"/>
        <w:numPr>
          <w:ilvl w:val="0"/>
          <w:numId w:val="74"/>
        </w:numPr>
        <w:ind w:left="1077" w:hanging="357"/>
        <w:jc w:val="both"/>
      </w:pPr>
      <w:r>
        <w:t>en sammanfattning av, och en förklaring till, varje åtgärd som planerades i den tidigare versionen av förvaltningsplanen för avrinningsdistriktet och som inte har vidtagits,</w:t>
      </w:r>
    </w:p>
    <w:p w:rsidR="000215C5" w:rsidRDefault="00703023">
      <w:pPr>
        <w:pStyle w:val="ListNumber2Level4"/>
        <w:numPr>
          <w:ilvl w:val="0"/>
          <w:numId w:val="74"/>
        </w:numPr>
        <w:ind w:left="1077" w:hanging="357"/>
        <w:jc w:val="both"/>
      </w:pPr>
      <w:r>
        <w:t>en sammanfattning av varje ytterligare övergångsåtgärd som i enlighet med artikel 11.5 antagits sedan offentliggörandet av den föregående versionen av förvaltningsplanen för avrinningsdistriktet.</w:t>
      </w:r>
    </w:p>
    <w:p w:rsidR="000215C5" w:rsidRDefault="00703023">
      <w:pPr>
        <w:jc w:val="both"/>
      </w:pPr>
      <w:r>
        <w:t xml:space="preserve">En del av medlemsstaterna kan ha </w:t>
      </w:r>
      <w:r>
        <w:rPr>
          <w:b/>
        </w:rPr>
        <w:t>ändrat avgränsningen av (vissa av) sina vattenförekomster</w:t>
      </w:r>
      <w:r>
        <w:t xml:space="preserve"> som ett led i översynen av karakteriseringen av avrinningsdistrikt.</w:t>
      </w:r>
    </w:p>
    <w:p w:rsidR="000215C5" w:rsidRDefault="00703023">
      <w:pPr>
        <w:jc w:val="both"/>
      </w:pPr>
      <w:r>
        <w:t xml:space="preserve">Direktiv 2008/105/EG om miljökvalitetsnormer, som antogs 2008, är fullständigt tillämpligt på den andra versionen av förvaltningsplanerna. Vissa medlemsstater genomförde inte direktivet inom ramen för de första förvaltningsplanerna, eftersom tidsfristen för införlivande löpte ut i juli 2010, efter antagandet av förvaltningsplanerna. </w:t>
      </w:r>
      <w:r>
        <w:rPr>
          <w:b/>
        </w:rPr>
        <w:t>Följande punkter i direktivet om miljökvalitetsnormer som inte rapporterades 2010 är relevanta för den andra versionen av förvaltningsplanerna</w:t>
      </w:r>
      <w:r>
        <w:t>:</w:t>
      </w:r>
    </w:p>
    <w:p w:rsidR="000215C5" w:rsidRDefault="00703023">
      <w:pPr>
        <w:numPr>
          <w:ilvl w:val="0"/>
          <w:numId w:val="4"/>
        </w:numPr>
        <w:jc w:val="both"/>
      </w:pPr>
      <w:r>
        <w:t>Register över utsläpp och spill.</w:t>
      </w:r>
    </w:p>
    <w:p w:rsidR="000215C5" w:rsidRDefault="00703023">
      <w:pPr>
        <w:numPr>
          <w:ilvl w:val="0"/>
          <w:numId w:val="4"/>
        </w:numPr>
        <w:jc w:val="both"/>
      </w:pPr>
      <w:r>
        <w:t>Övervakning av tendenser hos sediment och/eller biota för prioriterade ämnen.</w:t>
      </w:r>
    </w:p>
    <w:p w:rsidR="000215C5" w:rsidRDefault="00703023">
      <w:pPr>
        <w:numPr>
          <w:ilvl w:val="0"/>
          <w:numId w:val="4"/>
        </w:numPr>
        <w:jc w:val="both"/>
      </w:pPr>
      <w:r>
        <w:t>Blandningszoner.</w:t>
      </w:r>
    </w:p>
    <w:p w:rsidR="000215C5" w:rsidRDefault="00703023">
      <w:pPr>
        <w:jc w:val="both"/>
      </w:pPr>
      <w:r>
        <w:t xml:space="preserve">Dessutom är </w:t>
      </w:r>
      <w:r>
        <w:rPr>
          <w:b/>
        </w:rPr>
        <w:t>direktiv 2009/90/EG</w:t>
      </w:r>
      <w:r>
        <w:rPr>
          <w:rStyle w:val="Fotnotsreferens"/>
        </w:rPr>
        <w:footnoteReference w:id="8"/>
      </w:r>
      <w:r>
        <w:t xml:space="preserve"> om tekniska specifikationer och standardmetoder fullständigt tillämpligt på den andra versionen av förvaltningsplanerna. </w:t>
      </w:r>
    </w:p>
    <w:p w:rsidR="000215C5" w:rsidRDefault="00703023">
      <w:pPr>
        <w:jc w:val="both"/>
      </w:pPr>
      <w:r>
        <w:t xml:space="preserve">Det ska också noteras att tidsfristen för införlivandet av </w:t>
      </w:r>
      <w:r>
        <w:rPr>
          <w:b/>
        </w:rPr>
        <w:t>direktiv 2013/39/EU</w:t>
      </w:r>
      <w:r>
        <w:t xml:space="preserve"> vad gäller prioriterade ämnen är den 14 september 2015, men de åtgärdsprogram som rapporteras 2016 måste ändå innehålla åtgärder för att uppnå god kemisk status för dessa ämnen i de fall EQS har reviderats.</w:t>
      </w:r>
    </w:p>
    <w:p w:rsidR="000215C5" w:rsidRDefault="00703023">
      <w:pPr>
        <w:jc w:val="both"/>
      </w:pPr>
      <w:r>
        <w:t xml:space="preserve">När det gäller grundvattendirektivet blir det i och med den andra versionen av förvaltningsplanerna möjligt att för första gången göra en </w:t>
      </w:r>
      <w:r>
        <w:rPr>
          <w:b/>
        </w:rPr>
        <w:t>bedömning av tendenser gällande miljöfarliga ämnen i grundvattnet</w:t>
      </w:r>
      <w:r>
        <w:t xml:space="preserve"> genom en jämförelse av övervakningsresultaten med de första förvaltningsplanerna.</w:t>
      </w:r>
    </w:p>
    <w:p w:rsidR="000215C5" w:rsidRDefault="00703023">
      <w:pPr>
        <w:pStyle w:val="Rubrik2"/>
        <w:jc w:val="both"/>
      </w:pPr>
      <w:bookmarkStart w:id="34" w:name="_Toc375220038"/>
      <w:bookmarkStart w:id="35" w:name="_Toc386464207"/>
      <w:bookmarkStart w:id="36" w:name="_Toc425522030"/>
      <w:bookmarkStart w:id="37" w:name="_Toc432666044"/>
      <w:bookmarkStart w:id="38" w:name="_Toc437520240"/>
      <w:r>
        <w:t>Innehåll i rapporteringen 2016</w:t>
      </w:r>
      <w:bookmarkEnd w:id="34"/>
      <w:bookmarkEnd w:id="35"/>
      <w:bookmarkEnd w:id="36"/>
      <w:bookmarkEnd w:id="37"/>
      <w:bookmarkEnd w:id="38"/>
    </w:p>
    <w:p w:rsidR="000215C5" w:rsidRDefault="00703023">
      <w:pPr>
        <w:jc w:val="both"/>
      </w:pPr>
      <w:r>
        <w:t>Rapporteringen 2010 i samband med de första förvaltningsplanerna bestod av följande tre huvuddelar:</w:t>
      </w:r>
    </w:p>
    <w:p w:rsidR="000215C5" w:rsidRDefault="00703023">
      <w:pPr>
        <w:numPr>
          <w:ilvl w:val="0"/>
          <w:numId w:val="3"/>
        </w:numPr>
        <w:jc w:val="both"/>
      </w:pPr>
      <w:r>
        <w:t xml:space="preserve">Förvaltningsplaner för avrinningsdistrikt, åtgärdsplaner och stödjande bakgrundsdokument. </w:t>
      </w:r>
    </w:p>
    <w:p w:rsidR="000215C5" w:rsidRDefault="00703023">
      <w:pPr>
        <w:numPr>
          <w:ilvl w:val="0"/>
          <w:numId w:val="3"/>
        </w:numPr>
        <w:jc w:val="both"/>
      </w:pPr>
      <w:r>
        <w:t>Elektroniska strukturerade data (XML-filer).</w:t>
      </w:r>
    </w:p>
    <w:p w:rsidR="000215C5" w:rsidRDefault="00703023">
      <w:pPr>
        <w:numPr>
          <w:ilvl w:val="0"/>
          <w:numId w:val="3"/>
        </w:numPr>
        <w:jc w:val="both"/>
      </w:pPr>
      <w:r>
        <w:t>Rumsliga datauppsättningar.</w:t>
      </w:r>
    </w:p>
    <w:p w:rsidR="000215C5" w:rsidRDefault="00703023">
      <w:pPr>
        <w:jc w:val="both"/>
      </w:pPr>
      <w:r>
        <w:t xml:space="preserve">Alla tre delarna förväntas ingå i rapporteringen 2016 i samband med den andra versionen av förvaltningsplanerna. Erfarenheten från rapporteringen 2010 har dock visat att rapporteringsmetoderna med långa sammanfattningar varken var användbara eller lämpliga. Det var ofta nödvändigt att använda mer detaljerade bakgrundsdokument för att förstå medlemsstaternas metoder. Det var också betungande för medlemsstaterna att ta fram sammanfattningar för varje metodologisk aspekt som ska redovisas. Därför kommer en annan metod att användas för rapporteringen 2016, som baseras på </w:t>
      </w:r>
      <w:r>
        <w:rPr>
          <w:b/>
        </w:rPr>
        <w:t>riktade frågor</w:t>
      </w:r>
      <w:r>
        <w:t xml:space="preserve"> som tagits från efterlevnadsbedömningen av den första versionen av förvaltningsplanerna. Om möjligt kommer ett antal fasta (begränsade) svar att finnas för varje fråga, av vilka medlemsstaterna väljer det svar som passar bäst. Medlemsstaten ska också ange en exakt hänvisning till det berörda avsnittet i förvaltningsplanen, åtgärdsplanen eller bakgrundsdokumentet, där det finns mer detaljerad information. Med denna metod kommer både rapporteringen och sammanfattningarna av bedömningarna att bli mindre betungande och komplicerade. Den information som finns tillgänglig i förvaltningsplanerna och/eller åtföljande bakgrundsdokument är tillräcklig. För att se till att all nödvändig information finns tillgänglig för bedömningen kompletteras denna rutin med </w:t>
      </w:r>
      <w:r>
        <w:rPr>
          <w:b/>
        </w:rPr>
        <w:t>vägledning om innehållet i förvaltningsplaner, åtgärdsplaner eller bakgrundsdokument</w:t>
      </w:r>
      <w:r>
        <w:t xml:space="preserve"> om särskilda frågor, så att det är enkelt att finna mer detaljerad information. Det bör dock betonas att denna </w:t>
      </w:r>
      <w:r>
        <w:rPr>
          <w:b/>
        </w:rPr>
        <w:t>vägledning om innehållet inte är uttömmande</w:t>
      </w:r>
      <w:r>
        <w:t>, utan endast täcker särskilda metodologiska aspekter som ska rapporteras. Förvaltningsplanerna ska också innehålla många andra aspekter enligt vattendirektivet.</w:t>
      </w:r>
    </w:p>
    <w:p w:rsidR="000215C5" w:rsidRDefault="00703023">
      <w:pPr>
        <w:jc w:val="both"/>
      </w:pPr>
      <w:r>
        <w:t xml:space="preserve">Som det anges i avsnitt </w:t>
      </w:r>
      <w:r>
        <w:fldChar w:fldCharType="begin"/>
      </w:r>
      <w:r>
        <w:instrText xml:space="preserve"> REF _Ref384714940 \r \h  \* MERGEFORMAT </w:instrText>
      </w:r>
      <w:r>
        <w:fldChar w:fldCharType="separate"/>
      </w:r>
      <w:r>
        <w:t>1.2</w:t>
      </w:r>
      <w:r>
        <w:fldChar w:fldCharType="end"/>
      </w:r>
      <w:r>
        <w:t xml:space="preserve"> kommer det att vara svårt för vissa medlemsstater att lämna alla uppgifter och all information som krävs enligt vägledningen om rapporteringen i samband med vattendirektivet på grund av luckor i genomförandet eller andra orsaker. </w:t>
      </w:r>
      <w:r>
        <w:rPr>
          <w:b/>
        </w:rPr>
        <w:t>Medlemsstaterna uppmanas därför att ladda upp en kortfattad förklarande an</w:t>
      </w:r>
      <w:r w:rsidR="003E5628">
        <w:rPr>
          <w:b/>
        </w:rPr>
        <w:t>märkning (ett ”Läs detta först”</w:t>
      </w:r>
      <w:r w:rsidR="00661070">
        <w:rPr>
          <w:b/>
        </w:rPr>
        <w:noBreakHyphen/>
      </w:r>
      <w:r>
        <w:rPr>
          <w:b/>
        </w:rPr>
        <w:t>dokument)</w:t>
      </w:r>
      <w:r>
        <w:t>, där de anger vilken information som de inte kan rapportera och skälen till detta enligt mallen i bilaga 0. Om medlemsstaterna förfogar över information men den är i fel format och därför inte kan rapporteras bör de infoga hänvisningar till var informationen kan hittas. Om informationen inte kan lämnas av andra anledningar bör medlemsstaterna lämna en kortfattad förklaring till detta. Om anledningen är luckor eller förseningar i genomförandet förväntas medlemsstaterna ange sina planer för att korrigera luckorna eller lämna hänvisningar till var prognoserna kan hittas i förvaltningsplanerna. Denna information kan antingen lämnas på medlemsstatsnivå eller per avrinningsdistrikt. Om medlemsstaterna har rapporterat all begärd information behövs ingen förklarande anmärkning.</w:t>
      </w:r>
    </w:p>
    <w:p w:rsidR="000215C5" w:rsidRDefault="00703023">
      <w:pPr>
        <w:pStyle w:val="Rubrik2"/>
        <w:jc w:val="both"/>
      </w:pPr>
      <w:bookmarkStart w:id="39" w:name="_Toc386464208"/>
      <w:bookmarkStart w:id="40" w:name="_Ref403029344"/>
      <w:bookmarkStart w:id="41" w:name="_Toc425522031"/>
      <w:bookmarkStart w:id="42" w:name="_Toc432666045"/>
      <w:bookmarkStart w:id="43" w:name="_Toc437520241"/>
      <w:bookmarkStart w:id="44" w:name="_Toc375220039"/>
      <w:r>
        <w:t>Rapportering av förvaltningsplaner och bakgrundsdokument</w:t>
      </w:r>
      <w:bookmarkEnd w:id="39"/>
      <w:bookmarkEnd w:id="40"/>
      <w:bookmarkEnd w:id="41"/>
      <w:bookmarkEnd w:id="42"/>
      <w:bookmarkEnd w:id="43"/>
    </w:p>
    <w:p w:rsidR="000215C5" w:rsidRDefault="00703023">
      <w:pPr>
        <w:jc w:val="both"/>
      </w:pPr>
      <w:r>
        <w:t>Rapporten om erfarenheter från rapporteringen och bedömningen av de första förvaltningsplanerna visade att stora problem hade uppstått till följd av att medlemsstaterna hade rapporterat instabila hyperlänkar. I vissa fall hade hyperlänkarna ändrats under perioden mellan rapporteringen och bedömningen, och i andra fall hade de dokument som medlemsstaterna hänvisade till ändrats eller uppdaterats, vilket ledde till skillnader mellan den information som rapporterades i förvaltningsplanerna eller i form av elektroniska uppgifter och innehållet i bakgrundsdokumenten.</w:t>
      </w:r>
    </w:p>
    <w:p w:rsidR="000215C5" w:rsidRDefault="00703023">
      <w:pPr>
        <w:jc w:val="both"/>
      </w:pPr>
      <w:r>
        <w:t>För att komma till rätta med dessa svårigheter kan medlemsstaterna nu välja mellan två alternativ när de lämnar in bakgrundsdokumenten:</w:t>
      </w:r>
    </w:p>
    <w:p w:rsidR="000215C5" w:rsidRDefault="00703023">
      <w:pPr>
        <w:numPr>
          <w:ilvl w:val="0"/>
          <w:numId w:val="43"/>
        </w:numPr>
        <w:jc w:val="both"/>
      </w:pPr>
      <w:r>
        <w:t xml:space="preserve">Ladda upp en kopia av dokumenten till Wise, inklusive en tydlig hänvisning (dokument och avsnitt) där så krävs i de elektroniska uppgifterna (vägledning om hur filerna ska namnges finns i användarhandboken för rapportering till Wise, se bilaga 6). </w:t>
      </w:r>
    </w:p>
    <w:p w:rsidR="000215C5" w:rsidRDefault="00703023">
      <w:pPr>
        <w:numPr>
          <w:ilvl w:val="0"/>
          <w:numId w:val="43"/>
        </w:numPr>
        <w:jc w:val="both"/>
      </w:pPr>
      <w:r>
        <w:t>Infoga en tydlig hänvisning (dokument och avsnitt) och en URL till det dokument som finns lagrat hos medlemsstaten. Om det sistnämnda alternativet väljs måste medlemsstaterna säkerställa att hyperlänken kommer att vara aktiv under sex år efter rapporteringen och att det dokument som hänvisningen gäller inte uppdateras.</w:t>
      </w:r>
    </w:p>
    <w:p w:rsidR="000215C5" w:rsidRDefault="00703023">
      <w:pPr>
        <w:pStyle w:val="Rubrik2"/>
        <w:jc w:val="both"/>
      </w:pPr>
      <w:bookmarkStart w:id="45" w:name="_Toc386464209"/>
      <w:bookmarkStart w:id="46" w:name="_Ref425089935"/>
      <w:bookmarkStart w:id="47" w:name="_Toc425522032"/>
      <w:bookmarkStart w:id="48" w:name="_Toc432666046"/>
      <w:bookmarkStart w:id="49" w:name="_Toc437520242"/>
      <w:r>
        <w:t>Obligatorisk och frivillig rapportering</w:t>
      </w:r>
      <w:bookmarkEnd w:id="44"/>
      <w:bookmarkEnd w:id="45"/>
      <w:bookmarkEnd w:id="46"/>
      <w:bookmarkEnd w:id="47"/>
      <w:bookmarkEnd w:id="48"/>
      <w:bookmarkEnd w:id="49"/>
    </w:p>
    <w:p w:rsidR="000215C5" w:rsidRDefault="00703023">
      <w:pPr>
        <w:jc w:val="both"/>
      </w:pPr>
      <w:r>
        <w:t xml:space="preserve">Enligt artikel 15 i ramdirektivet för vatten ska medlemsstaterna sända kopior av sina förvaltningsplaner för avrinningsdistrikt till kommissionen. Enligt artikel 20 kan kommissionen ta fram tekniska format för rapportering via kommittéförfarandet. Detta alternativ har aldrig använts. I stället nåddes en överenskommelse med vattenförvaltningarna 2003 om att utveckla Wise via den informella CIS-processen. Resultatet av denna process är CIS-vägledningsdokument nr 21: </w:t>
      </w:r>
      <w:r>
        <w:rPr>
          <w:i/>
        </w:rPr>
        <w:t>Guidance for reporting under the Water Framework Directive</w:t>
      </w:r>
      <w:r>
        <w:t xml:space="preserve"> samt förfarandet och vägledningen för elektronisk rapportering av uppgifter till Wise, som ses över i denna vägledning om rapporteringen i samband med ramdirektivet för vatten.</w:t>
      </w:r>
    </w:p>
    <w:p w:rsidR="000215C5" w:rsidRDefault="00703023">
      <w:pPr>
        <w:jc w:val="both"/>
      </w:pPr>
      <w:r>
        <w:t>Grunden för elektronisk rapportering av uppgifter är alltså informell, och därför inte rättsligt bindande. Utan den elektroniska rapporteringen skulle kommissionen dock ha svårt att utföra efterlevnadskontroller och rapportera till rådet och Europaparlamentet om genomförandet av vattendirektivet. Kommissionen har dessutom uppgiften att se över EU-politik och vid behov föreslå ändringar. Översynen av ramdirektivet för vatten planeras till 2019. Rapporteringen och den efterföljande bedömningen av uppgifter för den andra versionen av förvaltningsplanerna 2016 kommer att vara ett av de viktigaste underlagen i kommissionens översyn.</w:t>
      </w:r>
    </w:p>
    <w:p w:rsidR="000215C5" w:rsidRDefault="00703023">
      <w:pPr>
        <w:jc w:val="both"/>
      </w:pPr>
      <w:r>
        <w:t>Därför klassificeras uppgifterna för den elektroniska rapporteringen i följande tre kategorier i denna vägledning:</w:t>
      </w:r>
    </w:p>
    <w:p w:rsidR="000215C5" w:rsidRDefault="00703023">
      <w:pPr>
        <w:numPr>
          <w:ilvl w:val="0"/>
          <w:numId w:val="3"/>
        </w:numPr>
        <w:jc w:val="both"/>
      </w:pPr>
      <w:r>
        <w:t>Obligatoriska: uppgifterna ska rapporteras.</w:t>
      </w:r>
    </w:p>
    <w:p w:rsidR="000215C5" w:rsidRDefault="00703023">
      <w:pPr>
        <w:numPr>
          <w:ilvl w:val="0"/>
          <w:numId w:val="3"/>
        </w:numPr>
        <w:jc w:val="both"/>
      </w:pPr>
      <w:r>
        <w:t>Villkorliga: beroende på innehållet i eller svaren på vissa rapporteringsuppgifter kan villkorliga uppgifter vara nödvändiga eller inte nödvändiga.</w:t>
      </w:r>
    </w:p>
    <w:p w:rsidR="000215C5" w:rsidRDefault="00703023">
      <w:pPr>
        <w:numPr>
          <w:ilvl w:val="0"/>
          <w:numId w:val="3"/>
        </w:numPr>
        <w:jc w:val="both"/>
      </w:pPr>
      <w:r>
        <w:t>Valfria: medlemsstaterna kan lämna ytterligare information om de anser att det är lämpligt; information som bör lämnas ”om möjligt” eller ”om den finns tillgänglig” i denna vägledning är också valfri.</w:t>
      </w:r>
    </w:p>
    <w:p w:rsidR="000215C5" w:rsidRDefault="00703023">
      <w:pPr>
        <w:jc w:val="both"/>
      </w:pPr>
      <w:r>
        <w:t xml:space="preserve">De valideringsregler som tillämpas på de rapporterade uppgifterna för kvalitetssäkring har utvecklats utifrån denna grund. </w:t>
      </w:r>
      <w:r>
        <w:rPr>
          <w:b/>
        </w:rPr>
        <w:t>Denna klassificering</w:t>
      </w:r>
      <w:r>
        <w:t>, som anses vara användbar, har behållits för rapporteringen om den andra versionen av förvaltningsplanerna. De valfria uppgifterna har dock begränsats till vad som är absolut nödvändigt, eftersom rapporteringen inriktas på uppgifter och information som krävs för tydliga och specifika ändamål.</w:t>
      </w:r>
    </w:p>
    <w:p w:rsidR="000215C5" w:rsidRDefault="00703023">
      <w:pPr>
        <w:pStyle w:val="Rubrik2"/>
        <w:jc w:val="both"/>
      </w:pPr>
      <w:bookmarkStart w:id="50" w:name="_Toc386464210"/>
      <w:bookmarkStart w:id="51" w:name="_Toc425522033"/>
      <w:bookmarkStart w:id="52" w:name="_Toc432666047"/>
      <w:bookmarkStart w:id="53" w:name="_Toc437520243"/>
      <w:r>
        <w:t>Komplementaritet med annan rapportering</w:t>
      </w:r>
      <w:bookmarkEnd w:id="50"/>
      <w:bookmarkEnd w:id="51"/>
      <w:bookmarkEnd w:id="52"/>
      <w:bookmarkEnd w:id="53"/>
    </w:p>
    <w:p w:rsidR="000215C5" w:rsidRDefault="00703023">
      <w:pPr>
        <w:jc w:val="both"/>
      </w:pPr>
      <w:r>
        <w:t xml:space="preserve">Rapporteringen i samband med vattendirektivet ska göras i anslutning till andra </w:t>
      </w:r>
      <w:r>
        <w:rPr>
          <w:b/>
        </w:rPr>
        <w:t>rapporteringskrav enligt andra direktiv</w:t>
      </w:r>
      <w:r>
        <w:t>, t.ex. direktiven om behandling av avloppsvatten från tätbebyggelse</w:t>
      </w:r>
      <w:bookmarkStart w:id="54" w:name="_Ref427327043"/>
      <w:r>
        <w:rPr>
          <w:rStyle w:val="Fotnotsreferens"/>
        </w:rPr>
        <w:footnoteReference w:id="9"/>
      </w:r>
      <w:bookmarkEnd w:id="54"/>
      <w:r>
        <w:t>, nitrater</w:t>
      </w:r>
      <w:bookmarkStart w:id="55" w:name="_Ref427327028"/>
      <w:r>
        <w:rPr>
          <w:rStyle w:val="Fotnotsreferens"/>
        </w:rPr>
        <w:footnoteReference w:id="10"/>
      </w:r>
      <w:bookmarkEnd w:id="55"/>
      <w:r>
        <w:t>, dricksvatten</w:t>
      </w:r>
      <w:r>
        <w:rPr>
          <w:rStyle w:val="Fotnotsreferens"/>
        </w:rPr>
        <w:footnoteReference w:id="11"/>
      </w:r>
      <w:r>
        <w:t>, badvatten</w:t>
      </w:r>
      <w:bookmarkStart w:id="56" w:name="_Ref427327009"/>
      <w:r>
        <w:rPr>
          <w:rStyle w:val="Fotnotsreferens"/>
        </w:rPr>
        <w:footnoteReference w:id="12"/>
      </w:r>
      <w:bookmarkEnd w:id="56"/>
      <w:r>
        <w:t>, ramdirektivet om en marin strategi</w:t>
      </w:r>
      <w:r>
        <w:rPr>
          <w:rStyle w:val="Fotnotsreferens"/>
        </w:rPr>
        <w:footnoteReference w:id="13"/>
      </w:r>
      <w:r>
        <w:t xml:space="preserve"> osv., och även i samband med </w:t>
      </w:r>
      <w:r>
        <w:rPr>
          <w:b/>
        </w:rPr>
        <w:t>dataflödena för</w:t>
      </w:r>
      <w:r>
        <w:t xml:space="preserve"> </w:t>
      </w:r>
      <w:r>
        <w:rPr>
          <w:b/>
        </w:rPr>
        <w:t>Europeiska miljöbyråns miljösituationsrapporter (SoE)</w:t>
      </w:r>
      <w:r>
        <w:t>. Dessa dataflödens komplementaritet måste säkerställas, dubbelarbete måste undvikas och så mycket information som möjligt bör återanvändas för olika ändamål.</w:t>
      </w:r>
    </w:p>
    <w:p w:rsidR="000215C5" w:rsidRDefault="00703023">
      <w:pPr>
        <w:pStyle w:val="Rubrik3"/>
      </w:pPr>
      <w:r>
        <w:t>Europeiska miljöbyråns miljösituationsrapportering</w:t>
      </w:r>
    </w:p>
    <w:p w:rsidR="000215C5" w:rsidRDefault="00703023">
      <w:pPr>
        <w:jc w:val="both"/>
      </w:pPr>
      <w:r>
        <w:t>Europeiska miljöbyrån införde vattenrapportering i mitten på 1990-talet enligt sin förordning</w:t>
      </w:r>
      <w:r>
        <w:rPr>
          <w:rStyle w:val="Fotnotsreferens"/>
        </w:rPr>
        <w:footnoteReference w:id="14"/>
      </w:r>
      <w:r>
        <w:t>, med uppgifter om vattenkvalitet från ett antal övervakningsstationer i sina medlemsländer (under 2013 rapporterades uppgifter från cirka 15 000 flodövervakni</w:t>
      </w:r>
      <w:r w:rsidR="00661070">
        <w:t>ngsstationer) som en del av EEA</w:t>
      </w:r>
      <w:r w:rsidR="00661070">
        <w:noBreakHyphen/>
      </w:r>
      <w:r>
        <w:t>Eionet. Det är mycket viktigt att vattendirektivets övervakningsnätverk samordnas med de stationer som rapporterar till miljöbyråns miljösituationsrapporter, vilket beskrivs närmare i kapitel</w:t>
      </w:r>
      <w:r w:rsidR="004A3C2E">
        <w:t> </w:t>
      </w:r>
      <w:r>
        <w:fldChar w:fldCharType="begin"/>
      </w:r>
      <w:r>
        <w:instrText xml:space="preserve"> REF _Ref403725964 \r \h  \* MERGEFORMAT </w:instrText>
      </w:r>
      <w:r>
        <w:fldChar w:fldCharType="separate"/>
      </w:r>
      <w:r>
        <w:t>4</w:t>
      </w:r>
      <w:r>
        <w:fldChar w:fldCharType="end"/>
      </w:r>
      <w:r>
        <w:t>. Observationsresultaten (t.ex. vattenkvalitetskoncentrationer, ekologiska kvalitetskvoter för biologiska kvalitetsfaktorer) från stationer inom vattendirektivets övervakningsnätverk bör så långt som möjligt rapporteras till miljöbyråns vattenbaser. Miljöbyrån använder dessa uppgifter för att ta fram bedömningar av trender och översikter av status för och påverkan på Europas yt- och grundvatten. Sedan 2008 innehåller Eionet-rapporteringen även uppgifter om utsläpp till vatten och vattenmängder.</w:t>
      </w:r>
    </w:p>
    <w:p w:rsidR="000215C5" w:rsidRDefault="00703023">
      <w:pPr>
        <w:jc w:val="both"/>
      </w:pPr>
      <w:r>
        <w:t xml:space="preserve">Uppgifter om utsläpp och vattenmängder spelar en viktig roll för informationen om påverkan i miljöbyråns miljösituationsrapportering, eftersom de möjliggör kompletterande bedömningar inom DPSIR-ramen. Informationen i miljösituationsrapporterna är oftast mer detaljerad än informationen i rapporteringen i samband med vattendirektivet, eftersom uppgifterna rapporteras för miljöbedömningar och trendanalyser i de miljösituationsrapporter som Europeiska miljöbyrån sammanställer vart femte år tillsammans med sina medlemsländer (se t.ex. SOER </w:t>
      </w:r>
      <w:hyperlink r:id="rId11">
        <w:r>
          <w:rPr>
            <w:rStyle w:val="Hyperlnk"/>
            <w:noProof w:val="0"/>
          </w:rPr>
          <w:t>2010</w:t>
        </w:r>
      </w:hyperlink>
      <w:r>
        <w:t xml:space="preserve"> och </w:t>
      </w:r>
      <w:hyperlink r:id="rId12">
        <w:r>
          <w:rPr>
            <w:rStyle w:val="Hyperlnk"/>
            <w:noProof w:val="0"/>
          </w:rPr>
          <w:t>2015</w:t>
        </w:r>
      </w:hyperlink>
      <w:r>
        <w:t>).</w:t>
      </w:r>
    </w:p>
    <w:p w:rsidR="000215C5" w:rsidRDefault="00703023">
      <w:pPr>
        <w:jc w:val="both"/>
      </w:pPr>
      <w:r>
        <w:t>Strukturen hos dataflödena om utsläpp och vattenmängder i miljösituationsrapporterna överenskoms med miljöbyråns medlemsländer (EU-28 plus Norge, Island, Liechtenstein, Schweiz och Turkiet) inom ramen för Eionet, och beskrivs i vägledningen om miljösituationsrapporteringen [</w:t>
      </w:r>
      <w:hyperlink r:id="rId13">
        <w:r>
          <w:rPr>
            <w:rStyle w:val="Hyperlnk"/>
            <w:noProof w:val="0"/>
          </w:rPr>
          <w:t>länk</w:t>
        </w:r>
      </w:hyperlink>
      <w:r>
        <w:t>]. Rapporteringen görs varje år för avrinningsdistrikt (eller nationella delar av avrinningsdistrikt) eller delavrinningsdistrikt</w:t>
      </w:r>
    </w:p>
    <w:p w:rsidR="000215C5" w:rsidRDefault="00703023">
      <w:pPr>
        <w:jc w:val="both"/>
      </w:pPr>
      <w:r>
        <w:t>Strukturen hos de datauppsättningar som för närvarande rapporteras för utsläpp och vattenmängder i miljösituationsrapporteringen är, när det gäller datamodellen, mycket lik de datauppsättningar som krävs enligt vattendirektivet för information om påverkan med avseende på utsläpp till vatten och vattenkvalitet (uttag och användning av vatten).</w:t>
      </w:r>
    </w:p>
    <w:p w:rsidR="000215C5" w:rsidRDefault="00703023">
      <w:pPr>
        <w:jc w:val="both"/>
      </w:pPr>
      <w:r>
        <w:t xml:space="preserve">För att underlätta rapporteringen i samband med vattendirektivet och undvika dubbel rapportering kan det mesta av den information som krävs enligt avsnitten 9.2 och 9.3 i detta dokument hämtas eller härröras direkt från den information som rapporteras till Europeiska miljöbyråns miljösituationsrapporter, under förutsättning att medlemsstaterna deltar i denna rapportering. </w:t>
      </w:r>
    </w:p>
    <w:p w:rsidR="000215C5" w:rsidRDefault="00703023">
      <w:pPr>
        <w:jc w:val="both"/>
      </w:pPr>
      <w:r>
        <w:t xml:space="preserve">Den praktiska processen att använda information som redan har rapporterats till miljösituationsrapporten inom ramen för vattendirektivet kan beskrivas enligt följande: </w:t>
      </w:r>
    </w:p>
    <w:p w:rsidR="000215C5" w:rsidRDefault="000215C5">
      <w:pPr>
        <w:jc w:val="both"/>
      </w:pPr>
    </w:p>
    <w:p w:rsidR="000215C5" w:rsidRDefault="00703023">
      <w:pPr>
        <w:jc w:val="both"/>
      </w:pPr>
      <w:r>
        <w:rPr>
          <w:noProof/>
          <w:lang w:bidi="ar-SA"/>
        </w:rPr>
        <w:drawing>
          <wp:inline distT="0" distB="0" distL="0" distR="0">
            <wp:extent cx="4159885" cy="311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885" cy="3116580"/>
                    </a:xfrm>
                    <a:prstGeom prst="rect">
                      <a:avLst/>
                    </a:prstGeom>
                    <a:noFill/>
                    <a:ln>
                      <a:noFill/>
                    </a:ln>
                  </pic:spPr>
                </pic:pic>
              </a:graphicData>
            </a:graphic>
          </wp:inline>
        </w:drawing>
      </w:r>
    </w:p>
    <w:p w:rsidR="000215C5" w:rsidRDefault="00703023">
      <w:pPr>
        <w:pStyle w:val="Beskrivning"/>
        <w:jc w:val="both"/>
      </w:pPr>
      <w:r>
        <w:t xml:space="preserve">Figur </w:t>
      </w:r>
      <w:r w:rsidR="00FA0245">
        <w:fldChar w:fldCharType="begin"/>
      </w:r>
      <w:r w:rsidR="00FA0245">
        <w:instrText xml:space="preserve"> SEQ Figure \* ARABIC </w:instrText>
      </w:r>
      <w:r w:rsidR="00FA0245">
        <w:fldChar w:fldCharType="separate"/>
      </w:r>
      <w:r>
        <w:rPr>
          <w:noProof/>
        </w:rPr>
        <w:t>2</w:t>
      </w:r>
      <w:r w:rsidR="00FA0245">
        <w:rPr>
          <w:noProof/>
        </w:rPr>
        <w:fldChar w:fldCharType="end"/>
      </w:r>
      <w:r>
        <w:t xml:space="preserve"> Synergier mellan rapporteringen i samband med vattendirektivet och SoE-rapporteringen</w:t>
      </w:r>
    </w:p>
    <w:p w:rsidR="000215C5" w:rsidRDefault="00703023">
      <w:pPr>
        <w:jc w:val="both"/>
      </w:pPr>
      <w:r>
        <w:t>Om medlemsstaterna deltar i miljöbyråns SoE-rapportering är det upp till dem att besluta om de ska använda väg A eller väg B för varje parameter. SoE-informationen kommer endast att användas om medlemsstaten inte väljer att lämna ny information för rapporteringen i samband med vattendirektivet.</w:t>
      </w:r>
    </w:p>
    <w:p w:rsidR="000215C5" w:rsidRDefault="00703023">
      <w:pPr>
        <w:jc w:val="both"/>
      </w:pPr>
      <w:r>
        <w:t>SoE-rapporteringen sker årligen (även för parametrar som vanligen rapporteras oftare, t.ex. uppgifter om vattenförbrukning per månad eller säsong). Eftersom informationen endast måste lämnas vart sjätte år enligt vattendirektivet måste man komma överens om hur uppgifterna ska aggregeras och användas för vattendirektivets ändamål.</w:t>
      </w:r>
    </w:p>
    <w:p w:rsidR="000215C5" w:rsidRDefault="00703023">
      <w:pPr>
        <w:jc w:val="both"/>
      </w:pPr>
      <w:r>
        <w:t>Information om de medlemsstater som deltar i SoE-rapporteringen och som det finns parametrar för anges i den årliga översikt av prioriterade uppgifter som offentliggörs av Europeiska miljöbyrån, t.ex. för 2013 [</w:t>
      </w:r>
      <w:hyperlink r:id="rId15">
        <w:r>
          <w:rPr>
            <w:rStyle w:val="Hyperlnk"/>
            <w:noProof w:val="0"/>
          </w:rPr>
          <w:t>länk</w:t>
        </w:r>
      </w:hyperlink>
      <w:r>
        <w:t>].</w:t>
      </w:r>
    </w:p>
    <w:p w:rsidR="000215C5" w:rsidRDefault="00703023">
      <w:pPr>
        <w:jc w:val="both"/>
      </w:pPr>
      <w:r>
        <w:t>När det gäller det tekniska genomförandet sköts båda informationsflödena av miljöbyrån i ett gemensamt dataområde (det grå området i diagrammet</w:t>
      </w:r>
      <w:r w:rsidR="00661070">
        <w:t xml:space="preserve"> ovan). När väg B följs kan SoE</w:t>
      </w:r>
      <w:r w:rsidR="00661070">
        <w:noBreakHyphen/>
      </w:r>
      <w:r>
        <w:t xml:space="preserve">informationen enkelt tillhandahållas för vattendirektivets delar av dataområdet. Som ett led i uppgraderingen av Wise till Wise 2.0 arbetar miljöbyrån med att öka insynen i alla uppgifter som finns tillgängliga i SoE-systemet och ge medlemsländernas rapportörer möjlighet att på ett enkelt sätt kontrollera vilka uppgifter som har rapporterats, vilka uppgifter som finns tillgängliga och för vilket syfte. </w:t>
      </w:r>
    </w:p>
    <w:p w:rsidR="000215C5" w:rsidRDefault="00703023">
      <w:pPr>
        <w:jc w:val="both"/>
      </w:pPr>
      <w:r>
        <w:t>Information om hur väg B fungerar när det gäller villkor för mallposterna och kartläggning av datastrukturer beskrivs närmare i avsnitten 9.2 och 9.3 i denna vägledning.</w:t>
      </w:r>
    </w:p>
    <w:p w:rsidR="000215C5" w:rsidRDefault="00703023">
      <w:pPr>
        <w:pStyle w:val="Rubrik3"/>
      </w:pPr>
      <w:r>
        <w:t>Rapportering enligt andra direktiv om vattenfrågor och marina frågor</w:t>
      </w:r>
    </w:p>
    <w:p w:rsidR="000215C5" w:rsidRDefault="00703023">
      <w:pPr>
        <w:jc w:val="both"/>
      </w:pPr>
      <w:r>
        <w:t>Wise har utvecklats avsevärt under de senaste åren. Man har gjort stora framsteg med att rationalisera rapporteringskraven enligt flera vattenrelaterade direktiv för att undvika dubbelarbete och främja principen att uppgifter som rapporteras kan användas för flera ändamål. De olika vattenrelaterade direktiven, t.ex. direktivet om behandling av avloppsvatten från tätbebyggelse, nitratdirektivet, direktivet om dricksvatten och direktivet om badvatten, innehåller särskilda krav på uppgifter som ska rapporteras enligt särskilda tidsplaner inom ramen för de olika rapporteringsströmmarna. Anpassningen till vattendirektivet innebär dock att samma information inte behöver rapporteras flera gånger (t.ex. känsliga områden, områden som är sårbara för nitrater) och lämpliga länkar har upprättats, främst genom användning av vattenförekomstkoder. Genom att bygga på vägledningen om rapportering i samband med vattendirektivet och översynen av rapporteringskraven enligt de andra vattenrelaterade direktiven är målet att fortsätta att rationalisera processen för att minska medlemsstaternas rapporteringsbörda och se till att den tillgängliga informationen kan användas på ett effektivare sätt. I detta sammanhang kommer erfarenheten från arbetet med att utveckla den strukturerade genomförande- och informationsramen (SIIF) för direktivet om behandling av avloppsvatten från tätbebyggelse att vara mycket värdefull. När det gäller direktivet om dricksvatten kommer den pågående kritiska analysen av befintlig rapportering och det nya konceptet för den framtida rapporteringen också att ge goda möjligheter till ytterligare anpassning.</w:t>
      </w:r>
    </w:p>
    <w:p w:rsidR="000215C5" w:rsidRDefault="00703023">
      <w:pPr>
        <w:jc w:val="both"/>
      </w:pPr>
      <w:r>
        <w:t>I fråga om ramdirektivet om en marin strategi har vatten- och havsförvaltningarna enats om vissa principer</w:t>
      </w:r>
      <w:r>
        <w:rPr>
          <w:rStyle w:val="Fotnotsreferens"/>
        </w:rPr>
        <w:footnoteReference w:id="15"/>
      </w:r>
      <w:r>
        <w:t xml:space="preserve"> för att utnyttja synergier och minska den administrativa bördan i så stor utsträckning som möjligt. Kommissionen och medlemsstaterna kommer att arbeta utifrån detta under de kommande månaderna för att garantera en smidig och effektiv anpassning av respektive rapporteringsströmmar.</w:t>
      </w:r>
    </w:p>
    <w:p w:rsidR="000215C5" w:rsidRDefault="00703023">
      <w:pPr>
        <w:pStyle w:val="Rubrik2"/>
        <w:jc w:val="both"/>
      </w:pPr>
      <w:bookmarkStart w:id="57" w:name="_Toc400669345"/>
      <w:bookmarkStart w:id="58" w:name="_Toc400669815"/>
      <w:bookmarkStart w:id="59" w:name="_Toc400670156"/>
      <w:bookmarkStart w:id="60" w:name="_Toc400670493"/>
      <w:bookmarkStart w:id="61" w:name="_Toc400670828"/>
      <w:bookmarkStart w:id="62" w:name="_Toc400671133"/>
      <w:bookmarkStart w:id="63" w:name="_Toc400671445"/>
      <w:bookmarkStart w:id="64" w:name="_Toc400671740"/>
      <w:bookmarkStart w:id="65" w:name="_Toc400714626"/>
      <w:bookmarkStart w:id="66" w:name="_Toc400714855"/>
      <w:bookmarkStart w:id="67" w:name="_Toc400715081"/>
      <w:bookmarkStart w:id="68" w:name="_Toc400715305"/>
      <w:bookmarkStart w:id="69" w:name="_Toc400715525"/>
      <w:bookmarkStart w:id="70" w:name="_Toc400715742"/>
      <w:bookmarkStart w:id="71" w:name="_Toc400715953"/>
      <w:bookmarkStart w:id="72" w:name="_Toc400716164"/>
      <w:bookmarkStart w:id="73" w:name="_Toc400716365"/>
      <w:bookmarkStart w:id="74" w:name="_Toc400716570"/>
      <w:bookmarkStart w:id="75" w:name="_Toc400716769"/>
      <w:bookmarkStart w:id="76" w:name="_Toc400716954"/>
      <w:bookmarkStart w:id="77" w:name="_Toc400717134"/>
      <w:bookmarkStart w:id="78" w:name="_Toc400717307"/>
      <w:bookmarkStart w:id="79" w:name="_Toc400717482"/>
      <w:bookmarkStart w:id="80" w:name="_Toc400717651"/>
      <w:bookmarkStart w:id="81" w:name="_Toc400717801"/>
      <w:bookmarkStart w:id="82" w:name="_Toc400717933"/>
      <w:bookmarkStart w:id="83" w:name="_Toc400720309"/>
      <w:bookmarkStart w:id="84" w:name="_Toc375220040"/>
      <w:bookmarkStart w:id="85" w:name="_Toc386464211"/>
      <w:bookmarkStart w:id="86" w:name="_Toc425522034"/>
      <w:bookmarkStart w:id="87" w:name="_Toc432666048"/>
      <w:bookmarkStart w:id="88" w:name="_Toc437520244"/>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t xml:space="preserve">Sammanfattning av de viktigaste ändringar </w:t>
      </w:r>
      <w:bookmarkEnd w:id="84"/>
      <w:r>
        <w:t>som införts sedan rapporteringen 2010</w:t>
      </w:r>
      <w:bookmarkEnd w:id="85"/>
      <w:bookmarkEnd w:id="86"/>
      <w:bookmarkEnd w:id="87"/>
      <w:bookmarkEnd w:id="88"/>
    </w:p>
    <w:p w:rsidR="000215C5" w:rsidRDefault="00703023">
      <w:pPr>
        <w:jc w:val="both"/>
      </w:pPr>
      <w:r>
        <w:t>I följande tabell sammanfattas de viktigaste ändringarna i rapporteringskraven för den andra versionen av förvaltningsplanerna 2016 jämfört med den föregående rapporteringen 2010. Närmare uppgifter finns i respektive avsnitt.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5446"/>
        <w:gridCol w:w="1092"/>
      </w:tblGrid>
      <w:tr w:rsidR="000215C5">
        <w:trPr>
          <w:tblHeader/>
        </w:trPr>
        <w:tc>
          <w:tcPr>
            <w:tcW w:w="2235" w:type="dxa"/>
            <w:shd w:val="clear" w:color="auto" w:fill="auto"/>
          </w:tcPr>
          <w:p w:rsidR="000215C5" w:rsidRDefault="00703023">
            <w:pPr>
              <w:spacing w:after="0"/>
              <w:jc w:val="both"/>
              <w:rPr>
                <w:b/>
                <w:sz w:val="20"/>
              </w:rPr>
            </w:pPr>
            <w:r>
              <w:rPr>
                <w:b/>
                <w:sz w:val="20"/>
              </w:rPr>
              <w:t>Ämne</w:t>
            </w:r>
          </w:p>
        </w:tc>
        <w:tc>
          <w:tcPr>
            <w:tcW w:w="5953" w:type="dxa"/>
            <w:shd w:val="clear" w:color="auto" w:fill="auto"/>
          </w:tcPr>
          <w:p w:rsidR="000215C5" w:rsidRDefault="00703023">
            <w:pPr>
              <w:tabs>
                <w:tab w:val="left" w:pos="316"/>
              </w:tabs>
              <w:spacing w:after="0"/>
              <w:jc w:val="both"/>
              <w:rPr>
                <w:b/>
                <w:sz w:val="20"/>
              </w:rPr>
            </w:pPr>
            <w:r>
              <w:rPr>
                <w:b/>
                <w:sz w:val="20"/>
              </w:rPr>
              <w:t xml:space="preserve">Sammanfattning av de viktigaste ändringarna </w:t>
            </w:r>
          </w:p>
        </w:tc>
        <w:tc>
          <w:tcPr>
            <w:tcW w:w="1131" w:type="dxa"/>
            <w:shd w:val="clear" w:color="auto" w:fill="auto"/>
          </w:tcPr>
          <w:p w:rsidR="000215C5" w:rsidRDefault="00703023">
            <w:pPr>
              <w:tabs>
                <w:tab w:val="left" w:pos="316"/>
              </w:tabs>
              <w:spacing w:after="0"/>
              <w:jc w:val="both"/>
              <w:rPr>
                <w:b/>
                <w:sz w:val="20"/>
              </w:rPr>
            </w:pPr>
            <w:bookmarkStart w:id="89" w:name="_Toc425522035"/>
            <w:r>
              <w:rPr>
                <w:b/>
                <w:sz w:val="20"/>
              </w:rPr>
              <w:t>Avsnitt</w:t>
            </w:r>
            <w:bookmarkEnd w:id="89"/>
            <w:r>
              <w:rPr>
                <w:b/>
                <w:sz w:val="20"/>
              </w:rPr>
              <w:t xml:space="preserve"> </w:t>
            </w:r>
          </w:p>
        </w:tc>
      </w:tr>
      <w:tr w:rsidR="000215C5">
        <w:tc>
          <w:tcPr>
            <w:tcW w:w="2235" w:type="dxa"/>
            <w:shd w:val="clear" w:color="auto" w:fill="auto"/>
          </w:tcPr>
          <w:p w:rsidR="000215C5" w:rsidRDefault="00703023">
            <w:pPr>
              <w:spacing w:after="0"/>
              <w:jc w:val="both"/>
              <w:rPr>
                <w:sz w:val="20"/>
              </w:rPr>
            </w:pPr>
            <w:r>
              <w:rPr>
                <w:sz w:val="20"/>
              </w:rPr>
              <w:t>Rumsliga datauppsättningar för vattenförekomster och övervakningsstationer</w:t>
            </w:r>
          </w:p>
        </w:tc>
        <w:tc>
          <w:tcPr>
            <w:tcW w:w="5953" w:type="dxa"/>
            <w:shd w:val="clear" w:color="auto" w:fill="auto"/>
          </w:tcPr>
          <w:p w:rsidR="000215C5" w:rsidRDefault="00703023">
            <w:pPr>
              <w:tabs>
                <w:tab w:val="left" w:pos="316"/>
              </w:tabs>
              <w:spacing w:after="0"/>
              <w:jc w:val="both"/>
              <w:rPr>
                <w:sz w:val="20"/>
              </w:rPr>
            </w:pPr>
            <w:r>
              <w:rPr>
                <w:sz w:val="20"/>
              </w:rPr>
              <w:t>GIS-information ska rapporteras för alla yt- och grundvattenförekomster (i stället för att endast rapportera stora floder och sjöar) och för övervakningsstationer. Alla rumsliga datauppsättningar ska rapporteras på nationell nivå (i stället för vattenförekomstnivå).</w:t>
            </w:r>
          </w:p>
        </w:tc>
        <w:tc>
          <w:tcPr>
            <w:tcW w:w="1131" w:type="dxa"/>
            <w:shd w:val="clear" w:color="auto" w:fill="auto"/>
          </w:tcPr>
          <w:p w:rsidR="000215C5" w:rsidRDefault="00703023">
            <w:pPr>
              <w:spacing w:after="0"/>
              <w:jc w:val="both"/>
              <w:rPr>
                <w:sz w:val="20"/>
              </w:rPr>
            </w:pPr>
            <w:r>
              <w:rPr>
                <w:sz w:val="20"/>
              </w:rPr>
              <w:t>Bilaga 5</w:t>
            </w:r>
          </w:p>
        </w:tc>
      </w:tr>
      <w:tr w:rsidR="000215C5">
        <w:tc>
          <w:tcPr>
            <w:tcW w:w="2235" w:type="dxa"/>
            <w:shd w:val="clear" w:color="auto" w:fill="auto"/>
          </w:tcPr>
          <w:p w:rsidR="000215C5" w:rsidRDefault="00703023">
            <w:pPr>
              <w:spacing w:after="0"/>
              <w:jc w:val="both"/>
              <w:rPr>
                <w:sz w:val="20"/>
              </w:rPr>
            </w:pPr>
            <w:r>
              <w:rPr>
                <w:sz w:val="20"/>
              </w:rPr>
              <w:t>Vattenförekomster (yt- och grundvatten)</w:t>
            </w:r>
          </w:p>
        </w:tc>
        <w:tc>
          <w:tcPr>
            <w:tcW w:w="5953" w:type="dxa"/>
            <w:shd w:val="clear" w:color="auto" w:fill="auto"/>
          </w:tcPr>
          <w:p w:rsidR="000215C5" w:rsidRDefault="00703023">
            <w:pPr>
              <w:tabs>
                <w:tab w:val="left" w:pos="316"/>
              </w:tabs>
              <w:spacing w:after="0"/>
              <w:jc w:val="both"/>
              <w:rPr>
                <w:sz w:val="20"/>
              </w:rPr>
            </w:pPr>
            <w:r>
              <w:rPr>
                <w:sz w:val="20"/>
              </w:rPr>
              <w:t xml:space="preserve">Om avgränsningen av en vattenförekomst har ändrats ska vattenförekomstkoden för varje vattenförekomst med ändrad avgränsning samt vattenförekomstkoden för den eller de relaterade vattenförekomster som rapporterades i den första förvaltningsplanen rapporteras för att möjliggöra jämförelser av status. Ändringar i avgränsningen kan leda till att tidigare rapporterade vattenförekomster delas upp i två eller flera vattenförekomster, eller att två eller flera vattenförekomster som tidigare har rapporterats slås ihop till en enda vattenförekomst. </w:t>
            </w:r>
          </w:p>
          <w:p w:rsidR="000215C5" w:rsidRDefault="00703023">
            <w:pPr>
              <w:tabs>
                <w:tab w:val="left" w:pos="316"/>
              </w:tabs>
              <w:spacing w:after="0"/>
              <w:jc w:val="both"/>
              <w:rPr>
                <w:sz w:val="20"/>
              </w:rPr>
            </w:pPr>
            <w:r>
              <w:rPr>
                <w:sz w:val="20"/>
              </w:rPr>
              <w:t>Denna information ingår i de rumsliga datauppsättningarna.</w:t>
            </w:r>
          </w:p>
        </w:tc>
        <w:tc>
          <w:tcPr>
            <w:tcW w:w="1131" w:type="dxa"/>
            <w:shd w:val="clear" w:color="auto" w:fill="auto"/>
          </w:tcPr>
          <w:p w:rsidR="000215C5" w:rsidRDefault="00703023">
            <w:pPr>
              <w:spacing w:after="0"/>
              <w:jc w:val="both"/>
              <w:rPr>
                <w:sz w:val="20"/>
              </w:rPr>
            </w:pPr>
            <w:r>
              <w:rPr>
                <w:sz w:val="20"/>
              </w:rPr>
              <w:t>Bilaga 5</w:t>
            </w:r>
          </w:p>
        </w:tc>
      </w:tr>
      <w:tr w:rsidR="000215C5">
        <w:tc>
          <w:tcPr>
            <w:tcW w:w="2235" w:type="dxa"/>
            <w:shd w:val="clear" w:color="auto" w:fill="auto"/>
          </w:tcPr>
          <w:p w:rsidR="000215C5" w:rsidRDefault="00703023">
            <w:pPr>
              <w:spacing w:after="0"/>
              <w:jc w:val="both"/>
              <w:rPr>
                <w:sz w:val="20"/>
              </w:rPr>
            </w:pPr>
            <w:r>
              <w:rPr>
                <w:sz w:val="20"/>
              </w:rPr>
              <w:t>Kraftigt modifierad vattenförekomst</w:t>
            </w:r>
          </w:p>
        </w:tc>
        <w:tc>
          <w:tcPr>
            <w:tcW w:w="5953" w:type="dxa"/>
            <w:shd w:val="clear" w:color="auto" w:fill="auto"/>
          </w:tcPr>
          <w:p w:rsidR="000215C5" w:rsidRDefault="00703023">
            <w:pPr>
              <w:tabs>
                <w:tab w:val="left" w:pos="316"/>
              </w:tabs>
              <w:spacing w:after="0"/>
              <w:jc w:val="both"/>
              <w:rPr>
                <w:sz w:val="20"/>
              </w:rPr>
            </w:pPr>
            <w:r>
              <w:rPr>
                <w:sz w:val="20"/>
              </w:rPr>
              <w:t>Rapportera vattenanvändning och vattentyp för den fysiska modifiering som den kraftigt modifierade vattenförekomsten har tilldelats.</w:t>
            </w:r>
          </w:p>
        </w:tc>
        <w:tc>
          <w:tcPr>
            <w:tcW w:w="1131" w:type="dxa"/>
            <w:shd w:val="clear" w:color="auto" w:fill="auto"/>
          </w:tcPr>
          <w:p w:rsidR="000215C5" w:rsidRDefault="00703023">
            <w:pPr>
              <w:spacing w:after="0"/>
              <w:jc w:val="both"/>
              <w:rPr>
                <w:sz w:val="20"/>
              </w:rPr>
            </w:pPr>
            <w:r>
              <w:fldChar w:fldCharType="begin"/>
            </w:r>
            <w:r>
              <w:instrText xml:space="preserve"> REF _Ref382295782 \r \h  \* MERGEFORMAT </w:instrText>
            </w:r>
            <w:r>
              <w:fldChar w:fldCharType="separate"/>
            </w:r>
            <w:r>
              <w:rPr>
                <w:sz w:val="20"/>
              </w:rPr>
              <w:t>2.2.4.1</w:t>
            </w:r>
            <w:r>
              <w:fldChar w:fldCharType="end"/>
            </w:r>
          </w:p>
        </w:tc>
      </w:tr>
      <w:tr w:rsidR="000215C5">
        <w:tc>
          <w:tcPr>
            <w:tcW w:w="2235" w:type="dxa"/>
            <w:shd w:val="clear" w:color="auto" w:fill="auto"/>
          </w:tcPr>
          <w:p w:rsidR="000215C5" w:rsidRDefault="00703023">
            <w:pPr>
              <w:spacing w:after="0"/>
              <w:jc w:val="both"/>
              <w:rPr>
                <w:sz w:val="20"/>
              </w:rPr>
            </w:pPr>
            <w:r>
              <w:rPr>
                <w:sz w:val="20"/>
              </w:rPr>
              <w:t>Påverkan och effekter</w:t>
            </w:r>
          </w:p>
        </w:tc>
        <w:tc>
          <w:tcPr>
            <w:tcW w:w="5953" w:type="dxa"/>
            <w:shd w:val="clear" w:color="auto" w:fill="auto"/>
          </w:tcPr>
          <w:p w:rsidR="000215C5" w:rsidRDefault="00703023">
            <w:pPr>
              <w:tabs>
                <w:tab w:val="left" w:pos="316"/>
              </w:tabs>
              <w:spacing w:after="0"/>
              <w:jc w:val="both"/>
              <w:rPr>
                <w:sz w:val="20"/>
              </w:rPr>
            </w:pPr>
            <w:r>
              <w:rPr>
                <w:sz w:val="20"/>
              </w:rPr>
              <w:t>Använd den nya listan för drivkrafter, påverkan och effekter som är gemensamma för yt- och grundvatten.</w:t>
            </w:r>
          </w:p>
        </w:tc>
        <w:tc>
          <w:tcPr>
            <w:tcW w:w="1131" w:type="dxa"/>
            <w:shd w:val="clear" w:color="auto" w:fill="auto"/>
          </w:tcPr>
          <w:p w:rsidR="000215C5" w:rsidRDefault="00703023">
            <w:pPr>
              <w:spacing w:after="0"/>
              <w:jc w:val="both"/>
              <w:rPr>
                <w:sz w:val="20"/>
              </w:rPr>
            </w:pPr>
            <w:r>
              <w:rPr>
                <w:sz w:val="20"/>
              </w:rPr>
              <w:t>Bilaga 1</w:t>
            </w:r>
          </w:p>
        </w:tc>
      </w:tr>
      <w:tr w:rsidR="000215C5">
        <w:tc>
          <w:tcPr>
            <w:tcW w:w="2235" w:type="dxa"/>
            <w:shd w:val="clear" w:color="auto" w:fill="auto"/>
          </w:tcPr>
          <w:p w:rsidR="000215C5" w:rsidRDefault="00703023">
            <w:pPr>
              <w:spacing w:after="0"/>
              <w:jc w:val="both"/>
              <w:rPr>
                <w:sz w:val="20"/>
              </w:rPr>
            </w:pPr>
            <w:r>
              <w:rPr>
                <w:sz w:val="20"/>
              </w:rPr>
              <w:t>Ekologisk status hos ytvattenförekomster</w:t>
            </w:r>
          </w:p>
        </w:tc>
        <w:tc>
          <w:tcPr>
            <w:tcW w:w="5953" w:type="dxa"/>
            <w:shd w:val="clear" w:color="auto" w:fill="auto"/>
          </w:tcPr>
          <w:p w:rsidR="000215C5" w:rsidRDefault="00703023">
            <w:pPr>
              <w:numPr>
                <w:ilvl w:val="0"/>
                <w:numId w:val="5"/>
              </w:numPr>
              <w:tabs>
                <w:tab w:val="left" w:pos="316"/>
              </w:tabs>
              <w:spacing w:after="0"/>
              <w:ind w:left="0" w:firstLine="0"/>
              <w:jc w:val="both"/>
              <w:rPr>
                <w:sz w:val="20"/>
              </w:rPr>
            </w:pPr>
            <w:r>
              <w:rPr>
                <w:sz w:val="20"/>
              </w:rPr>
              <w:t>Rapportera referensår för statusbedömningen.</w:t>
            </w:r>
          </w:p>
          <w:p w:rsidR="000215C5" w:rsidRDefault="00703023">
            <w:pPr>
              <w:numPr>
                <w:ilvl w:val="0"/>
                <w:numId w:val="5"/>
              </w:numPr>
              <w:tabs>
                <w:tab w:val="left" w:pos="316"/>
              </w:tabs>
              <w:spacing w:after="0"/>
              <w:ind w:left="0" w:firstLine="0"/>
              <w:jc w:val="both"/>
              <w:rPr>
                <w:sz w:val="20"/>
              </w:rPr>
            </w:pPr>
            <w:r>
              <w:rPr>
                <w:sz w:val="20"/>
              </w:rPr>
              <w:t>Ange statusinformation på nivån för mer detaljerade kvalitetsfaktorer (inklusive referensår) samt ändringar av klass sedan rapporteringen om den första förvaltningsplanen om sådana uppgifter finns tillgängliga.</w:t>
            </w:r>
          </w:p>
          <w:p w:rsidR="000215C5" w:rsidRDefault="00703023">
            <w:pPr>
              <w:numPr>
                <w:ilvl w:val="0"/>
                <w:numId w:val="5"/>
              </w:numPr>
              <w:tabs>
                <w:tab w:val="left" w:pos="316"/>
              </w:tabs>
              <w:spacing w:after="0"/>
              <w:ind w:left="0" w:firstLine="0"/>
              <w:jc w:val="both"/>
              <w:rPr>
                <w:sz w:val="20"/>
              </w:rPr>
            </w:pPr>
            <w:r>
              <w:rPr>
                <w:sz w:val="20"/>
              </w:rPr>
              <w:t>Rapportera vattenförekomster som används för gruppering om ingen övervakning finns.</w:t>
            </w:r>
          </w:p>
          <w:p w:rsidR="000215C5" w:rsidRDefault="00703023">
            <w:pPr>
              <w:numPr>
                <w:ilvl w:val="0"/>
                <w:numId w:val="5"/>
              </w:numPr>
              <w:tabs>
                <w:tab w:val="left" w:pos="316"/>
              </w:tabs>
              <w:spacing w:after="0"/>
              <w:ind w:left="0" w:firstLine="0"/>
              <w:jc w:val="both"/>
              <w:rPr>
                <w:sz w:val="20"/>
              </w:rPr>
            </w:pPr>
            <w:r>
              <w:rPr>
                <w:sz w:val="20"/>
              </w:rPr>
              <w:t>Rapportera ämnen (särskilda förorenande ämnen för avrinningsdistrikt) som orsakar fel.</w:t>
            </w:r>
          </w:p>
          <w:p w:rsidR="000215C5" w:rsidRDefault="00703023">
            <w:pPr>
              <w:numPr>
                <w:ilvl w:val="0"/>
                <w:numId w:val="5"/>
              </w:numPr>
              <w:tabs>
                <w:tab w:val="left" w:pos="316"/>
              </w:tabs>
              <w:spacing w:after="0"/>
              <w:ind w:left="0" w:firstLine="0"/>
              <w:jc w:val="both"/>
              <w:rPr>
                <w:sz w:val="20"/>
              </w:rPr>
            </w:pPr>
            <w:r>
              <w:rPr>
                <w:sz w:val="20"/>
              </w:rPr>
              <w:t>Rapportera om vattenförekomsten förväntas uppnå god ekologisk status 2015 och om inte, när god ekologisk status kommer att uppnås.</w:t>
            </w:r>
          </w:p>
          <w:p w:rsidR="000215C5" w:rsidRDefault="00703023">
            <w:pPr>
              <w:numPr>
                <w:ilvl w:val="0"/>
                <w:numId w:val="5"/>
              </w:numPr>
              <w:tabs>
                <w:tab w:val="left" w:pos="316"/>
              </w:tabs>
              <w:spacing w:after="0"/>
              <w:ind w:left="0" w:firstLine="0"/>
              <w:jc w:val="both"/>
              <w:rPr>
                <w:sz w:val="20"/>
              </w:rPr>
            </w:pPr>
            <w:r>
              <w:rPr>
                <w:sz w:val="20"/>
              </w:rPr>
              <w:t>Rapportera orsaker till undantag på vattenförekomstnivå, inte per kvalitetsfaktor.</w:t>
            </w:r>
          </w:p>
        </w:tc>
        <w:tc>
          <w:tcPr>
            <w:tcW w:w="1131" w:type="dxa"/>
            <w:shd w:val="clear" w:color="auto" w:fill="auto"/>
          </w:tcPr>
          <w:p w:rsidR="000215C5" w:rsidRDefault="00703023">
            <w:pPr>
              <w:spacing w:after="0"/>
              <w:jc w:val="both"/>
              <w:rPr>
                <w:sz w:val="20"/>
              </w:rPr>
            </w:pPr>
            <w:r>
              <w:fldChar w:fldCharType="begin"/>
            </w:r>
            <w:r>
              <w:instrText xml:space="preserve"> REF _Ref382297513 \r \h  \* MERGEFORMAT </w:instrText>
            </w:r>
            <w:r>
              <w:fldChar w:fldCharType="separate"/>
            </w:r>
            <w:r>
              <w:rPr>
                <w:sz w:val="20"/>
              </w:rPr>
              <w:t>2.4.3.2</w:t>
            </w:r>
            <w:r>
              <w:fldChar w:fldCharType="end"/>
            </w:r>
          </w:p>
        </w:tc>
      </w:tr>
      <w:tr w:rsidR="000215C5">
        <w:tc>
          <w:tcPr>
            <w:tcW w:w="2235" w:type="dxa"/>
            <w:shd w:val="clear" w:color="auto" w:fill="auto"/>
          </w:tcPr>
          <w:p w:rsidR="000215C5" w:rsidRDefault="00703023">
            <w:pPr>
              <w:spacing w:after="0"/>
              <w:jc w:val="both"/>
              <w:rPr>
                <w:sz w:val="20"/>
              </w:rPr>
            </w:pPr>
            <w:r>
              <w:rPr>
                <w:sz w:val="20"/>
              </w:rPr>
              <w:t>Kemisk status hos ytvattenförekomster</w:t>
            </w:r>
          </w:p>
        </w:tc>
        <w:tc>
          <w:tcPr>
            <w:tcW w:w="5953" w:type="dxa"/>
            <w:shd w:val="clear" w:color="auto" w:fill="auto"/>
          </w:tcPr>
          <w:p w:rsidR="000215C5" w:rsidRDefault="00703023">
            <w:pPr>
              <w:numPr>
                <w:ilvl w:val="0"/>
                <w:numId w:val="6"/>
              </w:numPr>
              <w:tabs>
                <w:tab w:val="left" w:pos="316"/>
              </w:tabs>
              <w:spacing w:after="0"/>
              <w:ind w:left="0" w:firstLine="0"/>
              <w:jc w:val="both"/>
              <w:rPr>
                <w:sz w:val="20"/>
              </w:rPr>
            </w:pPr>
            <w:r>
              <w:rPr>
                <w:sz w:val="20"/>
              </w:rPr>
              <w:t>Rapportera referensår för statusbedömningen.</w:t>
            </w:r>
          </w:p>
          <w:p w:rsidR="000215C5" w:rsidRDefault="00703023">
            <w:pPr>
              <w:numPr>
                <w:ilvl w:val="0"/>
                <w:numId w:val="6"/>
              </w:numPr>
              <w:tabs>
                <w:tab w:val="left" w:pos="316"/>
              </w:tabs>
              <w:spacing w:after="0"/>
              <w:ind w:left="0" w:firstLine="0"/>
              <w:jc w:val="both"/>
              <w:rPr>
                <w:sz w:val="20"/>
              </w:rPr>
            </w:pPr>
            <w:r>
              <w:rPr>
                <w:sz w:val="20"/>
              </w:rPr>
              <w:t>Rapportera fel för individuella ämnen.</w:t>
            </w:r>
          </w:p>
          <w:p w:rsidR="000215C5" w:rsidRDefault="00703023">
            <w:pPr>
              <w:numPr>
                <w:ilvl w:val="0"/>
                <w:numId w:val="6"/>
              </w:numPr>
              <w:tabs>
                <w:tab w:val="left" w:pos="316"/>
              </w:tabs>
              <w:spacing w:after="0"/>
              <w:ind w:left="0" w:firstLine="0"/>
              <w:jc w:val="both"/>
              <w:rPr>
                <w:sz w:val="20"/>
              </w:rPr>
            </w:pPr>
            <w:r>
              <w:rPr>
                <w:sz w:val="20"/>
              </w:rPr>
              <w:t>Ange en kvalitativ indikation på förtroendet för bedömningen av kemisk status.</w:t>
            </w:r>
          </w:p>
          <w:p w:rsidR="000215C5" w:rsidRDefault="00703023">
            <w:pPr>
              <w:numPr>
                <w:ilvl w:val="0"/>
                <w:numId w:val="6"/>
              </w:numPr>
              <w:tabs>
                <w:tab w:val="left" w:pos="316"/>
              </w:tabs>
              <w:spacing w:after="0"/>
              <w:ind w:left="0" w:firstLine="0"/>
              <w:jc w:val="both"/>
              <w:rPr>
                <w:sz w:val="20"/>
              </w:rPr>
            </w:pPr>
            <w:r>
              <w:rPr>
                <w:sz w:val="20"/>
              </w:rPr>
              <w:t>Ange de ämnen som har förbättrats från otillfredsställande till god kemisk status sedan rapporteringen om den första förvaltningsplanen.</w:t>
            </w:r>
          </w:p>
          <w:p w:rsidR="000215C5" w:rsidRDefault="00703023">
            <w:pPr>
              <w:numPr>
                <w:ilvl w:val="0"/>
                <w:numId w:val="6"/>
              </w:numPr>
              <w:tabs>
                <w:tab w:val="left" w:pos="316"/>
              </w:tabs>
              <w:spacing w:after="0"/>
              <w:ind w:left="0" w:firstLine="0"/>
              <w:jc w:val="both"/>
              <w:rPr>
                <w:sz w:val="20"/>
              </w:rPr>
            </w:pPr>
            <w:r>
              <w:rPr>
                <w:sz w:val="20"/>
              </w:rPr>
              <w:t>Ange om de strängare kvalitetsfaktorer som infördes 2013 för sju ämnen har ändrat statusen för vattenförekomsterna.</w:t>
            </w:r>
          </w:p>
          <w:p w:rsidR="000215C5" w:rsidRDefault="00703023">
            <w:pPr>
              <w:numPr>
                <w:ilvl w:val="0"/>
                <w:numId w:val="6"/>
              </w:numPr>
              <w:tabs>
                <w:tab w:val="left" w:pos="316"/>
              </w:tabs>
              <w:spacing w:after="0"/>
              <w:ind w:left="0" w:firstLine="0"/>
              <w:jc w:val="both"/>
              <w:rPr>
                <w:sz w:val="20"/>
              </w:rPr>
            </w:pPr>
            <w:r>
              <w:rPr>
                <w:sz w:val="20"/>
              </w:rPr>
              <w:t>Rapportera om vattenförekomsten förväntas uppnå god kemisk status 2015 och om inte, när god ekologisk status kommer att uppnås.</w:t>
            </w:r>
          </w:p>
          <w:p w:rsidR="000215C5" w:rsidRDefault="00703023">
            <w:pPr>
              <w:numPr>
                <w:ilvl w:val="0"/>
                <w:numId w:val="6"/>
              </w:numPr>
              <w:tabs>
                <w:tab w:val="left" w:pos="316"/>
              </w:tabs>
              <w:spacing w:after="0"/>
              <w:ind w:left="0" w:firstLine="0"/>
              <w:jc w:val="both"/>
              <w:rPr>
                <w:sz w:val="20"/>
              </w:rPr>
            </w:pPr>
            <w:r>
              <w:rPr>
                <w:sz w:val="20"/>
              </w:rPr>
              <w:t>Rapportera orsaker till undantag på ämnesnivå.</w:t>
            </w:r>
          </w:p>
        </w:tc>
        <w:tc>
          <w:tcPr>
            <w:tcW w:w="1131" w:type="dxa"/>
            <w:shd w:val="clear" w:color="auto" w:fill="auto"/>
          </w:tcPr>
          <w:p w:rsidR="000215C5" w:rsidRDefault="00703023">
            <w:pPr>
              <w:spacing w:after="0"/>
              <w:jc w:val="both"/>
              <w:rPr>
                <w:sz w:val="20"/>
              </w:rPr>
            </w:pPr>
            <w:r>
              <w:fldChar w:fldCharType="begin"/>
            </w:r>
            <w:r>
              <w:instrText xml:space="preserve"> REF _Ref382297954 \r \h  \* MERGEFORMAT </w:instrText>
            </w:r>
            <w:r>
              <w:fldChar w:fldCharType="separate"/>
            </w:r>
            <w:r>
              <w:rPr>
                <w:sz w:val="20"/>
              </w:rPr>
              <w:t>2.5.3.2</w:t>
            </w:r>
            <w:r>
              <w:fldChar w:fldCharType="end"/>
            </w:r>
          </w:p>
        </w:tc>
      </w:tr>
      <w:tr w:rsidR="000215C5">
        <w:tc>
          <w:tcPr>
            <w:tcW w:w="2235" w:type="dxa"/>
            <w:shd w:val="clear" w:color="auto" w:fill="auto"/>
          </w:tcPr>
          <w:p w:rsidR="000215C5" w:rsidRDefault="00703023">
            <w:pPr>
              <w:spacing w:after="0"/>
              <w:jc w:val="both"/>
              <w:rPr>
                <w:sz w:val="20"/>
              </w:rPr>
            </w:pPr>
            <w:r>
              <w:rPr>
                <w:sz w:val="20"/>
              </w:rPr>
              <w:t xml:space="preserve">Blandningszoner </w:t>
            </w:r>
          </w:p>
        </w:tc>
        <w:tc>
          <w:tcPr>
            <w:tcW w:w="5953" w:type="dxa"/>
            <w:shd w:val="clear" w:color="auto" w:fill="auto"/>
          </w:tcPr>
          <w:p w:rsidR="000215C5" w:rsidRDefault="00703023">
            <w:pPr>
              <w:tabs>
                <w:tab w:val="left" w:pos="316"/>
              </w:tabs>
              <w:spacing w:after="0"/>
              <w:jc w:val="both"/>
              <w:rPr>
                <w:sz w:val="20"/>
              </w:rPr>
            </w:pPr>
            <w:r>
              <w:rPr>
                <w:sz w:val="20"/>
              </w:rPr>
              <w:t>För varje vattenförekomst:</w:t>
            </w:r>
          </w:p>
          <w:p w:rsidR="000215C5" w:rsidRDefault="00703023">
            <w:pPr>
              <w:numPr>
                <w:ilvl w:val="0"/>
                <w:numId w:val="7"/>
              </w:numPr>
              <w:tabs>
                <w:tab w:val="left" w:pos="316"/>
              </w:tabs>
              <w:spacing w:after="0"/>
              <w:ind w:left="0" w:firstLine="0"/>
              <w:jc w:val="both"/>
              <w:rPr>
                <w:sz w:val="20"/>
              </w:rPr>
            </w:pPr>
            <w:r>
              <w:rPr>
                <w:sz w:val="20"/>
              </w:rPr>
              <w:t>Rapportera om blandningszoner har utsetts.</w:t>
            </w:r>
          </w:p>
          <w:p w:rsidR="000215C5" w:rsidRDefault="00703023">
            <w:pPr>
              <w:numPr>
                <w:ilvl w:val="0"/>
                <w:numId w:val="7"/>
              </w:numPr>
              <w:tabs>
                <w:tab w:val="left" w:pos="316"/>
              </w:tabs>
              <w:spacing w:after="0"/>
              <w:ind w:left="0" w:firstLine="0"/>
              <w:jc w:val="both"/>
              <w:rPr>
                <w:sz w:val="20"/>
              </w:rPr>
            </w:pPr>
            <w:r>
              <w:rPr>
                <w:sz w:val="20"/>
              </w:rPr>
              <w:t>Rapportera procentandelen av längden eller ytan för de vattenförekomster som har utsetts som blandningszoner (valfritt).</w:t>
            </w:r>
          </w:p>
          <w:p w:rsidR="000215C5" w:rsidRDefault="00703023">
            <w:pPr>
              <w:numPr>
                <w:ilvl w:val="0"/>
                <w:numId w:val="7"/>
              </w:numPr>
              <w:tabs>
                <w:tab w:val="left" w:pos="316"/>
              </w:tabs>
              <w:spacing w:after="0"/>
              <w:ind w:left="0" w:firstLine="0"/>
              <w:jc w:val="both"/>
              <w:rPr>
                <w:sz w:val="20"/>
              </w:rPr>
            </w:pPr>
            <w:r>
              <w:rPr>
                <w:sz w:val="20"/>
              </w:rPr>
              <w:t>Rapportera ämnen som överskrider eller förväntas överskrida kvalitetsfaktorerna inom blandningsområdena i vattenförekomsten (valfritt).</w:t>
            </w:r>
          </w:p>
        </w:tc>
        <w:tc>
          <w:tcPr>
            <w:tcW w:w="1131" w:type="dxa"/>
            <w:shd w:val="clear" w:color="auto" w:fill="auto"/>
          </w:tcPr>
          <w:p w:rsidR="000215C5" w:rsidRDefault="00703023">
            <w:pPr>
              <w:spacing w:after="0"/>
              <w:jc w:val="both"/>
              <w:rPr>
                <w:sz w:val="20"/>
              </w:rPr>
            </w:pPr>
            <w:r>
              <w:fldChar w:fldCharType="begin"/>
            </w:r>
            <w:r>
              <w:instrText xml:space="preserve"> REF _Ref382297954 \r \h  \* MERGEFORMAT </w:instrText>
            </w:r>
            <w:r>
              <w:fldChar w:fldCharType="separate"/>
            </w:r>
            <w:r>
              <w:rPr>
                <w:sz w:val="20"/>
              </w:rPr>
              <w:t>2.5.3.2</w:t>
            </w:r>
            <w:r>
              <w:fldChar w:fldCharType="end"/>
            </w:r>
          </w:p>
        </w:tc>
      </w:tr>
      <w:tr w:rsidR="000215C5">
        <w:tc>
          <w:tcPr>
            <w:tcW w:w="2235" w:type="dxa"/>
            <w:shd w:val="clear" w:color="auto" w:fill="auto"/>
          </w:tcPr>
          <w:p w:rsidR="000215C5" w:rsidRDefault="00703023">
            <w:pPr>
              <w:spacing w:after="0"/>
              <w:jc w:val="both"/>
              <w:rPr>
                <w:sz w:val="20"/>
              </w:rPr>
            </w:pPr>
            <w:r>
              <w:rPr>
                <w:sz w:val="20"/>
              </w:rPr>
              <w:t>Status hos grundvattenförekomster</w:t>
            </w:r>
          </w:p>
        </w:tc>
        <w:tc>
          <w:tcPr>
            <w:tcW w:w="5953" w:type="dxa"/>
            <w:shd w:val="clear" w:color="auto" w:fill="auto"/>
          </w:tcPr>
          <w:p w:rsidR="000215C5" w:rsidRDefault="00703023">
            <w:pPr>
              <w:numPr>
                <w:ilvl w:val="0"/>
                <w:numId w:val="8"/>
              </w:numPr>
              <w:tabs>
                <w:tab w:val="left" w:pos="316"/>
              </w:tabs>
              <w:spacing w:after="0"/>
              <w:ind w:left="0" w:firstLine="0"/>
              <w:jc w:val="both"/>
              <w:rPr>
                <w:sz w:val="20"/>
              </w:rPr>
            </w:pPr>
            <w:r>
              <w:rPr>
                <w:sz w:val="20"/>
              </w:rPr>
              <w:t>Rapportera om det föreligger en risk för grundvattenförekomsten, antingen när det gäller kvantitativ eller kemisk status. Om det föreligger en risk för kemisk status, rapportera de individuella ämnen som orsakar risken.</w:t>
            </w:r>
          </w:p>
          <w:p w:rsidR="000215C5" w:rsidRDefault="00703023">
            <w:pPr>
              <w:numPr>
                <w:ilvl w:val="0"/>
                <w:numId w:val="8"/>
              </w:numPr>
              <w:tabs>
                <w:tab w:val="left" w:pos="316"/>
              </w:tabs>
              <w:spacing w:after="0"/>
              <w:ind w:left="0" w:firstLine="0"/>
              <w:jc w:val="both"/>
              <w:rPr>
                <w:sz w:val="20"/>
              </w:rPr>
            </w:pPr>
            <w:r>
              <w:rPr>
                <w:sz w:val="20"/>
              </w:rPr>
              <w:t>Om de föreligger en risk för vattenförekomsten, rapportera de miljömål som riskerar att inte uppnås.</w:t>
            </w:r>
          </w:p>
          <w:p w:rsidR="000215C5" w:rsidRDefault="00703023">
            <w:pPr>
              <w:numPr>
                <w:ilvl w:val="0"/>
                <w:numId w:val="8"/>
              </w:numPr>
              <w:tabs>
                <w:tab w:val="left" w:pos="316"/>
              </w:tabs>
              <w:spacing w:after="0"/>
              <w:ind w:left="0" w:firstLine="0"/>
              <w:jc w:val="both"/>
              <w:rPr>
                <w:sz w:val="20"/>
              </w:rPr>
            </w:pPr>
            <w:r>
              <w:rPr>
                <w:sz w:val="20"/>
              </w:rPr>
              <w:t>Rapportera individuella ämnen som orsakar fel för kemisk status.</w:t>
            </w:r>
          </w:p>
          <w:p w:rsidR="000215C5" w:rsidRDefault="00703023">
            <w:pPr>
              <w:numPr>
                <w:ilvl w:val="0"/>
                <w:numId w:val="8"/>
              </w:numPr>
              <w:tabs>
                <w:tab w:val="left" w:pos="316"/>
              </w:tabs>
              <w:spacing w:after="0"/>
              <w:ind w:left="0" w:firstLine="0"/>
              <w:jc w:val="both"/>
              <w:rPr>
                <w:sz w:val="20"/>
              </w:rPr>
            </w:pPr>
            <w:r>
              <w:rPr>
                <w:sz w:val="20"/>
              </w:rPr>
              <w:t>Rapportera om det förväntas att grundvattenförekomsten kommer att uppnå god kvantitativ och god kemisk status 2015 och om inte, när god kvantitativ och god kemisk status kommer att uppnås.</w:t>
            </w:r>
          </w:p>
          <w:p w:rsidR="000215C5" w:rsidRDefault="00703023">
            <w:pPr>
              <w:numPr>
                <w:ilvl w:val="0"/>
                <w:numId w:val="8"/>
              </w:numPr>
              <w:tabs>
                <w:tab w:val="left" w:pos="316"/>
              </w:tabs>
              <w:spacing w:after="0"/>
              <w:ind w:left="0" w:firstLine="0"/>
              <w:jc w:val="both"/>
              <w:rPr>
                <w:sz w:val="20"/>
              </w:rPr>
            </w:pPr>
            <w:r>
              <w:rPr>
                <w:sz w:val="20"/>
              </w:rPr>
              <w:t>Ange en kvalitativ indikation på förtroendet för klassificeringen av kvantitativ och kemisk status (valfritt).</w:t>
            </w:r>
          </w:p>
          <w:p w:rsidR="000215C5" w:rsidRDefault="00703023">
            <w:pPr>
              <w:numPr>
                <w:ilvl w:val="0"/>
                <w:numId w:val="8"/>
              </w:numPr>
              <w:tabs>
                <w:tab w:val="left" w:pos="316"/>
              </w:tabs>
              <w:spacing w:after="0"/>
              <w:ind w:left="0" w:firstLine="0"/>
              <w:jc w:val="both"/>
              <w:rPr>
                <w:sz w:val="20"/>
              </w:rPr>
            </w:pPr>
            <w:r>
              <w:rPr>
                <w:sz w:val="20"/>
              </w:rPr>
              <w:t>Rapportera ämnen som överskrider kvalitetsnormerna eller gränsvärdena, men inte bedöms som fel i kemisk status, dvs. fall där artikel 4.2 c i vattendirektivet gäller.</w:t>
            </w:r>
          </w:p>
          <w:p w:rsidR="000215C5" w:rsidRDefault="00703023">
            <w:pPr>
              <w:numPr>
                <w:ilvl w:val="0"/>
                <w:numId w:val="8"/>
              </w:numPr>
              <w:tabs>
                <w:tab w:val="left" w:pos="316"/>
              </w:tabs>
              <w:spacing w:after="0"/>
              <w:ind w:left="0" w:firstLine="0"/>
              <w:jc w:val="both"/>
              <w:rPr>
                <w:sz w:val="20"/>
              </w:rPr>
            </w:pPr>
            <w:r>
              <w:rPr>
                <w:sz w:val="20"/>
              </w:rPr>
              <w:t>Rapportera orsaker till undantag för vattenförekomster på kvantitativ nivå och/eller per kemiskt ämne.</w:t>
            </w:r>
          </w:p>
        </w:tc>
        <w:tc>
          <w:tcPr>
            <w:tcW w:w="1131" w:type="dxa"/>
            <w:shd w:val="clear" w:color="auto" w:fill="auto"/>
          </w:tcPr>
          <w:p w:rsidR="000215C5" w:rsidRDefault="00703023">
            <w:pPr>
              <w:spacing w:after="0"/>
              <w:jc w:val="both"/>
              <w:rPr>
                <w:sz w:val="20"/>
              </w:rPr>
            </w:pPr>
            <w:r>
              <w:fldChar w:fldCharType="begin"/>
            </w:r>
            <w:r>
              <w:instrText xml:space="preserve"> REF _Ref382298467 \r \h  \* MERGEFORMAT </w:instrText>
            </w:r>
            <w:r>
              <w:fldChar w:fldCharType="separate"/>
            </w:r>
            <w:r>
              <w:rPr>
                <w:sz w:val="20"/>
              </w:rPr>
              <w:t>3.4.3.2</w:t>
            </w:r>
            <w:r>
              <w:fldChar w:fldCharType="end"/>
            </w:r>
          </w:p>
          <w:p w:rsidR="000215C5" w:rsidRDefault="00703023">
            <w:pPr>
              <w:spacing w:after="0"/>
              <w:jc w:val="both"/>
              <w:rPr>
                <w:sz w:val="20"/>
              </w:rPr>
            </w:pPr>
            <w:r>
              <w:fldChar w:fldCharType="begin"/>
            </w:r>
            <w:r>
              <w:instrText xml:space="preserve"> REF _Ref382298477 \r \h  \* MERGEFORMAT </w:instrText>
            </w:r>
            <w:r>
              <w:fldChar w:fldCharType="separate"/>
            </w:r>
            <w:r>
              <w:rPr>
                <w:sz w:val="20"/>
              </w:rPr>
              <w:t>3.5.3.2</w:t>
            </w:r>
            <w:r>
              <w:fldChar w:fldCharType="end"/>
            </w:r>
          </w:p>
        </w:tc>
      </w:tr>
      <w:tr w:rsidR="000215C5">
        <w:tc>
          <w:tcPr>
            <w:tcW w:w="2235" w:type="dxa"/>
            <w:shd w:val="clear" w:color="auto" w:fill="auto"/>
          </w:tcPr>
          <w:p w:rsidR="000215C5" w:rsidRDefault="00703023">
            <w:pPr>
              <w:spacing w:after="0"/>
              <w:jc w:val="both"/>
              <w:rPr>
                <w:sz w:val="20"/>
              </w:rPr>
            </w:pPr>
            <w:r>
              <w:rPr>
                <w:sz w:val="20"/>
              </w:rPr>
              <w:t>Övervakning</w:t>
            </w:r>
          </w:p>
        </w:tc>
        <w:tc>
          <w:tcPr>
            <w:tcW w:w="5953" w:type="dxa"/>
            <w:shd w:val="clear" w:color="auto" w:fill="auto"/>
          </w:tcPr>
          <w:p w:rsidR="000215C5" w:rsidRDefault="00703023">
            <w:pPr>
              <w:numPr>
                <w:ilvl w:val="0"/>
                <w:numId w:val="9"/>
              </w:numPr>
              <w:tabs>
                <w:tab w:val="left" w:pos="316"/>
              </w:tabs>
              <w:spacing w:after="0"/>
              <w:ind w:left="0" w:firstLine="0"/>
              <w:jc w:val="both"/>
              <w:rPr>
                <w:sz w:val="20"/>
              </w:rPr>
            </w:pPr>
            <w:r>
              <w:rPr>
                <w:sz w:val="20"/>
              </w:rPr>
              <w:t xml:space="preserve">Rapportera kvalitetsfaktorer på nivåerna </w:t>
            </w:r>
            <w:r>
              <w:rPr>
                <w:rStyle w:val="Fotnotsreferens"/>
                <w:sz w:val="20"/>
              </w:rPr>
              <w:footnoteReference w:id="16"/>
            </w:r>
            <w:r>
              <w:rPr>
                <w:sz w:val="20"/>
              </w:rPr>
              <w:t xml:space="preserve"> 2 eller 3 för biologiska och hydromorfologiska faktorer.</w:t>
            </w:r>
          </w:p>
          <w:p w:rsidR="000215C5" w:rsidRDefault="00703023">
            <w:pPr>
              <w:numPr>
                <w:ilvl w:val="0"/>
                <w:numId w:val="9"/>
              </w:numPr>
              <w:tabs>
                <w:tab w:val="left" w:pos="316"/>
              </w:tabs>
              <w:spacing w:after="0"/>
              <w:ind w:left="0" w:firstLine="0"/>
              <w:jc w:val="both"/>
              <w:rPr>
                <w:sz w:val="20"/>
              </w:rPr>
            </w:pPr>
            <w:r>
              <w:rPr>
                <w:sz w:val="20"/>
              </w:rPr>
              <w:t>Rapportera kvalitetsfaktorer på nivå 3 för fysikalisk-kemiska faktorer.</w:t>
            </w:r>
          </w:p>
          <w:p w:rsidR="000215C5" w:rsidRDefault="00703023">
            <w:pPr>
              <w:numPr>
                <w:ilvl w:val="0"/>
                <w:numId w:val="9"/>
              </w:numPr>
              <w:tabs>
                <w:tab w:val="left" w:pos="316"/>
              </w:tabs>
              <w:spacing w:after="0"/>
              <w:ind w:left="0" w:firstLine="0"/>
              <w:jc w:val="both"/>
              <w:rPr>
                <w:sz w:val="20"/>
              </w:rPr>
            </w:pPr>
            <w:r>
              <w:rPr>
                <w:sz w:val="20"/>
              </w:rPr>
              <w:t>För prioriterade ämnen och RBSP i ytvatten krävs information om de individuella ämnen som övervakas.</w:t>
            </w:r>
          </w:p>
          <w:p w:rsidR="000215C5" w:rsidRDefault="00703023">
            <w:pPr>
              <w:numPr>
                <w:ilvl w:val="0"/>
                <w:numId w:val="9"/>
              </w:numPr>
              <w:tabs>
                <w:tab w:val="left" w:pos="316"/>
              </w:tabs>
              <w:spacing w:after="0"/>
              <w:ind w:left="0" w:firstLine="0"/>
              <w:jc w:val="both"/>
              <w:rPr>
                <w:sz w:val="20"/>
              </w:rPr>
            </w:pPr>
            <w:r>
              <w:rPr>
                <w:sz w:val="20"/>
              </w:rPr>
              <w:t>För grundvattenparametrar krävs information på nivå 2 för vissa motsvarigheter till specifika ämnen och för andra motsvarigheter till grupper av ämnen.</w:t>
            </w:r>
          </w:p>
          <w:p w:rsidR="000215C5" w:rsidRDefault="00703023">
            <w:pPr>
              <w:numPr>
                <w:ilvl w:val="0"/>
                <w:numId w:val="9"/>
              </w:numPr>
              <w:tabs>
                <w:tab w:val="left" w:pos="316"/>
              </w:tabs>
              <w:spacing w:after="0"/>
              <w:ind w:left="0" w:firstLine="0"/>
              <w:jc w:val="both"/>
              <w:rPr>
                <w:sz w:val="20"/>
              </w:rPr>
            </w:pPr>
            <w:r>
              <w:rPr>
                <w:sz w:val="20"/>
              </w:rPr>
              <w:t>Ange det senaste året då kvalitetsfaktorerna övervakades.</w:t>
            </w:r>
          </w:p>
          <w:p w:rsidR="000215C5" w:rsidRDefault="00703023">
            <w:pPr>
              <w:numPr>
                <w:ilvl w:val="0"/>
                <w:numId w:val="9"/>
              </w:numPr>
              <w:tabs>
                <w:tab w:val="left" w:pos="316"/>
              </w:tabs>
              <w:spacing w:after="0"/>
              <w:ind w:left="0" w:firstLine="0"/>
              <w:jc w:val="both"/>
              <w:rPr>
                <w:sz w:val="20"/>
              </w:rPr>
            </w:pPr>
            <w:r>
              <w:rPr>
                <w:sz w:val="20"/>
              </w:rPr>
              <w:t>Rapportera vattenkategori på stationsnivå.</w:t>
            </w:r>
          </w:p>
          <w:p w:rsidR="000215C5" w:rsidRDefault="00703023">
            <w:pPr>
              <w:numPr>
                <w:ilvl w:val="0"/>
                <w:numId w:val="9"/>
              </w:numPr>
              <w:tabs>
                <w:tab w:val="left" w:pos="316"/>
              </w:tabs>
              <w:spacing w:after="0"/>
              <w:ind w:left="0" w:firstLine="0"/>
              <w:jc w:val="both"/>
              <w:rPr>
                <w:sz w:val="20"/>
              </w:rPr>
            </w:pPr>
            <w:r>
              <w:rPr>
                <w:sz w:val="20"/>
              </w:rPr>
              <w:t>Rapportera om stationerna är nya eller om de rapporterades i den första förvaltningsplanen 2010.</w:t>
            </w:r>
          </w:p>
          <w:p w:rsidR="000215C5" w:rsidRDefault="00703023">
            <w:pPr>
              <w:numPr>
                <w:ilvl w:val="0"/>
                <w:numId w:val="9"/>
              </w:numPr>
              <w:tabs>
                <w:tab w:val="left" w:pos="316"/>
              </w:tabs>
              <w:spacing w:after="0"/>
              <w:ind w:left="0" w:firstLine="0"/>
              <w:jc w:val="both"/>
              <w:rPr>
                <w:sz w:val="20"/>
              </w:rPr>
            </w:pPr>
            <w:r>
              <w:rPr>
                <w:sz w:val="20"/>
              </w:rPr>
              <w:t>Mallen för övervakningsprogram har förenklats betydligt. Det enda som behöver rapporteras är förteckningen över program och deras omfattning eller syfte.</w:t>
            </w:r>
          </w:p>
          <w:p w:rsidR="000215C5" w:rsidRDefault="00703023">
            <w:pPr>
              <w:numPr>
                <w:ilvl w:val="0"/>
                <w:numId w:val="9"/>
              </w:numPr>
              <w:tabs>
                <w:tab w:val="left" w:pos="316"/>
              </w:tabs>
              <w:spacing w:after="0"/>
              <w:ind w:left="0" w:firstLine="0"/>
              <w:jc w:val="both"/>
              <w:rPr>
                <w:sz w:val="20"/>
              </w:rPr>
            </w:pPr>
            <w:r>
              <w:rPr>
                <w:sz w:val="20"/>
              </w:rPr>
              <w:t>När det gäller prioriterade ämnen, skilj mellan övervakning av status och övervakning av trender.</w:t>
            </w:r>
          </w:p>
        </w:tc>
        <w:tc>
          <w:tcPr>
            <w:tcW w:w="1131" w:type="dxa"/>
            <w:shd w:val="clear" w:color="auto" w:fill="auto"/>
          </w:tcPr>
          <w:p w:rsidR="000215C5" w:rsidRDefault="00703023">
            <w:pPr>
              <w:spacing w:after="0"/>
              <w:jc w:val="both"/>
              <w:rPr>
                <w:sz w:val="20"/>
              </w:rPr>
            </w:pPr>
            <w:r>
              <w:fldChar w:fldCharType="begin"/>
            </w:r>
            <w:r>
              <w:instrText xml:space="preserve"> REF _Ref382300197 \r \h  \* MERGEFORMAT </w:instrText>
            </w:r>
            <w:r>
              <w:fldChar w:fldCharType="separate"/>
            </w:r>
            <w:r>
              <w:rPr>
                <w:sz w:val="20"/>
              </w:rPr>
              <w:t>4.3.2</w:t>
            </w:r>
            <w:r>
              <w:fldChar w:fldCharType="end"/>
            </w:r>
          </w:p>
        </w:tc>
      </w:tr>
      <w:tr w:rsidR="000215C5">
        <w:tc>
          <w:tcPr>
            <w:tcW w:w="2235" w:type="dxa"/>
            <w:shd w:val="clear" w:color="auto" w:fill="auto"/>
          </w:tcPr>
          <w:p w:rsidR="000215C5" w:rsidRDefault="00703023">
            <w:pPr>
              <w:spacing w:after="0"/>
              <w:jc w:val="both"/>
              <w:rPr>
                <w:sz w:val="20"/>
              </w:rPr>
            </w:pPr>
            <w:r>
              <w:rPr>
                <w:sz w:val="20"/>
              </w:rPr>
              <w:t>Skyddade områden</w:t>
            </w:r>
          </w:p>
        </w:tc>
        <w:tc>
          <w:tcPr>
            <w:tcW w:w="5953" w:type="dxa"/>
            <w:shd w:val="clear" w:color="auto" w:fill="auto"/>
          </w:tcPr>
          <w:p w:rsidR="000215C5" w:rsidRDefault="00703023">
            <w:pPr>
              <w:numPr>
                <w:ilvl w:val="0"/>
                <w:numId w:val="10"/>
              </w:numPr>
              <w:tabs>
                <w:tab w:val="left" w:pos="316"/>
              </w:tabs>
              <w:spacing w:after="0"/>
              <w:ind w:left="0" w:firstLine="0"/>
              <w:jc w:val="both"/>
              <w:rPr>
                <w:sz w:val="20"/>
              </w:rPr>
            </w:pPr>
            <w:r>
              <w:rPr>
                <w:sz w:val="20"/>
              </w:rPr>
              <w:t xml:space="preserve">Textbeskrivningen av registret över skyddade områden har strukits. </w:t>
            </w:r>
          </w:p>
          <w:p w:rsidR="000215C5" w:rsidRDefault="00703023">
            <w:pPr>
              <w:numPr>
                <w:ilvl w:val="0"/>
                <w:numId w:val="10"/>
              </w:numPr>
              <w:tabs>
                <w:tab w:val="left" w:pos="316"/>
              </w:tabs>
              <w:spacing w:after="0"/>
              <w:ind w:left="0" w:firstLine="0"/>
              <w:jc w:val="both"/>
              <w:rPr>
                <w:sz w:val="20"/>
              </w:rPr>
            </w:pPr>
            <w:r>
              <w:rPr>
                <w:sz w:val="20"/>
              </w:rPr>
              <w:t>Rapporteringen av mål och status har anpassats till varje typ av skyddat område. Endast tre typer omfattas (livsmiljöer/fåglar, skaldjur och dricksvatten).</w:t>
            </w:r>
          </w:p>
        </w:tc>
        <w:tc>
          <w:tcPr>
            <w:tcW w:w="1131" w:type="dxa"/>
            <w:shd w:val="clear" w:color="auto" w:fill="auto"/>
          </w:tcPr>
          <w:p w:rsidR="000215C5" w:rsidRDefault="00703023">
            <w:pPr>
              <w:spacing w:after="0"/>
              <w:jc w:val="both"/>
              <w:rPr>
                <w:sz w:val="20"/>
              </w:rPr>
            </w:pPr>
            <w:r>
              <w:fldChar w:fldCharType="begin"/>
            </w:r>
            <w:r>
              <w:instrText xml:space="preserve"> REF _Ref382300567 \r \h  \* MERGEFORMAT </w:instrText>
            </w:r>
            <w:r>
              <w:fldChar w:fldCharType="separate"/>
            </w:r>
            <w:r>
              <w:rPr>
                <w:sz w:val="20"/>
              </w:rPr>
              <w:t>5.3.2</w:t>
            </w:r>
            <w:r>
              <w:fldChar w:fldCharType="end"/>
            </w:r>
          </w:p>
        </w:tc>
      </w:tr>
      <w:tr w:rsidR="000215C5">
        <w:tc>
          <w:tcPr>
            <w:tcW w:w="2235" w:type="dxa"/>
            <w:shd w:val="clear" w:color="auto" w:fill="auto"/>
          </w:tcPr>
          <w:p w:rsidR="000215C5" w:rsidRDefault="00703023">
            <w:pPr>
              <w:spacing w:after="0"/>
              <w:jc w:val="both"/>
              <w:rPr>
                <w:sz w:val="20"/>
              </w:rPr>
            </w:pPr>
            <w:r>
              <w:rPr>
                <w:sz w:val="20"/>
              </w:rPr>
              <w:t>Avrinningsdistrikt/delavrinningsdistrikt och behöriga myndigheter</w:t>
            </w:r>
          </w:p>
        </w:tc>
        <w:tc>
          <w:tcPr>
            <w:tcW w:w="5953" w:type="dxa"/>
            <w:shd w:val="clear" w:color="auto" w:fill="auto"/>
          </w:tcPr>
          <w:p w:rsidR="000215C5" w:rsidRDefault="00703023">
            <w:pPr>
              <w:numPr>
                <w:ilvl w:val="0"/>
                <w:numId w:val="11"/>
              </w:numPr>
              <w:tabs>
                <w:tab w:val="left" w:pos="316"/>
              </w:tabs>
              <w:spacing w:after="0"/>
              <w:ind w:left="0" w:firstLine="0"/>
              <w:jc w:val="both"/>
              <w:rPr>
                <w:sz w:val="20"/>
              </w:rPr>
            </w:pPr>
            <w:r>
              <w:rPr>
                <w:sz w:val="20"/>
              </w:rPr>
              <w:t>Sammanfattningen har strukits.</w:t>
            </w:r>
          </w:p>
          <w:p w:rsidR="000215C5" w:rsidRDefault="00703023">
            <w:pPr>
              <w:numPr>
                <w:ilvl w:val="0"/>
                <w:numId w:val="11"/>
              </w:numPr>
              <w:tabs>
                <w:tab w:val="left" w:pos="316"/>
              </w:tabs>
              <w:spacing w:after="0"/>
              <w:ind w:left="0" w:firstLine="0"/>
              <w:jc w:val="both"/>
              <w:rPr>
                <w:sz w:val="20"/>
              </w:rPr>
            </w:pPr>
            <w:r>
              <w:rPr>
                <w:sz w:val="20"/>
              </w:rPr>
              <w:t>Kategoriseringen av roller har ersatts av en mer exakt lista över roller.</w:t>
            </w:r>
          </w:p>
        </w:tc>
        <w:tc>
          <w:tcPr>
            <w:tcW w:w="1131" w:type="dxa"/>
            <w:shd w:val="clear" w:color="auto" w:fill="auto"/>
          </w:tcPr>
          <w:p w:rsidR="000215C5" w:rsidRDefault="00703023">
            <w:pPr>
              <w:spacing w:after="0"/>
              <w:jc w:val="both"/>
              <w:rPr>
                <w:sz w:val="20"/>
              </w:rPr>
            </w:pPr>
            <w:r>
              <w:fldChar w:fldCharType="begin"/>
            </w:r>
            <w:r>
              <w:instrText xml:space="preserve"> REF _Ref382300701 \r \h  \* MERGEFORMAT </w:instrText>
            </w:r>
            <w:r>
              <w:fldChar w:fldCharType="separate"/>
            </w:r>
            <w:r>
              <w:rPr>
                <w:sz w:val="20"/>
              </w:rPr>
              <w:t>6.3.2</w:t>
            </w:r>
            <w:r>
              <w:fldChar w:fldCharType="end"/>
            </w:r>
          </w:p>
        </w:tc>
      </w:tr>
      <w:tr w:rsidR="000215C5">
        <w:tc>
          <w:tcPr>
            <w:tcW w:w="2235" w:type="dxa"/>
            <w:shd w:val="clear" w:color="auto" w:fill="auto"/>
          </w:tcPr>
          <w:p w:rsidR="000215C5" w:rsidRDefault="00703023">
            <w:pPr>
              <w:spacing w:after="0"/>
              <w:jc w:val="both"/>
              <w:rPr>
                <w:sz w:val="20"/>
              </w:rPr>
            </w:pPr>
            <w:r>
              <w:rPr>
                <w:sz w:val="20"/>
              </w:rPr>
              <w:t>Ytvattenstypologi och karakteriseringsmetod</w:t>
            </w:r>
          </w:p>
        </w:tc>
        <w:tc>
          <w:tcPr>
            <w:tcW w:w="5953" w:type="dxa"/>
            <w:shd w:val="clear" w:color="auto" w:fill="auto"/>
          </w:tcPr>
          <w:p w:rsidR="000215C5" w:rsidRDefault="00703023">
            <w:pPr>
              <w:numPr>
                <w:ilvl w:val="0"/>
                <w:numId w:val="12"/>
              </w:numPr>
              <w:tabs>
                <w:tab w:val="left" w:pos="316"/>
              </w:tabs>
              <w:spacing w:after="0"/>
              <w:ind w:left="0" w:firstLine="0"/>
              <w:jc w:val="both"/>
              <w:rPr>
                <w:sz w:val="20"/>
              </w:rPr>
            </w:pPr>
            <w:r>
              <w:rPr>
                <w:sz w:val="20"/>
              </w:rPr>
              <w:t>De faktorer som används för typologin behöver inte längre rapporteras.</w:t>
            </w:r>
          </w:p>
          <w:p w:rsidR="000215C5" w:rsidRDefault="00703023">
            <w:pPr>
              <w:numPr>
                <w:ilvl w:val="0"/>
                <w:numId w:val="12"/>
              </w:numPr>
              <w:tabs>
                <w:tab w:val="left" w:pos="316"/>
              </w:tabs>
              <w:spacing w:after="0"/>
              <w:ind w:left="0" w:firstLine="0"/>
              <w:jc w:val="both"/>
              <w:rPr>
                <w:sz w:val="20"/>
              </w:rPr>
            </w:pPr>
            <w:r>
              <w:rPr>
                <w:sz w:val="20"/>
              </w:rPr>
              <w:t>Ange om magasin rapporteras som kraftigt modifierade floder eller sjöar.</w:t>
            </w:r>
          </w:p>
          <w:p w:rsidR="000215C5" w:rsidRDefault="00703023">
            <w:pPr>
              <w:numPr>
                <w:ilvl w:val="0"/>
                <w:numId w:val="12"/>
              </w:numPr>
              <w:tabs>
                <w:tab w:val="left" w:pos="316"/>
              </w:tabs>
              <w:spacing w:after="0"/>
              <w:ind w:left="0" w:firstLine="0"/>
              <w:jc w:val="both"/>
              <w:rPr>
                <w:sz w:val="20"/>
              </w:rPr>
            </w:pPr>
            <w:r>
              <w:rPr>
                <w:sz w:val="20"/>
              </w:rPr>
              <w:t>Rapportera förteckningen över typer med en kort beskrivning.</w:t>
            </w:r>
          </w:p>
          <w:p w:rsidR="000215C5" w:rsidRDefault="00703023">
            <w:pPr>
              <w:numPr>
                <w:ilvl w:val="0"/>
                <w:numId w:val="12"/>
              </w:numPr>
              <w:tabs>
                <w:tab w:val="left" w:pos="316"/>
              </w:tabs>
              <w:spacing w:after="0"/>
              <w:ind w:left="0" w:firstLine="0"/>
              <w:jc w:val="both"/>
              <w:rPr>
                <w:sz w:val="20"/>
              </w:rPr>
            </w:pPr>
            <w:r>
              <w:rPr>
                <w:sz w:val="20"/>
              </w:rPr>
              <w:t>Rapportera motsvarigheten med interkalibreringstyper.</w:t>
            </w:r>
          </w:p>
          <w:p w:rsidR="000215C5" w:rsidRDefault="00703023">
            <w:pPr>
              <w:numPr>
                <w:ilvl w:val="0"/>
                <w:numId w:val="12"/>
              </w:numPr>
              <w:tabs>
                <w:tab w:val="left" w:pos="316"/>
              </w:tabs>
              <w:spacing w:after="0"/>
              <w:ind w:left="0" w:firstLine="0"/>
              <w:jc w:val="both"/>
              <w:rPr>
                <w:sz w:val="20"/>
              </w:rPr>
            </w:pPr>
            <w:r>
              <w:rPr>
                <w:sz w:val="20"/>
              </w:rPr>
              <w:t>Sammanfattningen har strukits.</w:t>
            </w:r>
          </w:p>
          <w:p w:rsidR="000215C5" w:rsidRDefault="00703023">
            <w:pPr>
              <w:numPr>
                <w:ilvl w:val="0"/>
                <w:numId w:val="12"/>
              </w:numPr>
              <w:tabs>
                <w:tab w:val="left" w:pos="316"/>
              </w:tabs>
              <w:spacing w:after="0"/>
              <w:ind w:left="0" w:firstLine="0"/>
              <w:jc w:val="both"/>
              <w:rPr>
                <w:sz w:val="20"/>
              </w:rPr>
            </w:pPr>
            <w:r>
              <w:rPr>
                <w:sz w:val="20"/>
              </w:rPr>
              <w:t xml:space="preserve">Det finns färre riktade frågor om referensförhållanden. </w:t>
            </w:r>
          </w:p>
        </w:tc>
        <w:tc>
          <w:tcPr>
            <w:tcW w:w="1131" w:type="dxa"/>
            <w:shd w:val="clear" w:color="auto" w:fill="auto"/>
          </w:tcPr>
          <w:p w:rsidR="000215C5" w:rsidRDefault="00703023">
            <w:pPr>
              <w:spacing w:after="0"/>
              <w:jc w:val="both"/>
              <w:rPr>
                <w:sz w:val="20"/>
              </w:rPr>
            </w:pPr>
            <w:r>
              <w:fldChar w:fldCharType="begin"/>
            </w:r>
            <w:r>
              <w:instrText xml:space="preserve"> REF _Ref382301832 \r \h  \* MERGEFORMAT </w:instrText>
            </w:r>
            <w:r>
              <w:fldChar w:fldCharType="separate"/>
            </w:r>
            <w:r>
              <w:rPr>
                <w:sz w:val="20"/>
              </w:rPr>
              <w:t>7.2.3.2</w:t>
            </w:r>
            <w:r>
              <w:fldChar w:fldCharType="end"/>
            </w:r>
          </w:p>
        </w:tc>
      </w:tr>
      <w:tr w:rsidR="000215C5">
        <w:tc>
          <w:tcPr>
            <w:tcW w:w="2235" w:type="dxa"/>
            <w:shd w:val="clear" w:color="auto" w:fill="auto"/>
          </w:tcPr>
          <w:p w:rsidR="000215C5" w:rsidRDefault="00703023">
            <w:pPr>
              <w:spacing w:after="0"/>
              <w:jc w:val="both"/>
              <w:rPr>
                <w:sz w:val="20"/>
              </w:rPr>
            </w:pPr>
            <w:r>
              <w:rPr>
                <w:sz w:val="20"/>
              </w:rPr>
              <w:t>Klassificering av ekologisk status/potential hos ytvatten</w:t>
            </w:r>
          </w:p>
        </w:tc>
        <w:tc>
          <w:tcPr>
            <w:tcW w:w="5953" w:type="dxa"/>
            <w:shd w:val="clear" w:color="auto" w:fill="auto"/>
          </w:tcPr>
          <w:p w:rsidR="000215C5" w:rsidRDefault="00703023">
            <w:pPr>
              <w:numPr>
                <w:ilvl w:val="0"/>
                <w:numId w:val="13"/>
              </w:numPr>
              <w:tabs>
                <w:tab w:val="left" w:pos="316"/>
              </w:tabs>
              <w:spacing w:after="0"/>
              <w:ind w:left="0" w:firstLine="0"/>
              <w:jc w:val="both"/>
              <w:rPr>
                <w:sz w:val="20"/>
              </w:rPr>
            </w:pPr>
            <w:r>
              <w:rPr>
                <w:sz w:val="20"/>
              </w:rPr>
              <w:t>Stora delar av mallen för ytvattenklassificering har strukits, särskilt sammanfattningarna (några har ersatts av riktade frågor, t.ex. om "one-out, all-out", gruppering och god ekologisk potential (BEP)), rapporteringen av gränsvärden för biologiska kvalitetsfaktorer, höga/goda gränser för fysikalisk-kemiska och hydromorfologiska parametrar samt RBSP.</w:t>
            </w:r>
          </w:p>
          <w:p w:rsidR="000215C5" w:rsidRDefault="00703023">
            <w:pPr>
              <w:numPr>
                <w:ilvl w:val="0"/>
                <w:numId w:val="13"/>
              </w:numPr>
              <w:tabs>
                <w:tab w:val="left" w:pos="316"/>
              </w:tabs>
              <w:spacing w:after="0"/>
              <w:ind w:left="0" w:firstLine="0"/>
              <w:jc w:val="both"/>
              <w:rPr>
                <w:sz w:val="20"/>
              </w:rPr>
            </w:pPr>
            <w:r>
              <w:rPr>
                <w:sz w:val="20"/>
              </w:rPr>
              <w:t>Rapportera status för utvecklingen av bedömningsmetoderna för biologiska kvalitetsfaktorer och deras känslighet för påverkan.</w:t>
            </w:r>
          </w:p>
          <w:p w:rsidR="000215C5" w:rsidRDefault="00703023">
            <w:pPr>
              <w:numPr>
                <w:ilvl w:val="0"/>
                <w:numId w:val="13"/>
              </w:numPr>
              <w:tabs>
                <w:tab w:val="left" w:pos="316"/>
              </w:tabs>
              <w:spacing w:after="0"/>
              <w:ind w:left="0" w:firstLine="0"/>
              <w:jc w:val="both"/>
              <w:rPr>
                <w:sz w:val="20"/>
              </w:rPr>
            </w:pPr>
            <w:r>
              <w:rPr>
                <w:sz w:val="20"/>
              </w:rPr>
              <w:t>Rapportera om miljökvalitetsstandarder för RBSP har tagits fram med hjälp av den tekniska vägledningen från 2011 och om de analytiska metoderna uppfyller kraven i direktivet om tekniska specifikationer och standardmetoder.</w:t>
            </w:r>
          </w:p>
        </w:tc>
        <w:tc>
          <w:tcPr>
            <w:tcW w:w="1131" w:type="dxa"/>
            <w:shd w:val="clear" w:color="auto" w:fill="auto"/>
          </w:tcPr>
          <w:p w:rsidR="000215C5" w:rsidRDefault="00703023">
            <w:pPr>
              <w:spacing w:after="0"/>
              <w:jc w:val="both"/>
              <w:rPr>
                <w:sz w:val="20"/>
              </w:rPr>
            </w:pPr>
            <w:r>
              <w:fldChar w:fldCharType="begin"/>
            </w:r>
            <w:r>
              <w:instrText xml:space="preserve"> REF _Ref382301852 \r \h  \* MERGEFORMAT </w:instrText>
            </w:r>
            <w:r>
              <w:fldChar w:fldCharType="separate"/>
            </w:r>
            <w:r>
              <w:rPr>
                <w:sz w:val="20"/>
              </w:rPr>
              <w:t>7.3.3.2</w:t>
            </w:r>
            <w:r>
              <w:fldChar w:fldCharType="end"/>
            </w:r>
          </w:p>
        </w:tc>
      </w:tr>
      <w:tr w:rsidR="000215C5">
        <w:tc>
          <w:tcPr>
            <w:tcW w:w="2235" w:type="dxa"/>
            <w:shd w:val="clear" w:color="auto" w:fill="auto"/>
          </w:tcPr>
          <w:p w:rsidR="000215C5" w:rsidRDefault="00703023">
            <w:pPr>
              <w:spacing w:after="0"/>
              <w:jc w:val="both"/>
              <w:rPr>
                <w:sz w:val="20"/>
              </w:rPr>
            </w:pPr>
            <w:r>
              <w:rPr>
                <w:sz w:val="20"/>
              </w:rPr>
              <w:t>Klassificering av kemisk status</w:t>
            </w:r>
          </w:p>
        </w:tc>
        <w:tc>
          <w:tcPr>
            <w:tcW w:w="5953" w:type="dxa"/>
            <w:shd w:val="clear" w:color="auto" w:fill="auto"/>
          </w:tcPr>
          <w:p w:rsidR="000215C5" w:rsidRDefault="00703023">
            <w:pPr>
              <w:numPr>
                <w:ilvl w:val="0"/>
                <w:numId w:val="13"/>
              </w:numPr>
              <w:tabs>
                <w:tab w:val="left" w:pos="316"/>
              </w:tabs>
              <w:spacing w:after="0"/>
              <w:ind w:left="0" w:firstLine="0"/>
              <w:jc w:val="both"/>
              <w:rPr>
                <w:sz w:val="20"/>
              </w:rPr>
            </w:pPr>
            <w:r>
              <w:rPr>
                <w:sz w:val="20"/>
              </w:rPr>
              <w:t>Rapportera de standarder som används för bedömningen av kemisk status (standard, matris, ändamål, vattenkategori, överensstämmelse med den tekniska vägledningen från 2011, uppfyllande av kraven i direktivet om tekniska specifikationer och standardmetoder).</w:t>
            </w:r>
          </w:p>
          <w:p w:rsidR="000215C5" w:rsidRDefault="00703023">
            <w:pPr>
              <w:numPr>
                <w:ilvl w:val="0"/>
                <w:numId w:val="13"/>
              </w:numPr>
              <w:tabs>
                <w:tab w:val="left" w:pos="316"/>
              </w:tabs>
              <w:spacing w:after="0"/>
              <w:ind w:left="0" w:firstLine="0"/>
              <w:jc w:val="both"/>
              <w:rPr>
                <w:sz w:val="20"/>
              </w:rPr>
            </w:pPr>
            <w:r>
              <w:rPr>
                <w:sz w:val="20"/>
              </w:rPr>
              <w:t xml:space="preserve">Riktade frågor har införts om procentandelen vattenförekomster som inte övervakas, metoden för att bedöma status utan övervakning, genomförandet av direktivet om tekniska specifikationer och standardmetoder, användningen av bakgrundskoncentrationer och biotillgänglighet, trendbedömning och metoden för blandade zoner. </w:t>
            </w:r>
          </w:p>
        </w:tc>
        <w:tc>
          <w:tcPr>
            <w:tcW w:w="1131" w:type="dxa"/>
            <w:shd w:val="clear" w:color="auto" w:fill="auto"/>
          </w:tcPr>
          <w:p w:rsidR="000215C5" w:rsidRDefault="00703023">
            <w:pPr>
              <w:spacing w:after="0"/>
              <w:jc w:val="both"/>
              <w:rPr>
                <w:sz w:val="20"/>
              </w:rPr>
            </w:pPr>
            <w:r>
              <w:fldChar w:fldCharType="begin"/>
            </w:r>
            <w:r>
              <w:instrText xml:space="preserve"> REF _Ref382302008 \r \h  \* MERGEFORMAT </w:instrText>
            </w:r>
            <w:r>
              <w:fldChar w:fldCharType="separate"/>
            </w:r>
            <w:r>
              <w:rPr>
                <w:sz w:val="20"/>
              </w:rPr>
              <w:t>7.4.3.2</w:t>
            </w:r>
            <w:r>
              <w:fldChar w:fldCharType="end"/>
            </w:r>
          </w:p>
        </w:tc>
      </w:tr>
      <w:tr w:rsidR="000215C5">
        <w:tc>
          <w:tcPr>
            <w:tcW w:w="2235" w:type="dxa"/>
            <w:shd w:val="clear" w:color="auto" w:fill="auto"/>
          </w:tcPr>
          <w:p w:rsidR="000215C5" w:rsidRDefault="00703023">
            <w:pPr>
              <w:spacing w:after="0"/>
              <w:jc w:val="both"/>
              <w:rPr>
                <w:sz w:val="20"/>
              </w:rPr>
            </w:pPr>
            <w:r>
              <w:rPr>
                <w:sz w:val="20"/>
              </w:rPr>
              <w:t>Karakteriseringsmetod för grundvatten</w:t>
            </w:r>
          </w:p>
        </w:tc>
        <w:tc>
          <w:tcPr>
            <w:tcW w:w="5953" w:type="dxa"/>
            <w:shd w:val="clear" w:color="auto" w:fill="auto"/>
          </w:tcPr>
          <w:p w:rsidR="000215C5" w:rsidRDefault="00703023">
            <w:pPr>
              <w:numPr>
                <w:ilvl w:val="0"/>
                <w:numId w:val="13"/>
              </w:numPr>
              <w:tabs>
                <w:tab w:val="left" w:pos="316"/>
              </w:tabs>
              <w:spacing w:after="0"/>
              <w:ind w:left="0" w:firstLine="0"/>
              <w:jc w:val="both"/>
              <w:rPr>
                <w:sz w:val="20"/>
              </w:rPr>
            </w:pPr>
            <w:r>
              <w:rPr>
                <w:sz w:val="20"/>
              </w:rPr>
              <w:t>Denna mall har strukits. Detaljerad vägledning ges om de uppgifter som ska anges i den andra förvaltningsplanen eller åtföljande dokument.</w:t>
            </w:r>
          </w:p>
        </w:tc>
        <w:tc>
          <w:tcPr>
            <w:tcW w:w="1131" w:type="dxa"/>
            <w:shd w:val="clear" w:color="auto" w:fill="auto"/>
          </w:tcPr>
          <w:p w:rsidR="000215C5" w:rsidRDefault="00703023">
            <w:pPr>
              <w:spacing w:after="0"/>
              <w:jc w:val="both"/>
              <w:rPr>
                <w:sz w:val="20"/>
              </w:rPr>
            </w:pPr>
            <w:r>
              <w:rPr>
                <w:sz w:val="20"/>
              </w:rPr>
              <w:t>8.2.3.2</w:t>
            </w:r>
          </w:p>
        </w:tc>
      </w:tr>
      <w:tr w:rsidR="000215C5">
        <w:tc>
          <w:tcPr>
            <w:tcW w:w="2235" w:type="dxa"/>
            <w:shd w:val="clear" w:color="auto" w:fill="auto"/>
          </w:tcPr>
          <w:p w:rsidR="000215C5" w:rsidRDefault="00703023">
            <w:pPr>
              <w:spacing w:after="0"/>
              <w:jc w:val="both"/>
              <w:rPr>
                <w:sz w:val="20"/>
              </w:rPr>
            </w:pPr>
            <w:r>
              <w:rPr>
                <w:sz w:val="20"/>
              </w:rPr>
              <w:t>Klassificering av grundvattenstatus (kvantitativ och kemisk)</w:t>
            </w:r>
          </w:p>
        </w:tc>
        <w:tc>
          <w:tcPr>
            <w:tcW w:w="5953" w:type="dxa"/>
            <w:shd w:val="clear" w:color="auto" w:fill="auto"/>
          </w:tcPr>
          <w:p w:rsidR="000215C5" w:rsidRDefault="00703023">
            <w:pPr>
              <w:numPr>
                <w:ilvl w:val="0"/>
                <w:numId w:val="13"/>
              </w:numPr>
              <w:tabs>
                <w:tab w:val="left" w:pos="316"/>
              </w:tabs>
              <w:spacing w:after="0"/>
              <w:ind w:left="0" w:firstLine="0"/>
              <w:jc w:val="both"/>
              <w:rPr>
                <w:sz w:val="20"/>
              </w:rPr>
            </w:pPr>
            <w:r>
              <w:rPr>
                <w:sz w:val="20"/>
              </w:rPr>
              <w:t>Sammanfattningen har strukits och ersatts av riktade frågor om minskning/skador, överskridanden, bedömning av behov hos terrestra ekosystem, trendbedömningar och framtagande av gränsvärden.</w:t>
            </w:r>
          </w:p>
        </w:tc>
        <w:tc>
          <w:tcPr>
            <w:tcW w:w="1131" w:type="dxa"/>
            <w:shd w:val="clear" w:color="auto" w:fill="auto"/>
          </w:tcPr>
          <w:p w:rsidR="000215C5" w:rsidRDefault="00703023">
            <w:pPr>
              <w:spacing w:after="0"/>
              <w:jc w:val="both"/>
              <w:rPr>
                <w:sz w:val="20"/>
              </w:rPr>
            </w:pPr>
            <w:r>
              <w:rPr>
                <w:sz w:val="20"/>
              </w:rPr>
              <w:t>8.3.3.2</w:t>
            </w:r>
          </w:p>
        </w:tc>
      </w:tr>
      <w:tr w:rsidR="000215C5">
        <w:tc>
          <w:tcPr>
            <w:tcW w:w="2235" w:type="dxa"/>
            <w:shd w:val="clear" w:color="auto" w:fill="auto"/>
          </w:tcPr>
          <w:p w:rsidR="000215C5" w:rsidRDefault="00703023">
            <w:pPr>
              <w:spacing w:after="0"/>
              <w:jc w:val="both"/>
              <w:rPr>
                <w:sz w:val="20"/>
              </w:rPr>
            </w:pPr>
            <w:r>
              <w:rPr>
                <w:sz w:val="20"/>
              </w:rPr>
              <w:t>Förvaltningsplaner</w:t>
            </w:r>
          </w:p>
        </w:tc>
        <w:tc>
          <w:tcPr>
            <w:tcW w:w="5953" w:type="dxa"/>
            <w:shd w:val="clear" w:color="auto" w:fill="auto"/>
          </w:tcPr>
          <w:p w:rsidR="000215C5" w:rsidRDefault="00703023">
            <w:pPr>
              <w:numPr>
                <w:ilvl w:val="0"/>
                <w:numId w:val="13"/>
              </w:numPr>
              <w:tabs>
                <w:tab w:val="left" w:pos="316"/>
              </w:tabs>
              <w:spacing w:after="0"/>
              <w:ind w:left="0" w:firstLine="0"/>
              <w:jc w:val="both"/>
              <w:rPr>
                <w:sz w:val="20"/>
              </w:rPr>
            </w:pPr>
            <w:r>
              <w:rPr>
                <w:sz w:val="20"/>
              </w:rPr>
              <w:t>Sammanfattningen har strukits och ersatts av riktade frågor om delplaner, SMB, berörda aktörers deltagande och internationell samordning.</w:t>
            </w:r>
          </w:p>
        </w:tc>
        <w:tc>
          <w:tcPr>
            <w:tcW w:w="1131" w:type="dxa"/>
            <w:shd w:val="clear" w:color="auto" w:fill="auto"/>
          </w:tcPr>
          <w:p w:rsidR="000215C5" w:rsidRDefault="00703023">
            <w:pPr>
              <w:spacing w:after="0"/>
              <w:jc w:val="both"/>
              <w:rPr>
                <w:sz w:val="20"/>
              </w:rPr>
            </w:pPr>
            <w:r>
              <w:rPr>
                <w:sz w:val="20"/>
              </w:rPr>
              <w:t>9.2.3.2</w:t>
            </w:r>
          </w:p>
        </w:tc>
      </w:tr>
      <w:tr w:rsidR="000215C5">
        <w:tc>
          <w:tcPr>
            <w:tcW w:w="2235" w:type="dxa"/>
            <w:shd w:val="clear" w:color="auto" w:fill="auto"/>
          </w:tcPr>
          <w:p w:rsidR="000215C5" w:rsidRDefault="00703023">
            <w:pPr>
              <w:spacing w:after="0"/>
              <w:jc w:val="both"/>
              <w:rPr>
                <w:sz w:val="20"/>
              </w:rPr>
            </w:pPr>
            <w:r>
              <w:rPr>
                <w:sz w:val="20"/>
              </w:rPr>
              <w:t>Mängder och utsläpp av förorenande ämnen till yt- och grundvatten</w:t>
            </w:r>
          </w:p>
        </w:tc>
        <w:tc>
          <w:tcPr>
            <w:tcW w:w="5953" w:type="dxa"/>
            <w:shd w:val="clear" w:color="auto" w:fill="auto"/>
          </w:tcPr>
          <w:p w:rsidR="000215C5" w:rsidRDefault="00703023">
            <w:pPr>
              <w:numPr>
                <w:ilvl w:val="0"/>
                <w:numId w:val="13"/>
              </w:numPr>
              <w:tabs>
                <w:tab w:val="left" w:pos="316"/>
              </w:tabs>
              <w:spacing w:after="0"/>
              <w:ind w:left="0" w:firstLine="0"/>
              <w:jc w:val="both"/>
              <w:rPr>
                <w:sz w:val="20"/>
              </w:rPr>
            </w:pPr>
            <w:r>
              <w:rPr>
                <w:sz w:val="20"/>
              </w:rPr>
              <w:t>Informationsinsamlingen kommer att anpassas till Europeiska miljöbyråns rapporter</w:t>
            </w:r>
            <w:r w:rsidR="00D52D4D">
              <w:rPr>
                <w:sz w:val="20"/>
              </w:rPr>
              <w:t>ing om utsläpp till vatten (SoE</w:t>
            </w:r>
            <w:r w:rsidR="00D52D4D">
              <w:rPr>
                <w:sz w:val="20"/>
              </w:rPr>
              <w:noBreakHyphen/>
            </w:r>
            <w:r>
              <w:rPr>
                <w:sz w:val="20"/>
              </w:rPr>
              <w:t>utsläpp).</w:t>
            </w:r>
          </w:p>
        </w:tc>
        <w:tc>
          <w:tcPr>
            <w:tcW w:w="1131" w:type="dxa"/>
            <w:shd w:val="clear" w:color="auto" w:fill="auto"/>
          </w:tcPr>
          <w:p w:rsidR="000215C5" w:rsidRDefault="00703023">
            <w:pPr>
              <w:spacing w:after="0"/>
              <w:jc w:val="both"/>
              <w:rPr>
                <w:sz w:val="20"/>
              </w:rPr>
            </w:pPr>
            <w:r>
              <w:rPr>
                <w:sz w:val="20"/>
              </w:rPr>
              <w:t>9.3.3.2</w:t>
            </w:r>
          </w:p>
        </w:tc>
      </w:tr>
      <w:tr w:rsidR="000215C5">
        <w:tc>
          <w:tcPr>
            <w:tcW w:w="2235" w:type="dxa"/>
            <w:shd w:val="clear" w:color="auto" w:fill="auto"/>
          </w:tcPr>
          <w:p w:rsidR="000215C5" w:rsidRDefault="00703023">
            <w:pPr>
              <w:spacing w:after="0"/>
              <w:jc w:val="both"/>
              <w:rPr>
                <w:sz w:val="20"/>
              </w:rPr>
            </w:pPr>
            <w:r>
              <w:rPr>
                <w:sz w:val="20"/>
              </w:rPr>
              <w:t>Vattenuttag och utnyttjande av vattenresurser</w:t>
            </w:r>
          </w:p>
        </w:tc>
        <w:tc>
          <w:tcPr>
            <w:tcW w:w="5953" w:type="dxa"/>
            <w:shd w:val="clear" w:color="auto" w:fill="auto"/>
          </w:tcPr>
          <w:p w:rsidR="000215C5" w:rsidRDefault="00703023">
            <w:pPr>
              <w:numPr>
                <w:ilvl w:val="0"/>
                <w:numId w:val="13"/>
              </w:numPr>
              <w:tabs>
                <w:tab w:val="left" w:pos="316"/>
              </w:tabs>
              <w:spacing w:after="0"/>
              <w:ind w:left="0" w:firstLine="0"/>
              <w:jc w:val="both"/>
              <w:rPr>
                <w:sz w:val="20"/>
              </w:rPr>
            </w:pPr>
            <w:r>
              <w:rPr>
                <w:sz w:val="20"/>
              </w:rPr>
              <w:t>Informationsinsamlingen ska slås ihop med Europeiska miljöbyråns rapportering om vattenmängder (SoE-vattenmängder).</w:t>
            </w:r>
          </w:p>
        </w:tc>
        <w:tc>
          <w:tcPr>
            <w:tcW w:w="1131" w:type="dxa"/>
            <w:shd w:val="clear" w:color="auto" w:fill="auto"/>
          </w:tcPr>
          <w:p w:rsidR="000215C5" w:rsidRDefault="00703023">
            <w:pPr>
              <w:spacing w:after="0"/>
              <w:jc w:val="both"/>
              <w:rPr>
                <w:sz w:val="20"/>
              </w:rPr>
            </w:pPr>
            <w:r>
              <w:rPr>
                <w:sz w:val="20"/>
              </w:rPr>
              <w:t>9.4.3.2</w:t>
            </w:r>
          </w:p>
        </w:tc>
      </w:tr>
      <w:tr w:rsidR="000215C5">
        <w:tc>
          <w:tcPr>
            <w:tcW w:w="2235" w:type="dxa"/>
            <w:vMerge w:val="restart"/>
            <w:tcBorders>
              <w:top w:val="single" w:sz="4" w:space="0" w:color="auto"/>
              <w:left w:val="single" w:sz="4" w:space="0" w:color="auto"/>
              <w:right w:val="single" w:sz="4" w:space="0" w:color="auto"/>
            </w:tcBorders>
            <w:shd w:val="clear" w:color="auto" w:fill="auto"/>
          </w:tcPr>
          <w:p w:rsidR="000215C5" w:rsidRDefault="00703023">
            <w:pPr>
              <w:spacing w:after="0"/>
              <w:jc w:val="both"/>
              <w:rPr>
                <w:sz w:val="20"/>
              </w:rPr>
            </w:pPr>
            <w:r>
              <w:rPr>
                <w:sz w:val="20"/>
              </w:rPr>
              <w:t>Åtgärdsprogram</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pStyle w:val="Liststycke"/>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r>
              <w:rPr>
                <w:rStyle w:val="elementheader21"/>
                <w:rFonts w:ascii="Calibri Light" w:hAnsi="Calibri Light"/>
                <w:b w:val="0"/>
                <w:color w:val="auto"/>
              </w:rPr>
              <w:t>Rapportering om genomförandet av grundläggande åtgärder enligt artikel 11.3 a krävs inte längre.</w:t>
            </w:r>
          </w:p>
          <w:p w:rsidR="000215C5" w:rsidRDefault="00703023">
            <w:pPr>
              <w:pStyle w:val="Liststycke"/>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r>
              <w:rPr>
                <w:rStyle w:val="elementheader21"/>
                <w:rFonts w:ascii="Calibri Light" w:hAnsi="Calibri Light"/>
                <w:b w:val="0"/>
                <w:color w:val="auto"/>
              </w:rPr>
              <w:t>Rapportering om genomförandet av grundläggande åtgärder enligt artikel 11.3 b–l ersätts av riktade frågor.</w:t>
            </w:r>
          </w:p>
          <w:p w:rsidR="000215C5" w:rsidRDefault="00703023">
            <w:pPr>
              <w:pStyle w:val="Liststycke"/>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bookmarkStart w:id="90" w:name="Link0597A060"/>
            <w:r>
              <w:rPr>
                <w:rStyle w:val="elementheader21"/>
                <w:rFonts w:ascii="Calibri Light" w:hAnsi="Calibri Light"/>
                <w:b w:val="0"/>
                <w:color w:val="auto"/>
              </w:rPr>
              <w:t>Rapportering om behovet av kompletterande åtgärder</w:t>
            </w:r>
            <w:bookmarkEnd w:id="90"/>
            <w:r w:rsidR="00D95552">
              <w:rPr>
                <w:rStyle w:val="elementheader21"/>
                <w:rFonts w:ascii="Calibri Light" w:hAnsi="Calibri Light"/>
                <w:b w:val="0"/>
                <w:color w:val="auto"/>
              </w:rPr>
              <w:t xml:space="preserve"> </w:t>
            </w:r>
            <w:r>
              <w:rPr>
                <w:rStyle w:val="elementheader21"/>
                <w:rFonts w:ascii="Calibri Light" w:hAnsi="Calibri Light"/>
                <w:b w:val="0"/>
                <w:color w:val="auto"/>
              </w:rPr>
              <w:t>krävs inte längre.</w:t>
            </w:r>
          </w:p>
          <w:p w:rsidR="000215C5" w:rsidRDefault="00703023">
            <w:pPr>
              <w:pStyle w:val="Liststycke"/>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rPr>
            </w:pPr>
            <w:bookmarkStart w:id="91" w:name="Link04045F20"/>
            <w:r w:rsidRPr="00D95552">
              <w:rPr>
                <w:rStyle w:val="elementheader21"/>
                <w:rFonts w:ascii="Calibri Light" w:hAnsi="Calibri Light"/>
                <w:b w:val="0"/>
                <w:color w:val="auto"/>
                <w:lang w:val="en-GB"/>
              </w:rPr>
              <w:t xml:space="preserve">Checklistan Pressures Measures har strukits. </w:t>
            </w:r>
            <w:r>
              <w:rPr>
                <w:rStyle w:val="elementheader21"/>
                <w:rFonts w:ascii="Calibri Light" w:hAnsi="Calibri Light"/>
                <w:b w:val="0"/>
                <w:color w:val="auto"/>
              </w:rPr>
              <w:t>D</w:t>
            </w:r>
            <w:bookmarkEnd w:id="91"/>
            <w:r>
              <w:rPr>
                <w:rStyle w:val="elementheader21"/>
                <w:rFonts w:ascii="Calibri Light" w:hAnsi="Calibri Light"/>
                <w:b w:val="0"/>
                <w:color w:val="auto"/>
              </w:rPr>
              <w:t>enna information ska nu anges som åtgärder som krävs för att hantera avsevärd påverkan.</w:t>
            </w:r>
          </w:p>
          <w:p w:rsidR="000215C5" w:rsidRDefault="00703023">
            <w:pPr>
              <w:pStyle w:val="Liststycke"/>
              <w:numPr>
                <w:ilvl w:val="0"/>
                <w:numId w:val="13"/>
              </w:numPr>
              <w:tabs>
                <w:tab w:val="left" w:pos="316"/>
              </w:tabs>
              <w:spacing w:after="0"/>
              <w:ind w:left="0" w:firstLine="0"/>
              <w:contextualSpacing w:val="0"/>
              <w:jc w:val="both"/>
              <w:rPr>
                <w:sz w:val="20"/>
              </w:rPr>
            </w:pPr>
            <w:r>
              <w:rPr>
                <w:sz w:val="20"/>
              </w:rPr>
              <w:t>Nytt krav på specifik information om åtgärder som planeras för att uppnå vattendirektivets miljömål för prioriterade ämnen.</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10.1.8</w:t>
            </w:r>
          </w:p>
        </w:tc>
      </w:tr>
      <w:tr w:rsidR="000215C5">
        <w:tc>
          <w:tcPr>
            <w:tcW w:w="2235" w:type="dxa"/>
            <w:vMerge/>
            <w:tcBorders>
              <w:left w:val="single" w:sz="4" w:space="0" w:color="auto"/>
              <w:right w:val="single" w:sz="4" w:space="0" w:color="auto"/>
            </w:tcBorders>
            <w:shd w:val="clear" w:color="auto" w:fill="auto"/>
          </w:tcPr>
          <w:p w:rsidR="000215C5" w:rsidRDefault="000215C5">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numPr>
                <w:ilvl w:val="0"/>
                <w:numId w:val="13"/>
              </w:numPr>
              <w:tabs>
                <w:tab w:val="left" w:pos="316"/>
              </w:tabs>
              <w:spacing w:after="0"/>
              <w:ind w:left="0" w:firstLine="0"/>
              <w:jc w:val="both"/>
              <w:rPr>
                <w:sz w:val="20"/>
              </w:rPr>
            </w:pPr>
            <w:r>
              <w:rPr>
                <w:sz w:val="20"/>
              </w:rPr>
              <w:t>Rapportering om särskilda åtgärder för att uppnå miljökvalitetsstandarder för prioriterade ämnen.</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10.1.8</w:t>
            </w:r>
          </w:p>
        </w:tc>
      </w:tr>
      <w:tr w:rsidR="000215C5">
        <w:tc>
          <w:tcPr>
            <w:tcW w:w="2235" w:type="dxa"/>
            <w:vMerge/>
            <w:tcBorders>
              <w:left w:val="single" w:sz="4" w:space="0" w:color="auto"/>
              <w:right w:val="single" w:sz="4" w:space="0" w:color="auto"/>
            </w:tcBorders>
            <w:shd w:val="clear" w:color="auto" w:fill="auto"/>
          </w:tcPr>
          <w:p w:rsidR="000215C5" w:rsidRDefault="000215C5">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numPr>
                <w:ilvl w:val="0"/>
                <w:numId w:val="13"/>
              </w:numPr>
              <w:tabs>
                <w:tab w:val="left" w:pos="316"/>
              </w:tabs>
              <w:spacing w:after="0"/>
              <w:ind w:left="0" w:firstLine="0"/>
              <w:jc w:val="both"/>
              <w:rPr>
                <w:sz w:val="20"/>
              </w:rPr>
            </w:pPr>
            <w:r>
              <w:rPr>
                <w:sz w:val="20"/>
              </w:rPr>
              <w:t>Antalet typer av centrala åtgärder (Key Types of Measures, KTM) har ökats från 16 till 25 breda åtgärdstyper som täcker den vanligaste typen av betydande påverkan på EU-nivå. Dessa åtgärder förväntas leda till de flesta förbättringar som krävs för att uppnå vattendirektivets mål. KTM infördes för den tredje rapporten om genomförandet av vattendirektivet – bedömning av förvaltningsplaner för avrinningsdistrikt (2012)</w:t>
            </w:r>
            <w:r>
              <w:rPr>
                <w:rStyle w:val="Fotnotsreferens"/>
                <w:sz w:val="20"/>
              </w:rPr>
              <w:footnoteReference w:id="17"/>
            </w:r>
            <w:r>
              <w:rPr>
                <w:sz w:val="20"/>
              </w:rPr>
              <w:t>. Syftet med åtgärderna är att minska det mycket stora antalet kompletterande åtgärder som rapporteras av medlemsstaterna och förenkla rapporteringen av åtgärder.</w:t>
            </w:r>
          </w:p>
          <w:p w:rsidR="000215C5" w:rsidRDefault="00703023">
            <w:pPr>
              <w:numPr>
                <w:ilvl w:val="0"/>
                <w:numId w:val="13"/>
              </w:numPr>
              <w:tabs>
                <w:tab w:val="left" w:pos="316"/>
              </w:tabs>
              <w:spacing w:after="0"/>
              <w:ind w:left="0" w:firstLine="0"/>
              <w:jc w:val="both"/>
              <w:rPr>
                <w:sz w:val="20"/>
              </w:rPr>
            </w:pPr>
            <w:r>
              <w:rPr>
                <w:sz w:val="20"/>
              </w:rPr>
              <w:t>Kvantitativa indikatorer för förväntade framsteg eller resultat mellan 2015 och 2021 ska anges.</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10.1.3</w:t>
            </w:r>
          </w:p>
        </w:tc>
      </w:tr>
      <w:tr w:rsidR="000215C5">
        <w:tc>
          <w:tcPr>
            <w:tcW w:w="2235" w:type="dxa"/>
            <w:vMerge/>
            <w:tcBorders>
              <w:left w:val="single" w:sz="4" w:space="0" w:color="auto"/>
              <w:right w:val="single" w:sz="4" w:space="0" w:color="auto"/>
            </w:tcBorders>
            <w:shd w:val="clear" w:color="auto" w:fill="auto"/>
          </w:tcPr>
          <w:p w:rsidR="000215C5" w:rsidRDefault="000215C5">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numPr>
                <w:ilvl w:val="0"/>
                <w:numId w:val="13"/>
              </w:numPr>
              <w:tabs>
                <w:tab w:val="left" w:pos="316"/>
              </w:tabs>
              <w:spacing w:after="0"/>
              <w:ind w:left="0" w:firstLine="0"/>
              <w:jc w:val="both"/>
              <w:rPr>
                <w:sz w:val="20"/>
              </w:rPr>
            </w:pPr>
            <w:r>
              <w:rPr>
                <w:sz w:val="20"/>
              </w:rPr>
              <w:t>Förteckningen över kompletterande åtgärder har ändrats till en åtgärdsförteckning med länkar till de grundläggande åtgärdstyper som krävs.</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10.1.8</w:t>
            </w:r>
          </w:p>
        </w:tc>
      </w:tr>
      <w:tr w:rsidR="000215C5">
        <w:tc>
          <w:tcPr>
            <w:tcW w:w="2235" w:type="dxa"/>
            <w:vMerge/>
            <w:tcBorders>
              <w:left w:val="single" w:sz="4" w:space="0" w:color="auto"/>
              <w:right w:val="single" w:sz="4" w:space="0" w:color="auto"/>
            </w:tcBorders>
            <w:shd w:val="clear" w:color="auto" w:fill="auto"/>
          </w:tcPr>
          <w:p w:rsidR="000215C5" w:rsidRDefault="000215C5">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numPr>
                <w:ilvl w:val="0"/>
                <w:numId w:val="13"/>
              </w:numPr>
              <w:tabs>
                <w:tab w:val="left" w:pos="316"/>
              </w:tabs>
              <w:spacing w:after="0"/>
              <w:ind w:left="0" w:firstLine="0"/>
              <w:jc w:val="both"/>
              <w:rPr>
                <w:sz w:val="20"/>
              </w:rPr>
            </w:pPr>
            <w:r>
              <w:rPr>
                <w:sz w:val="20"/>
              </w:rPr>
              <w:t>Sammanfattningen har strukits och ersatts av riktade frågor om särskilda åtgärder och aspekter i åtgärdsplanerna.</w:t>
            </w:r>
          </w:p>
          <w:p w:rsidR="000215C5" w:rsidRDefault="00703023">
            <w:pPr>
              <w:numPr>
                <w:ilvl w:val="0"/>
                <w:numId w:val="13"/>
              </w:numPr>
              <w:tabs>
                <w:tab w:val="left" w:pos="316"/>
              </w:tabs>
              <w:spacing w:after="0"/>
              <w:ind w:left="0" w:firstLine="0"/>
              <w:jc w:val="both"/>
              <w:rPr>
                <w:sz w:val="20"/>
              </w:rPr>
            </w:pPr>
            <w:r>
              <w:rPr>
                <w:sz w:val="20"/>
              </w:rPr>
              <w:t>Länkar till specifika bakgrundsdokument som ska rapporteras av medlemsstaterna.</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10.2</w:t>
            </w:r>
          </w:p>
        </w:tc>
      </w:tr>
      <w:tr w:rsidR="000215C5">
        <w:tc>
          <w:tcPr>
            <w:tcW w:w="2235" w:type="dxa"/>
            <w:vMerge/>
            <w:tcBorders>
              <w:left w:val="single" w:sz="4" w:space="0" w:color="auto"/>
              <w:bottom w:val="single" w:sz="4" w:space="0" w:color="auto"/>
              <w:right w:val="single" w:sz="4" w:space="0" w:color="auto"/>
            </w:tcBorders>
            <w:shd w:val="clear" w:color="auto" w:fill="auto"/>
          </w:tcPr>
          <w:p w:rsidR="000215C5" w:rsidRDefault="000215C5">
            <w:pPr>
              <w:spacing w:after="0"/>
              <w:jc w:val="both"/>
              <w:rPr>
                <w:sz w:val="20"/>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numPr>
                <w:ilvl w:val="0"/>
                <w:numId w:val="13"/>
              </w:numPr>
              <w:tabs>
                <w:tab w:val="left" w:pos="316"/>
              </w:tabs>
              <w:spacing w:after="0"/>
              <w:ind w:left="0" w:firstLine="0"/>
              <w:jc w:val="both"/>
              <w:rPr>
                <w:sz w:val="20"/>
              </w:rPr>
            </w:pPr>
            <w:r>
              <w:rPr>
                <w:sz w:val="20"/>
              </w:rPr>
              <w:t>Riktade frågor och uppräkningslistor om framsteg och resultat från de första förvaltningsplanerna och åtgärdsplanerna har lagts till.</w:t>
            </w:r>
          </w:p>
          <w:p w:rsidR="000215C5" w:rsidRDefault="00703023">
            <w:pPr>
              <w:numPr>
                <w:ilvl w:val="0"/>
                <w:numId w:val="13"/>
              </w:numPr>
              <w:tabs>
                <w:tab w:val="left" w:pos="316"/>
              </w:tabs>
              <w:spacing w:after="0"/>
              <w:ind w:left="0" w:firstLine="0"/>
              <w:jc w:val="both"/>
              <w:rPr>
                <w:sz w:val="20"/>
              </w:rPr>
            </w:pPr>
            <w:r>
              <w:rPr>
                <w:sz w:val="20"/>
              </w:rPr>
              <w:t>Länkar till specifika bakgrundsdokument som ska rapporteras av medlemsstaterna.</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10.5</w:t>
            </w:r>
          </w:p>
        </w:tc>
      </w:tr>
      <w:tr w:rsidR="000215C5">
        <w:tc>
          <w:tcPr>
            <w:tcW w:w="223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Kostnad för åtgärder</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numPr>
                <w:ilvl w:val="0"/>
                <w:numId w:val="13"/>
              </w:numPr>
              <w:tabs>
                <w:tab w:val="left" w:pos="316"/>
              </w:tabs>
              <w:spacing w:after="0"/>
              <w:ind w:left="0" w:firstLine="0"/>
              <w:jc w:val="both"/>
              <w:rPr>
                <w:sz w:val="20"/>
              </w:rPr>
            </w:pPr>
            <w:r>
              <w:rPr>
                <w:sz w:val="20"/>
              </w:rPr>
              <w:t>Kostnaderna ska rapporteras för den första cykeln och planeras för den andra (2015–2021) när det gäller investeringskostnader (ej på årsbasis), årliga drifts- och underhållskostnader</w:t>
            </w:r>
            <w:r w:rsidR="00D95552">
              <w:rPr>
                <w:sz w:val="20"/>
              </w:rPr>
              <w:t xml:space="preserve"> och andra kostnader</w:t>
            </w:r>
            <w:r>
              <w:rPr>
                <w:sz w:val="20"/>
              </w:rPr>
              <w:t xml:space="preserve"> (ej på årsbasis) för grundläggande åtgärder enligt artikel 11.3 a, grundläggande åtgärder enligt artikel 11.3 b–l, kompletterande åtgärder enligt artikel 11.4 och </w:t>
            </w:r>
            <w:r w:rsidR="00D95552">
              <w:rPr>
                <w:sz w:val="20"/>
              </w:rPr>
              <w:t>ytterligare</w:t>
            </w:r>
            <w:r>
              <w:rPr>
                <w:sz w:val="20"/>
              </w:rPr>
              <w:t xml:space="preserve"> åtgärder enligt artikel 11.5.</w:t>
            </w:r>
          </w:p>
          <w:p w:rsidR="000215C5" w:rsidRDefault="00703023">
            <w:pPr>
              <w:numPr>
                <w:ilvl w:val="0"/>
                <w:numId w:val="13"/>
              </w:numPr>
              <w:tabs>
                <w:tab w:val="left" w:pos="316"/>
              </w:tabs>
              <w:spacing w:after="0"/>
              <w:ind w:left="0" w:firstLine="0"/>
              <w:jc w:val="both"/>
              <w:rPr>
                <w:sz w:val="20"/>
              </w:rPr>
            </w:pPr>
            <w:r>
              <w:rPr>
                <w:sz w:val="20"/>
              </w:rPr>
              <w:t>Revision av poster för att inhämta information om finansiering av åtgärderna för den första cykeln och planerade åtgärder för den andra cykeln (2015–2021).</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10.3.3.2</w:t>
            </w:r>
          </w:p>
        </w:tc>
      </w:tr>
      <w:tr w:rsidR="000215C5">
        <w:tc>
          <w:tcPr>
            <w:tcW w:w="223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Ekonomisk analys och kostnadstäckning</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numPr>
                <w:ilvl w:val="0"/>
                <w:numId w:val="13"/>
              </w:numPr>
              <w:tabs>
                <w:tab w:val="left" w:pos="316"/>
              </w:tabs>
              <w:spacing w:after="0"/>
              <w:ind w:left="0" w:firstLine="0"/>
              <w:jc w:val="both"/>
              <w:rPr>
                <w:sz w:val="20"/>
              </w:rPr>
            </w:pPr>
            <w:r>
              <w:rPr>
                <w:sz w:val="20"/>
              </w:rPr>
              <w:t>Reviderad och förenklad struktur för att rapportera information om den uppdaterade ekonomiska analysen med riktade frågor och uppräkningslistor.</w:t>
            </w:r>
          </w:p>
          <w:p w:rsidR="000215C5" w:rsidRDefault="00703023">
            <w:pPr>
              <w:numPr>
                <w:ilvl w:val="0"/>
                <w:numId w:val="13"/>
              </w:numPr>
              <w:tabs>
                <w:tab w:val="left" w:pos="316"/>
              </w:tabs>
              <w:spacing w:after="0"/>
              <w:ind w:left="0" w:firstLine="0"/>
              <w:jc w:val="both"/>
              <w:rPr>
                <w:sz w:val="20"/>
              </w:rPr>
            </w:pPr>
            <w:r>
              <w:rPr>
                <w:sz w:val="20"/>
              </w:rPr>
              <w:t>Länkar till specifika bakgrundsdokument som ska rapporteras av medlemsstaterna.</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20"/>
              </w:rPr>
            </w:pPr>
            <w:r>
              <w:rPr>
                <w:sz w:val="20"/>
              </w:rPr>
              <w:t>11.2.2</w:t>
            </w:r>
          </w:p>
        </w:tc>
      </w:tr>
    </w:tbl>
    <w:p w:rsidR="000215C5" w:rsidRDefault="000215C5">
      <w:pPr>
        <w:jc w:val="both"/>
      </w:pPr>
    </w:p>
    <w:p w:rsidR="000215C5" w:rsidRDefault="00703023">
      <w:pPr>
        <w:jc w:val="both"/>
      </w:pPr>
      <w:r>
        <w:t>Särskild vägledning om utarbetandet av innehållet i den andra versionen av förvaltningsplanerna och/eller bakgrundsdokument finns i följande kapitel samt i bilagorna.</w:t>
      </w:r>
    </w:p>
    <w:p w:rsidR="000215C5" w:rsidRDefault="00703023">
      <w:pPr>
        <w:pStyle w:val="Rubrik2"/>
        <w:jc w:val="both"/>
      </w:pPr>
      <w:bookmarkStart w:id="92" w:name="_Toc425522037"/>
      <w:bookmarkStart w:id="93" w:name="_Toc432666049"/>
      <w:bookmarkStart w:id="94" w:name="_Toc437520245"/>
      <w:r>
        <w:t>Översikt av rapporteringsmallarna</w:t>
      </w:r>
      <w:bookmarkEnd w:id="92"/>
      <w:bookmarkEnd w:id="93"/>
      <w:bookmarkEnd w:id="94"/>
    </w:p>
    <w:p w:rsidR="000215C5" w:rsidRDefault="00703023">
      <w:pPr>
        <w:jc w:val="both"/>
      </w:pPr>
      <w:r>
        <w:t>Följande mallar har tagits fram för rapporteringen 2016. De beskrivs i följande kapitel (XML avser uppgifter i tabellform och GML avser geografiska uppgifter).</w:t>
      </w:r>
    </w:p>
    <w:tbl>
      <w:tblPr>
        <w:tblStyle w:val="Tabellrutnt"/>
        <w:tblW w:w="0" w:type="auto"/>
        <w:tblLook w:val="04A0" w:firstRow="1" w:lastRow="0" w:firstColumn="1" w:lastColumn="0" w:noHBand="0" w:noVBand="1"/>
      </w:tblPr>
      <w:tblGrid>
        <w:gridCol w:w="3049"/>
        <w:gridCol w:w="784"/>
        <w:gridCol w:w="1945"/>
        <w:gridCol w:w="3009"/>
        <w:gridCol w:w="1066"/>
      </w:tblGrid>
      <w:tr w:rsidR="000215C5">
        <w:trPr>
          <w:tblHeader/>
        </w:trPr>
        <w:tc>
          <w:tcPr>
            <w:tcW w:w="3055" w:type="dxa"/>
          </w:tcPr>
          <w:p w:rsidR="000215C5" w:rsidRDefault="00703023">
            <w:pPr>
              <w:spacing w:after="0"/>
              <w:jc w:val="both"/>
              <w:rPr>
                <w:b/>
              </w:rPr>
            </w:pPr>
            <w:r>
              <w:rPr>
                <w:b/>
              </w:rPr>
              <w:t>Mallnamn</w:t>
            </w:r>
          </w:p>
        </w:tc>
        <w:tc>
          <w:tcPr>
            <w:tcW w:w="812" w:type="dxa"/>
          </w:tcPr>
          <w:p w:rsidR="000215C5" w:rsidRDefault="00703023">
            <w:pPr>
              <w:spacing w:after="0"/>
              <w:jc w:val="both"/>
              <w:rPr>
                <w:b/>
              </w:rPr>
            </w:pPr>
            <w:r>
              <w:rPr>
                <w:b/>
              </w:rPr>
              <w:t>Typ</w:t>
            </w:r>
          </w:p>
        </w:tc>
        <w:tc>
          <w:tcPr>
            <w:tcW w:w="1770" w:type="dxa"/>
          </w:tcPr>
          <w:p w:rsidR="000215C5" w:rsidRDefault="00703023">
            <w:pPr>
              <w:spacing w:after="0"/>
              <w:jc w:val="both"/>
              <w:rPr>
                <w:b/>
              </w:rPr>
            </w:pPr>
            <w:r>
              <w:rPr>
                <w:b/>
              </w:rPr>
              <w:t>Rapporteringsnivå</w:t>
            </w:r>
          </w:p>
        </w:tc>
        <w:tc>
          <w:tcPr>
            <w:tcW w:w="3101" w:type="dxa"/>
          </w:tcPr>
          <w:p w:rsidR="000215C5" w:rsidRDefault="00703023">
            <w:pPr>
              <w:spacing w:after="0"/>
              <w:jc w:val="both"/>
              <w:rPr>
                <w:b/>
              </w:rPr>
            </w:pPr>
            <w:r>
              <w:rPr>
                <w:b/>
              </w:rPr>
              <w:t>Innehållsförteckning</w:t>
            </w:r>
          </w:p>
        </w:tc>
        <w:tc>
          <w:tcPr>
            <w:tcW w:w="1115" w:type="dxa"/>
          </w:tcPr>
          <w:p w:rsidR="000215C5" w:rsidRDefault="00703023">
            <w:pPr>
              <w:spacing w:after="0"/>
              <w:jc w:val="both"/>
              <w:rPr>
                <w:b/>
              </w:rPr>
            </w:pPr>
            <w:r>
              <w:rPr>
                <w:b/>
              </w:rPr>
              <w:t>Kapitel</w:t>
            </w:r>
          </w:p>
        </w:tc>
      </w:tr>
      <w:tr w:rsidR="000215C5">
        <w:tc>
          <w:tcPr>
            <w:tcW w:w="3055" w:type="dxa"/>
          </w:tcPr>
          <w:p w:rsidR="000215C5" w:rsidRDefault="00703023">
            <w:pPr>
              <w:spacing w:after="0"/>
              <w:jc w:val="both"/>
            </w:pPr>
            <w:r>
              <w:t>RBDSUCA</w:t>
            </w:r>
          </w:p>
        </w:tc>
        <w:tc>
          <w:tcPr>
            <w:tcW w:w="812" w:type="dxa"/>
          </w:tcPr>
          <w:p w:rsidR="000215C5" w:rsidRDefault="00703023">
            <w:pPr>
              <w:spacing w:after="0"/>
              <w:jc w:val="both"/>
            </w:pPr>
            <w:r>
              <w:t>XML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Avrinningsdistrikt, delavrinningsdistrikt och behöriga myndigheter</w:t>
            </w:r>
          </w:p>
        </w:tc>
        <w:tc>
          <w:tcPr>
            <w:tcW w:w="1115" w:type="dxa"/>
          </w:tcPr>
          <w:p w:rsidR="000215C5" w:rsidRDefault="00703023">
            <w:pPr>
              <w:spacing w:after="0"/>
              <w:jc w:val="both"/>
            </w:pPr>
            <w:r>
              <w:t>6</w:t>
            </w:r>
          </w:p>
        </w:tc>
      </w:tr>
      <w:tr w:rsidR="000215C5">
        <w:tc>
          <w:tcPr>
            <w:tcW w:w="3055" w:type="dxa"/>
          </w:tcPr>
          <w:p w:rsidR="000215C5" w:rsidRDefault="00703023">
            <w:pPr>
              <w:spacing w:after="0"/>
              <w:jc w:val="both"/>
            </w:pPr>
            <w:r>
              <w:t>SWB</w:t>
            </w:r>
          </w:p>
        </w:tc>
        <w:tc>
          <w:tcPr>
            <w:tcW w:w="812" w:type="dxa"/>
          </w:tcPr>
          <w:p w:rsidR="000215C5" w:rsidRDefault="00703023">
            <w:pPr>
              <w:spacing w:after="0"/>
              <w:jc w:val="both"/>
            </w:pPr>
            <w:r>
              <w:t>XML</w:t>
            </w:r>
          </w:p>
        </w:tc>
        <w:tc>
          <w:tcPr>
            <w:tcW w:w="1770" w:type="dxa"/>
          </w:tcPr>
          <w:p w:rsidR="000215C5" w:rsidRDefault="00703023">
            <w:pPr>
              <w:spacing w:after="0"/>
              <w:jc w:val="both"/>
            </w:pPr>
            <w:r>
              <w:t>Avrinningsdistrikt (1 fil per avrinningsdistrikt)</w:t>
            </w:r>
          </w:p>
        </w:tc>
        <w:tc>
          <w:tcPr>
            <w:tcW w:w="3101" w:type="dxa"/>
          </w:tcPr>
          <w:p w:rsidR="000215C5" w:rsidRDefault="00703023">
            <w:pPr>
              <w:spacing w:after="0"/>
              <w:jc w:val="both"/>
            </w:pPr>
            <w:r>
              <w:t>Ytvattenförekomster (information på vattenförekomstnivå)</w:t>
            </w:r>
          </w:p>
        </w:tc>
        <w:tc>
          <w:tcPr>
            <w:tcW w:w="1115" w:type="dxa"/>
          </w:tcPr>
          <w:p w:rsidR="000215C5" w:rsidRDefault="00703023">
            <w:pPr>
              <w:spacing w:after="0"/>
              <w:jc w:val="both"/>
            </w:pPr>
            <w:r>
              <w:t>2 och 5</w:t>
            </w:r>
          </w:p>
        </w:tc>
      </w:tr>
      <w:tr w:rsidR="000215C5">
        <w:tc>
          <w:tcPr>
            <w:tcW w:w="3055" w:type="dxa"/>
          </w:tcPr>
          <w:p w:rsidR="000215C5" w:rsidRDefault="00703023">
            <w:pPr>
              <w:spacing w:after="0"/>
              <w:jc w:val="both"/>
            </w:pPr>
            <w:r>
              <w:t>GWB</w:t>
            </w:r>
          </w:p>
        </w:tc>
        <w:tc>
          <w:tcPr>
            <w:tcW w:w="812" w:type="dxa"/>
          </w:tcPr>
          <w:p w:rsidR="000215C5" w:rsidRDefault="00703023">
            <w:pPr>
              <w:spacing w:after="0"/>
              <w:jc w:val="both"/>
            </w:pPr>
            <w:r>
              <w:t>XML</w:t>
            </w:r>
          </w:p>
        </w:tc>
        <w:tc>
          <w:tcPr>
            <w:tcW w:w="1770" w:type="dxa"/>
          </w:tcPr>
          <w:p w:rsidR="000215C5" w:rsidRDefault="00703023">
            <w:pPr>
              <w:spacing w:after="0"/>
              <w:jc w:val="both"/>
            </w:pPr>
            <w:r>
              <w:t>Avrinningsdistrikt (1 fil per avrinningsdistrikt)</w:t>
            </w:r>
          </w:p>
        </w:tc>
        <w:tc>
          <w:tcPr>
            <w:tcW w:w="3101" w:type="dxa"/>
          </w:tcPr>
          <w:p w:rsidR="000215C5" w:rsidRDefault="00703023">
            <w:pPr>
              <w:spacing w:after="0"/>
              <w:jc w:val="both"/>
            </w:pPr>
            <w:r>
              <w:t>Grundvattenförekomster (information på vattenförekomstnivå)</w:t>
            </w:r>
          </w:p>
        </w:tc>
        <w:tc>
          <w:tcPr>
            <w:tcW w:w="1115" w:type="dxa"/>
          </w:tcPr>
          <w:p w:rsidR="000215C5" w:rsidRDefault="00703023">
            <w:pPr>
              <w:spacing w:after="0"/>
              <w:jc w:val="both"/>
            </w:pPr>
            <w:r>
              <w:t>3 och 5</w:t>
            </w:r>
          </w:p>
        </w:tc>
      </w:tr>
      <w:tr w:rsidR="000215C5">
        <w:tc>
          <w:tcPr>
            <w:tcW w:w="3055" w:type="dxa"/>
          </w:tcPr>
          <w:p w:rsidR="000215C5" w:rsidRDefault="00703023">
            <w:pPr>
              <w:spacing w:after="0"/>
              <w:jc w:val="both"/>
            </w:pPr>
            <w:r>
              <w:t>Övervakning</w:t>
            </w:r>
          </w:p>
        </w:tc>
        <w:tc>
          <w:tcPr>
            <w:tcW w:w="812" w:type="dxa"/>
          </w:tcPr>
          <w:p w:rsidR="000215C5" w:rsidRDefault="00703023">
            <w:pPr>
              <w:spacing w:after="0"/>
              <w:jc w:val="both"/>
            </w:pPr>
            <w:r>
              <w:t>XML</w:t>
            </w:r>
          </w:p>
        </w:tc>
        <w:tc>
          <w:tcPr>
            <w:tcW w:w="1770" w:type="dxa"/>
          </w:tcPr>
          <w:p w:rsidR="000215C5" w:rsidRDefault="00703023">
            <w:pPr>
              <w:spacing w:after="0"/>
              <w:jc w:val="both"/>
            </w:pPr>
            <w:r>
              <w:t>Avrinningsdistrikt (1 fil per avrinningsdistrikt)</w:t>
            </w:r>
          </w:p>
        </w:tc>
        <w:tc>
          <w:tcPr>
            <w:tcW w:w="3101" w:type="dxa"/>
          </w:tcPr>
          <w:p w:rsidR="000215C5" w:rsidRDefault="00703023">
            <w:pPr>
              <w:spacing w:after="0"/>
              <w:jc w:val="both"/>
            </w:pPr>
            <w:r>
              <w:t>Övervakningsprogram och övervakningsstationer för yt- och grundvattenförekomster</w:t>
            </w:r>
          </w:p>
        </w:tc>
        <w:tc>
          <w:tcPr>
            <w:tcW w:w="1115" w:type="dxa"/>
          </w:tcPr>
          <w:p w:rsidR="000215C5" w:rsidRDefault="00703023">
            <w:pPr>
              <w:spacing w:after="0"/>
              <w:jc w:val="both"/>
            </w:pPr>
            <w:r>
              <w:t>4 och 5</w:t>
            </w:r>
          </w:p>
        </w:tc>
      </w:tr>
      <w:tr w:rsidR="000215C5">
        <w:tc>
          <w:tcPr>
            <w:tcW w:w="3055" w:type="dxa"/>
          </w:tcPr>
          <w:p w:rsidR="000215C5" w:rsidRDefault="00703023">
            <w:pPr>
              <w:spacing w:after="0"/>
              <w:jc w:val="both"/>
            </w:pPr>
            <w:r>
              <w:t>SWMET</w:t>
            </w:r>
          </w:p>
        </w:tc>
        <w:tc>
          <w:tcPr>
            <w:tcW w:w="812" w:type="dxa"/>
          </w:tcPr>
          <w:p w:rsidR="000215C5" w:rsidRDefault="00703023">
            <w:pPr>
              <w:spacing w:after="0"/>
              <w:jc w:val="both"/>
            </w:pPr>
            <w:r>
              <w:t>XML</w:t>
            </w:r>
          </w:p>
        </w:tc>
        <w:tc>
          <w:tcPr>
            <w:tcW w:w="1770" w:type="dxa"/>
          </w:tcPr>
          <w:p w:rsidR="000215C5" w:rsidRDefault="00703023">
            <w:pPr>
              <w:spacing w:after="0"/>
              <w:jc w:val="both"/>
            </w:pPr>
            <w:r>
              <w:t>Avrinningsdistrikt (1 fil per avrinningsdistrikt)</w:t>
            </w:r>
          </w:p>
        </w:tc>
        <w:tc>
          <w:tcPr>
            <w:tcW w:w="3101" w:type="dxa"/>
          </w:tcPr>
          <w:p w:rsidR="000215C5" w:rsidRDefault="00703023">
            <w:pPr>
              <w:spacing w:after="0"/>
              <w:jc w:val="both"/>
            </w:pPr>
            <w:r>
              <w:t>Information om metoder för ytvatten</w:t>
            </w:r>
          </w:p>
        </w:tc>
        <w:tc>
          <w:tcPr>
            <w:tcW w:w="1115" w:type="dxa"/>
          </w:tcPr>
          <w:p w:rsidR="000215C5" w:rsidRDefault="00703023">
            <w:pPr>
              <w:spacing w:after="0"/>
              <w:jc w:val="both"/>
            </w:pPr>
            <w:r>
              <w:t>7</w:t>
            </w:r>
          </w:p>
        </w:tc>
      </w:tr>
      <w:tr w:rsidR="000215C5">
        <w:tc>
          <w:tcPr>
            <w:tcW w:w="3055" w:type="dxa"/>
          </w:tcPr>
          <w:p w:rsidR="000215C5" w:rsidRDefault="00703023">
            <w:pPr>
              <w:spacing w:after="0"/>
              <w:jc w:val="both"/>
            </w:pPr>
            <w:r>
              <w:t>GWMET</w:t>
            </w:r>
          </w:p>
        </w:tc>
        <w:tc>
          <w:tcPr>
            <w:tcW w:w="812" w:type="dxa"/>
          </w:tcPr>
          <w:p w:rsidR="000215C5" w:rsidRDefault="00703023">
            <w:pPr>
              <w:spacing w:after="0"/>
              <w:jc w:val="both"/>
            </w:pPr>
            <w:r>
              <w:t>XML</w:t>
            </w:r>
          </w:p>
        </w:tc>
        <w:tc>
          <w:tcPr>
            <w:tcW w:w="1770" w:type="dxa"/>
          </w:tcPr>
          <w:p w:rsidR="000215C5" w:rsidRDefault="00703023">
            <w:pPr>
              <w:spacing w:after="0"/>
              <w:jc w:val="both"/>
            </w:pPr>
            <w:r>
              <w:t>Avrinningsdistrikt (1 fil per avrinningsdistrikt)</w:t>
            </w:r>
          </w:p>
        </w:tc>
        <w:tc>
          <w:tcPr>
            <w:tcW w:w="3101" w:type="dxa"/>
          </w:tcPr>
          <w:p w:rsidR="000215C5" w:rsidRDefault="00703023">
            <w:pPr>
              <w:spacing w:after="0"/>
              <w:jc w:val="both"/>
            </w:pPr>
            <w:r>
              <w:t>Information om metoder för ytvatten</w:t>
            </w:r>
          </w:p>
        </w:tc>
        <w:tc>
          <w:tcPr>
            <w:tcW w:w="1115" w:type="dxa"/>
          </w:tcPr>
          <w:p w:rsidR="000215C5" w:rsidRDefault="00703023">
            <w:pPr>
              <w:spacing w:after="0"/>
              <w:jc w:val="both"/>
            </w:pPr>
            <w:r>
              <w:t>8</w:t>
            </w:r>
          </w:p>
        </w:tc>
      </w:tr>
      <w:tr w:rsidR="000215C5">
        <w:tc>
          <w:tcPr>
            <w:tcW w:w="3055" w:type="dxa"/>
          </w:tcPr>
          <w:p w:rsidR="000215C5" w:rsidRDefault="00703023">
            <w:pPr>
              <w:spacing w:after="0"/>
              <w:jc w:val="both"/>
            </w:pPr>
            <w:r>
              <w:t>RBMPPoM</w:t>
            </w:r>
          </w:p>
        </w:tc>
        <w:tc>
          <w:tcPr>
            <w:tcW w:w="812" w:type="dxa"/>
          </w:tcPr>
          <w:p w:rsidR="000215C5" w:rsidRDefault="00703023">
            <w:pPr>
              <w:spacing w:after="0"/>
              <w:jc w:val="both"/>
            </w:pPr>
            <w:r>
              <w:t>XML</w:t>
            </w:r>
          </w:p>
        </w:tc>
        <w:tc>
          <w:tcPr>
            <w:tcW w:w="1770" w:type="dxa"/>
          </w:tcPr>
          <w:p w:rsidR="000215C5" w:rsidRDefault="00703023">
            <w:pPr>
              <w:spacing w:after="0"/>
              <w:jc w:val="both"/>
            </w:pPr>
            <w:r>
              <w:t>Avrinningsdistrikt (1 fil per avrinningsdistrikt)</w:t>
            </w:r>
          </w:p>
        </w:tc>
        <w:tc>
          <w:tcPr>
            <w:tcW w:w="3101" w:type="dxa"/>
          </w:tcPr>
          <w:p w:rsidR="000215C5" w:rsidRDefault="00703023">
            <w:pPr>
              <w:spacing w:after="0"/>
              <w:jc w:val="both"/>
            </w:pPr>
            <w:r>
              <w:t>Information om förvaltningsplaner för avrinningsdistrikt, åtgärdsprogram och ekonomiska analyser</w:t>
            </w:r>
          </w:p>
        </w:tc>
        <w:tc>
          <w:tcPr>
            <w:tcW w:w="1115" w:type="dxa"/>
          </w:tcPr>
          <w:p w:rsidR="000215C5" w:rsidRDefault="00703023">
            <w:pPr>
              <w:spacing w:after="0"/>
              <w:jc w:val="both"/>
            </w:pPr>
            <w:r>
              <w:t>9, 10 och 11</w:t>
            </w:r>
          </w:p>
        </w:tc>
      </w:tr>
      <w:tr w:rsidR="000215C5">
        <w:tc>
          <w:tcPr>
            <w:tcW w:w="3055" w:type="dxa"/>
          </w:tcPr>
          <w:p w:rsidR="000215C5" w:rsidRDefault="00703023">
            <w:pPr>
              <w:spacing w:after="0"/>
              <w:jc w:val="both"/>
            </w:pPr>
            <w:r>
              <w:t>RiverBasinDistrict</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Geografisk information: Avrinningsdistrikt</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Delavrinningsdistrikt</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Geografisk information: Delavrinningsdistrikt</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SurfaceWaterBody</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Geografisk information: Ytvattenförekomster som rapporteras som polygoner</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SurfaceWaterBodyLine</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 xml:space="preserve">Geografisk information: Ytvattenförekomster som rapporteras som linjer </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SurfaceWaterBodyCentreline</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 xml:space="preserve">Geografisk information: återgivning av vattenförekomsternas mittlinjer så att de bildar ett hydrografiskt nät </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GroundwaterBody</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Geografisk information: Grundvattenförekomster (samtliga, rapporterade som polygoner)</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GroundwaterBodyHorizon</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Geografisk information: Delar av grundvattenförekomster om de är kopplade till olika nivåer</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MonitoringSite</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Geografisk information: övervakningsstationer för yt- och grundvatten (rapporterade som punkter)</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ProtectedArea</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Geografisk information: Skyddade områden rapporterade som polygoner</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ProtectedAreaLine</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 xml:space="preserve">Geografisk information: Skyddade områden rapporterade som linjer </w:t>
            </w:r>
          </w:p>
        </w:tc>
        <w:tc>
          <w:tcPr>
            <w:tcW w:w="1115" w:type="dxa"/>
          </w:tcPr>
          <w:p w:rsidR="000215C5" w:rsidRDefault="00703023">
            <w:pPr>
              <w:spacing w:after="0"/>
              <w:jc w:val="both"/>
            </w:pPr>
            <w:r>
              <w:t>Bilaga 5</w:t>
            </w:r>
          </w:p>
        </w:tc>
      </w:tr>
      <w:tr w:rsidR="000215C5">
        <w:tc>
          <w:tcPr>
            <w:tcW w:w="3055" w:type="dxa"/>
          </w:tcPr>
          <w:p w:rsidR="000215C5" w:rsidRDefault="00703023">
            <w:pPr>
              <w:spacing w:after="0"/>
              <w:jc w:val="both"/>
            </w:pPr>
            <w:r>
              <w:t>ProtectedAreaPoint</w:t>
            </w:r>
          </w:p>
        </w:tc>
        <w:tc>
          <w:tcPr>
            <w:tcW w:w="812" w:type="dxa"/>
          </w:tcPr>
          <w:p w:rsidR="000215C5" w:rsidRDefault="00703023">
            <w:pPr>
              <w:spacing w:after="0"/>
              <w:jc w:val="both"/>
            </w:pPr>
            <w:r>
              <w:t>GML</w:t>
            </w:r>
          </w:p>
        </w:tc>
        <w:tc>
          <w:tcPr>
            <w:tcW w:w="1770" w:type="dxa"/>
          </w:tcPr>
          <w:p w:rsidR="000215C5" w:rsidRDefault="00703023">
            <w:pPr>
              <w:spacing w:after="0"/>
              <w:jc w:val="both"/>
            </w:pPr>
            <w:r>
              <w:t>Nationell (1 fil per medlemsstat)</w:t>
            </w:r>
          </w:p>
        </w:tc>
        <w:tc>
          <w:tcPr>
            <w:tcW w:w="3101" w:type="dxa"/>
          </w:tcPr>
          <w:p w:rsidR="000215C5" w:rsidRDefault="00703023">
            <w:pPr>
              <w:spacing w:after="0"/>
              <w:jc w:val="both"/>
            </w:pPr>
            <w:r>
              <w:t>Geografisk information: Skyddade områden rapporterade som punkter</w:t>
            </w:r>
          </w:p>
        </w:tc>
        <w:tc>
          <w:tcPr>
            <w:tcW w:w="1115" w:type="dxa"/>
          </w:tcPr>
          <w:p w:rsidR="000215C5" w:rsidRDefault="00703023">
            <w:pPr>
              <w:spacing w:after="0"/>
              <w:jc w:val="both"/>
            </w:pPr>
            <w:r>
              <w:t>Bilaga 5</w:t>
            </w:r>
          </w:p>
        </w:tc>
      </w:tr>
    </w:tbl>
    <w:p w:rsidR="000215C5" w:rsidRDefault="000215C5">
      <w:pPr>
        <w:jc w:val="both"/>
      </w:pPr>
    </w:p>
    <w:p w:rsidR="000215C5" w:rsidRDefault="00703023">
      <w:pPr>
        <w:jc w:val="both"/>
      </w:pPr>
      <w:r>
        <w:t>Alla XML-mallar har en rubrik med följande information (posten euRBDCode finns inte med i RBDSUCA-filen eftersom det endast finns en per medlemsstat):</w:t>
      </w:r>
    </w:p>
    <w:p w:rsidR="000215C5" w:rsidRDefault="000215C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tcPr>
          <w:p w:rsidR="000215C5" w:rsidRDefault="00703023">
            <w:pPr>
              <w:tabs>
                <w:tab w:val="left" w:pos="1643"/>
                <w:tab w:val="left" w:pos="1995"/>
                <w:tab w:val="left" w:pos="4503"/>
                <w:tab w:val="left" w:pos="8337"/>
              </w:tabs>
              <w:spacing w:after="120"/>
              <w:jc w:val="both"/>
              <w:rPr>
                <w:b/>
                <w:szCs w:val="24"/>
              </w:rPr>
            </w:pPr>
            <w:r>
              <w:rPr>
                <w:b/>
              </w:rPr>
              <w:t>Mallpost</w:t>
            </w:r>
            <w:r>
              <w:t>:</w:t>
            </w:r>
            <w:r>
              <w:rPr>
                <w:b/>
              </w:rPr>
              <w:t xml:space="preserve"> </w:t>
            </w:r>
            <w:r>
              <w:t>countryCode</w:t>
            </w:r>
          </w:p>
          <w:p w:rsidR="000215C5" w:rsidRDefault="00703023">
            <w:pPr>
              <w:spacing w:after="120"/>
              <w:jc w:val="both"/>
            </w:pPr>
            <w:r>
              <w:rPr>
                <w:b/>
              </w:rPr>
              <w:t>Fälttyp/alternativ/förhållande</w:t>
            </w:r>
            <w:r>
              <w:t>: CountryCode_Enum</w:t>
            </w:r>
          </w:p>
          <w:p w:rsidR="000215C5" w:rsidRDefault="00703023">
            <w:pPr>
              <w:spacing w:after="120"/>
              <w:jc w:val="both"/>
            </w:pPr>
            <w:r>
              <w:rPr>
                <w:b/>
              </w:rPr>
              <w:t xml:space="preserve">Egenskaper: </w:t>
            </w:r>
            <w:r>
              <w:t>maxOccurs = 1 minOccurs = 1</w:t>
            </w:r>
          </w:p>
          <w:p w:rsidR="000215C5" w:rsidRDefault="00703023">
            <w:pPr>
              <w:spacing w:after="120"/>
              <w:jc w:val="both"/>
            </w:pPr>
            <w:r>
              <w:rPr>
                <w:b/>
              </w:rPr>
              <w:t>Vägledning om hur man fyller i mallposten</w:t>
            </w:r>
            <w:r>
              <w:t>: Krävs. ISO-landskod med två bokstäver</w:t>
            </w:r>
            <w:r>
              <w:rPr>
                <w:rStyle w:val="Fotnotsreferens"/>
              </w:rPr>
              <w:footnoteReference w:id="18"/>
            </w:r>
            <w:r>
              <w:t>.</w:t>
            </w:r>
          </w:p>
        </w:tc>
      </w:tr>
      <w:tr w:rsidR="000215C5">
        <w:tc>
          <w:tcPr>
            <w:tcW w:w="9853" w:type="dxa"/>
          </w:tcPr>
          <w:p w:rsidR="000215C5" w:rsidRDefault="00703023">
            <w:pPr>
              <w:tabs>
                <w:tab w:val="left" w:pos="1643"/>
                <w:tab w:val="left" w:pos="1995"/>
                <w:tab w:val="left" w:pos="4503"/>
                <w:tab w:val="left" w:pos="8337"/>
              </w:tabs>
              <w:spacing w:after="120"/>
              <w:jc w:val="both"/>
              <w:rPr>
                <w:b/>
                <w:szCs w:val="24"/>
              </w:rPr>
            </w:pPr>
            <w:r>
              <w:rPr>
                <w:b/>
              </w:rPr>
              <w:t>Mallpost</w:t>
            </w:r>
            <w:r>
              <w:t>: euRBDCode</w:t>
            </w:r>
          </w:p>
          <w:p w:rsidR="000215C5" w:rsidRDefault="00703023">
            <w:pPr>
              <w:spacing w:after="120"/>
              <w:jc w:val="both"/>
            </w:pPr>
            <w:r>
              <w:rPr>
                <w:b/>
              </w:rPr>
              <w:t>Fälttyp/alternativ/förhållande</w:t>
            </w:r>
            <w:r>
              <w:t>: FeatureUniqueEUCodeType</w:t>
            </w:r>
          </w:p>
          <w:p w:rsidR="000215C5" w:rsidRDefault="00703023">
            <w:pPr>
              <w:spacing w:after="120"/>
              <w:jc w:val="both"/>
            </w:pPr>
            <w:r>
              <w:rPr>
                <w:b/>
              </w:rPr>
              <w:t xml:space="preserve">Egenskaper: </w:t>
            </w:r>
            <w:r>
              <w:t>maxOccurs = 1 minOccurs = 1</w:t>
            </w:r>
          </w:p>
          <w:p w:rsidR="000215C5" w:rsidRDefault="00703023">
            <w:pPr>
              <w:tabs>
                <w:tab w:val="left" w:pos="1643"/>
                <w:tab w:val="left" w:pos="1995"/>
                <w:tab w:val="left" w:pos="4503"/>
                <w:tab w:val="left" w:pos="8337"/>
              </w:tabs>
              <w:spacing w:after="120"/>
              <w:jc w:val="both"/>
            </w:pPr>
            <w:r>
              <w:rPr>
                <w:b/>
              </w:rPr>
              <w:t>Vägledning om hur man fyller i mallposten</w:t>
            </w:r>
            <w:r>
              <w:t xml:space="preserve">: Krävs. Unik EU-kod för avrinningsdistriktet. Ange avrinningsdistriktets nationella unika kod före medlemsstatens ISO-landskod med två bokstäver. </w:t>
            </w:r>
          </w:p>
          <w:p w:rsidR="000215C5" w:rsidRDefault="00703023">
            <w:pPr>
              <w:tabs>
                <w:tab w:val="left" w:pos="1643"/>
                <w:tab w:val="left" w:pos="1995"/>
                <w:tab w:val="left" w:pos="4503"/>
                <w:tab w:val="left" w:pos="8337"/>
              </w:tabs>
              <w:spacing w:after="120"/>
              <w:jc w:val="both"/>
              <w:rPr>
                <w:b/>
                <w:szCs w:val="24"/>
              </w:rPr>
            </w:pPr>
            <w:r>
              <w:rPr>
                <w:b/>
              </w:rPr>
              <w:t>Kvalitetskontroller:</w:t>
            </w:r>
            <w:r>
              <w:t xml:space="preserve"> Kontroll av posten: De första två bokstävern</w:t>
            </w:r>
            <w:r w:rsidR="00661070">
              <w:t>a måste vara medlemsstatens ISO</w:t>
            </w:r>
            <w:r w:rsidR="00661070">
              <w:noBreakHyphen/>
            </w:r>
            <w:r>
              <w:t xml:space="preserve">landskod med två bokstäver. Dubbelkontroll av mallen: Den rapporterade euRBDCode måste överensstämma med de koder som rapporteras i RBDSUCA/RBD/euRBDCode. </w:t>
            </w:r>
          </w:p>
        </w:tc>
      </w:tr>
      <w:tr w:rsidR="000215C5">
        <w:tc>
          <w:tcPr>
            <w:tcW w:w="9853" w:type="dxa"/>
          </w:tcPr>
          <w:p w:rsidR="000215C5" w:rsidRDefault="00703023">
            <w:pPr>
              <w:tabs>
                <w:tab w:val="left" w:pos="1643"/>
                <w:tab w:val="left" w:pos="1995"/>
                <w:tab w:val="left" w:pos="4503"/>
                <w:tab w:val="left" w:pos="8337"/>
              </w:tabs>
              <w:spacing w:after="120"/>
              <w:jc w:val="both"/>
              <w:rPr>
                <w:b/>
                <w:szCs w:val="24"/>
              </w:rPr>
            </w:pPr>
            <w:r>
              <w:rPr>
                <w:b/>
              </w:rPr>
              <w:t>Mallpost</w:t>
            </w:r>
            <w:r>
              <w:t>: creationDate</w:t>
            </w:r>
          </w:p>
          <w:p w:rsidR="000215C5" w:rsidRDefault="00703023">
            <w:pPr>
              <w:spacing w:after="120"/>
              <w:jc w:val="both"/>
            </w:pPr>
            <w:r>
              <w:rPr>
                <w:b/>
              </w:rPr>
              <w:t>Fälttyp/alternativ/förhållande</w:t>
            </w:r>
            <w:r>
              <w:t>: DateType</w:t>
            </w:r>
          </w:p>
          <w:p w:rsidR="000215C5" w:rsidRDefault="00703023">
            <w:pPr>
              <w:spacing w:after="120"/>
              <w:jc w:val="both"/>
            </w:pPr>
            <w:r>
              <w:rPr>
                <w:b/>
              </w:rPr>
              <w:t xml:space="preserve">Egenskaper: </w:t>
            </w:r>
            <w:r>
              <w:t>maxOccurs = 1 minOccurs = 1</w:t>
            </w:r>
          </w:p>
          <w:p w:rsidR="000215C5" w:rsidRDefault="00703023">
            <w:pPr>
              <w:tabs>
                <w:tab w:val="left" w:pos="1643"/>
                <w:tab w:val="left" w:pos="1995"/>
                <w:tab w:val="left" w:pos="4503"/>
                <w:tab w:val="left" w:pos="8337"/>
              </w:tabs>
              <w:spacing w:after="120"/>
              <w:jc w:val="both"/>
              <w:rPr>
                <w:b/>
                <w:szCs w:val="24"/>
              </w:rPr>
            </w:pPr>
            <w:r>
              <w:rPr>
                <w:b/>
              </w:rPr>
              <w:t>Vägledning om hur man fyller i mallposten</w:t>
            </w:r>
            <w:r>
              <w:t>: Krävs. Datum då filen skapades.</w:t>
            </w:r>
          </w:p>
        </w:tc>
      </w:tr>
      <w:tr w:rsidR="000215C5">
        <w:tc>
          <w:tcPr>
            <w:tcW w:w="9853" w:type="dxa"/>
          </w:tcPr>
          <w:p w:rsidR="000215C5" w:rsidRDefault="00703023">
            <w:pPr>
              <w:tabs>
                <w:tab w:val="left" w:pos="1643"/>
                <w:tab w:val="left" w:pos="1995"/>
                <w:tab w:val="left" w:pos="4503"/>
                <w:tab w:val="left" w:pos="8337"/>
              </w:tabs>
              <w:spacing w:after="120"/>
              <w:jc w:val="both"/>
              <w:rPr>
                <w:b/>
                <w:szCs w:val="24"/>
              </w:rPr>
            </w:pPr>
            <w:r>
              <w:rPr>
                <w:b/>
              </w:rPr>
              <w:t>Mallpost</w:t>
            </w:r>
            <w:r>
              <w:t>: creator</w:t>
            </w:r>
          </w:p>
          <w:p w:rsidR="000215C5" w:rsidRDefault="00703023">
            <w:pPr>
              <w:spacing w:after="120"/>
              <w:jc w:val="both"/>
            </w:pPr>
            <w:r>
              <w:rPr>
                <w:b/>
              </w:rPr>
              <w:t>Fälttyp/alternativ/förhållande</w:t>
            </w:r>
            <w:r>
              <w:t>: string</w:t>
            </w:r>
          </w:p>
          <w:p w:rsidR="000215C5" w:rsidRDefault="00703023">
            <w:pPr>
              <w:spacing w:after="120"/>
              <w:jc w:val="both"/>
            </w:pPr>
            <w:r>
              <w:rPr>
                <w:b/>
              </w:rPr>
              <w:t xml:space="preserve">Egenskaper: </w:t>
            </w:r>
            <w:r>
              <w:t>maxOccurs = 1 minOccurs = 1</w:t>
            </w:r>
          </w:p>
          <w:p w:rsidR="000215C5" w:rsidRDefault="00703023">
            <w:pPr>
              <w:tabs>
                <w:tab w:val="left" w:pos="1643"/>
                <w:tab w:val="left" w:pos="1995"/>
                <w:tab w:val="left" w:pos="4503"/>
                <w:tab w:val="left" w:pos="8337"/>
              </w:tabs>
              <w:spacing w:after="120"/>
              <w:jc w:val="both"/>
              <w:rPr>
                <w:b/>
                <w:szCs w:val="24"/>
              </w:rPr>
            </w:pPr>
            <w:r>
              <w:rPr>
                <w:b/>
              </w:rPr>
              <w:t>Vägledning om hur man fyller i mallposten</w:t>
            </w:r>
            <w:r>
              <w:t>: Krävs. Namn på den som skapade filen.</w:t>
            </w:r>
          </w:p>
        </w:tc>
      </w:tr>
      <w:tr w:rsidR="000215C5">
        <w:tc>
          <w:tcPr>
            <w:tcW w:w="9853" w:type="dxa"/>
          </w:tcPr>
          <w:p w:rsidR="000215C5" w:rsidRDefault="00703023">
            <w:pPr>
              <w:tabs>
                <w:tab w:val="left" w:pos="1643"/>
                <w:tab w:val="left" w:pos="1995"/>
                <w:tab w:val="left" w:pos="4503"/>
                <w:tab w:val="left" w:pos="8337"/>
              </w:tabs>
              <w:spacing w:after="120"/>
              <w:jc w:val="both"/>
              <w:rPr>
                <w:b/>
                <w:szCs w:val="24"/>
              </w:rPr>
            </w:pPr>
            <w:r>
              <w:rPr>
                <w:b/>
              </w:rPr>
              <w:t>Mallpost</w:t>
            </w:r>
            <w:r>
              <w:t xml:space="preserve">: description </w:t>
            </w:r>
          </w:p>
          <w:p w:rsidR="000215C5" w:rsidRDefault="00703023">
            <w:pPr>
              <w:spacing w:after="120"/>
              <w:jc w:val="both"/>
            </w:pPr>
            <w:r>
              <w:rPr>
                <w:b/>
              </w:rPr>
              <w:t>Fälttyp/alternativ/förhållande</w:t>
            </w:r>
            <w:r>
              <w:t>: string</w:t>
            </w:r>
          </w:p>
          <w:p w:rsidR="000215C5" w:rsidRDefault="00703023">
            <w:pPr>
              <w:spacing w:after="120"/>
              <w:jc w:val="both"/>
            </w:pPr>
            <w:r>
              <w:rPr>
                <w:b/>
              </w:rPr>
              <w:t xml:space="preserve">Egenskaper: </w:t>
            </w:r>
            <w:r>
              <w:t>maxOccurs = 1 minOccurs = 1</w:t>
            </w:r>
          </w:p>
          <w:p w:rsidR="000215C5" w:rsidRDefault="00703023">
            <w:pPr>
              <w:tabs>
                <w:tab w:val="left" w:pos="1643"/>
                <w:tab w:val="left" w:pos="1995"/>
                <w:tab w:val="left" w:pos="4503"/>
                <w:tab w:val="left" w:pos="8337"/>
              </w:tabs>
              <w:spacing w:after="120"/>
              <w:jc w:val="both"/>
              <w:rPr>
                <w:b/>
                <w:szCs w:val="24"/>
              </w:rPr>
            </w:pPr>
            <w:r>
              <w:rPr>
                <w:b/>
              </w:rPr>
              <w:t>Vägledning om hur man fyller i mallposten</w:t>
            </w:r>
            <w:r>
              <w:t xml:space="preserve">: Krävs. Beskrivning av filen. </w:t>
            </w:r>
          </w:p>
        </w:tc>
      </w:tr>
      <w:tr w:rsidR="000215C5">
        <w:tc>
          <w:tcPr>
            <w:tcW w:w="9853" w:type="dxa"/>
          </w:tcPr>
          <w:p w:rsidR="000215C5" w:rsidRDefault="00703023">
            <w:pPr>
              <w:tabs>
                <w:tab w:val="left" w:pos="1643"/>
                <w:tab w:val="left" w:pos="1995"/>
                <w:tab w:val="left" w:pos="4503"/>
                <w:tab w:val="left" w:pos="8337"/>
              </w:tabs>
              <w:spacing w:after="120"/>
              <w:jc w:val="both"/>
              <w:rPr>
                <w:b/>
                <w:szCs w:val="24"/>
              </w:rPr>
            </w:pPr>
            <w:r>
              <w:rPr>
                <w:b/>
              </w:rPr>
              <w:t>Mallpost</w:t>
            </w:r>
            <w:r>
              <w:t>: email</w:t>
            </w:r>
          </w:p>
          <w:p w:rsidR="000215C5" w:rsidRDefault="00703023">
            <w:pPr>
              <w:spacing w:after="120"/>
              <w:jc w:val="both"/>
            </w:pPr>
            <w:r>
              <w:rPr>
                <w:b/>
              </w:rPr>
              <w:t>Fälttyp/alternativ/förhållande</w:t>
            </w:r>
            <w:r>
              <w:t>: string</w:t>
            </w:r>
          </w:p>
          <w:p w:rsidR="000215C5" w:rsidRDefault="00703023">
            <w:pPr>
              <w:spacing w:after="120"/>
              <w:jc w:val="both"/>
            </w:pPr>
            <w:r>
              <w:rPr>
                <w:b/>
              </w:rPr>
              <w:t xml:space="preserve">Egenskaper: </w:t>
            </w:r>
            <w:r>
              <w:t>maxOccurs = 1 minOccurs = 1</w:t>
            </w:r>
          </w:p>
          <w:p w:rsidR="000215C5" w:rsidRDefault="00703023">
            <w:pPr>
              <w:tabs>
                <w:tab w:val="left" w:pos="1643"/>
                <w:tab w:val="left" w:pos="1995"/>
                <w:tab w:val="left" w:pos="4503"/>
                <w:tab w:val="left" w:pos="8337"/>
              </w:tabs>
              <w:spacing w:after="120"/>
              <w:jc w:val="both"/>
            </w:pPr>
            <w:r>
              <w:rPr>
                <w:b/>
              </w:rPr>
              <w:t>Vägledning om hur man fyller i mallposten</w:t>
            </w:r>
            <w:r>
              <w:t xml:space="preserve">: Krävs. E-postadress för kontakt med datarapportören. </w:t>
            </w:r>
          </w:p>
        </w:tc>
      </w:tr>
      <w:tr w:rsidR="000215C5">
        <w:tc>
          <w:tcPr>
            <w:tcW w:w="9853" w:type="dxa"/>
          </w:tcPr>
          <w:p w:rsidR="000215C5" w:rsidRDefault="00703023">
            <w:pPr>
              <w:tabs>
                <w:tab w:val="left" w:pos="1643"/>
                <w:tab w:val="left" w:pos="1995"/>
                <w:tab w:val="left" w:pos="4503"/>
                <w:tab w:val="left" w:pos="8337"/>
              </w:tabs>
              <w:spacing w:after="120"/>
              <w:jc w:val="both"/>
              <w:rPr>
                <w:b/>
                <w:szCs w:val="24"/>
              </w:rPr>
            </w:pPr>
            <w:r>
              <w:rPr>
                <w:b/>
              </w:rPr>
              <w:t>Mallpost</w:t>
            </w:r>
            <w:r>
              <w:t>: fileName</w:t>
            </w:r>
          </w:p>
          <w:p w:rsidR="000215C5" w:rsidRDefault="00703023">
            <w:pPr>
              <w:spacing w:after="120"/>
              <w:jc w:val="both"/>
            </w:pPr>
            <w:r>
              <w:rPr>
                <w:b/>
              </w:rPr>
              <w:t>Fälttyp/alternativ/förhållande</w:t>
            </w:r>
            <w:r>
              <w:t>: string</w:t>
            </w:r>
          </w:p>
          <w:p w:rsidR="000215C5" w:rsidRDefault="00703023">
            <w:pPr>
              <w:spacing w:after="120"/>
              <w:jc w:val="both"/>
            </w:pPr>
            <w:r>
              <w:rPr>
                <w:b/>
              </w:rPr>
              <w:t xml:space="preserve">Egenskaper: </w:t>
            </w:r>
            <w:r>
              <w:t>maxOccurs = 1 minOccurs = 1</w:t>
            </w:r>
          </w:p>
          <w:p w:rsidR="000215C5" w:rsidRDefault="00703023">
            <w:pPr>
              <w:tabs>
                <w:tab w:val="left" w:pos="1643"/>
                <w:tab w:val="left" w:pos="1995"/>
                <w:tab w:val="left" w:pos="4503"/>
                <w:tab w:val="left" w:pos="8337"/>
              </w:tabs>
              <w:spacing w:after="120"/>
              <w:jc w:val="both"/>
              <w:rPr>
                <w:b/>
                <w:szCs w:val="24"/>
              </w:rPr>
            </w:pPr>
            <w:r>
              <w:rPr>
                <w:b/>
              </w:rPr>
              <w:t>Vägledning om hur man fyller i mallposten</w:t>
            </w:r>
            <w:r>
              <w:t xml:space="preserve">: Krävs. Namn på filen. </w:t>
            </w:r>
          </w:p>
        </w:tc>
      </w:tr>
      <w:tr w:rsidR="000215C5">
        <w:tc>
          <w:tcPr>
            <w:tcW w:w="9853" w:type="dxa"/>
          </w:tcPr>
          <w:p w:rsidR="000215C5" w:rsidRDefault="00703023">
            <w:pPr>
              <w:tabs>
                <w:tab w:val="left" w:pos="1643"/>
                <w:tab w:val="left" w:pos="1995"/>
                <w:tab w:val="left" w:pos="4503"/>
                <w:tab w:val="left" w:pos="8337"/>
              </w:tabs>
              <w:spacing w:after="120"/>
              <w:jc w:val="both"/>
              <w:rPr>
                <w:b/>
                <w:szCs w:val="24"/>
              </w:rPr>
            </w:pPr>
            <w:r>
              <w:rPr>
                <w:b/>
              </w:rPr>
              <w:t>Mallpost</w:t>
            </w:r>
            <w:r>
              <w:t>: generatedBy</w:t>
            </w:r>
          </w:p>
          <w:p w:rsidR="000215C5" w:rsidRDefault="00703023">
            <w:pPr>
              <w:spacing w:after="120"/>
              <w:jc w:val="both"/>
            </w:pPr>
            <w:r>
              <w:rPr>
                <w:b/>
              </w:rPr>
              <w:t>Fälttyp/alternativ/förhållande</w:t>
            </w:r>
            <w:r>
              <w:t>: string</w:t>
            </w:r>
          </w:p>
          <w:p w:rsidR="000215C5" w:rsidRDefault="00703023">
            <w:pPr>
              <w:spacing w:after="120"/>
              <w:jc w:val="both"/>
            </w:pPr>
            <w:r>
              <w:rPr>
                <w:b/>
              </w:rPr>
              <w:t xml:space="preserve">Egenskaper: </w:t>
            </w:r>
            <w:r>
              <w:t>maxOccurs = 1 minOccurs = 1</w:t>
            </w:r>
          </w:p>
          <w:p w:rsidR="000215C5" w:rsidRDefault="00703023">
            <w:pPr>
              <w:tabs>
                <w:tab w:val="left" w:pos="1643"/>
                <w:tab w:val="left" w:pos="1995"/>
                <w:tab w:val="left" w:pos="4503"/>
                <w:tab w:val="left" w:pos="8337"/>
              </w:tabs>
              <w:spacing w:after="120"/>
              <w:jc w:val="both"/>
              <w:rPr>
                <w:b/>
                <w:szCs w:val="24"/>
              </w:rPr>
            </w:pPr>
            <w:r>
              <w:rPr>
                <w:b/>
              </w:rPr>
              <w:t>Vägledning om hur man fyller i mallposten</w:t>
            </w:r>
            <w:r>
              <w:t xml:space="preserve">: Krävs. Datarapportörens namn och/eller organisation. </w:t>
            </w:r>
          </w:p>
        </w:tc>
      </w:tr>
      <w:tr w:rsidR="000215C5">
        <w:tc>
          <w:tcPr>
            <w:tcW w:w="9853" w:type="dxa"/>
          </w:tcPr>
          <w:p w:rsidR="000215C5" w:rsidRDefault="00703023">
            <w:pPr>
              <w:tabs>
                <w:tab w:val="left" w:pos="1643"/>
                <w:tab w:val="left" w:pos="1995"/>
                <w:tab w:val="left" w:pos="4503"/>
                <w:tab w:val="left" w:pos="8337"/>
              </w:tabs>
              <w:spacing w:after="120"/>
              <w:jc w:val="both"/>
              <w:rPr>
                <w:b/>
                <w:szCs w:val="24"/>
              </w:rPr>
            </w:pPr>
            <w:r>
              <w:rPr>
                <w:b/>
              </w:rPr>
              <w:t>Mallpost</w:t>
            </w:r>
            <w:r>
              <w:t>: language</w:t>
            </w:r>
          </w:p>
          <w:p w:rsidR="000215C5" w:rsidRDefault="00703023">
            <w:pPr>
              <w:spacing w:after="120"/>
              <w:jc w:val="both"/>
            </w:pPr>
            <w:r>
              <w:rPr>
                <w:b/>
              </w:rPr>
              <w:t>Fälttyp/alternativ/förhållande</w:t>
            </w:r>
            <w:r>
              <w:t>: LanguageCode_Enum</w:t>
            </w:r>
          </w:p>
          <w:p w:rsidR="000215C5" w:rsidRDefault="00703023">
            <w:pPr>
              <w:spacing w:after="120"/>
              <w:jc w:val="both"/>
            </w:pPr>
            <w:r>
              <w:rPr>
                <w:b/>
              </w:rPr>
              <w:t xml:space="preserve">Egenskaper: </w:t>
            </w:r>
            <w:r>
              <w:t>maxOccurs = 1 minOccurs = 1</w:t>
            </w:r>
          </w:p>
          <w:p w:rsidR="000215C5" w:rsidRDefault="00703023">
            <w:pPr>
              <w:tabs>
                <w:tab w:val="left" w:pos="1643"/>
                <w:tab w:val="left" w:pos="1995"/>
                <w:tab w:val="left" w:pos="4503"/>
                <w:tab w:val="left" w:pos="8337"/>
              </w:tabs>
              <w:spacing w:after="120"/>
              <w:jc w:val="both"/>
              <w:rPr>
                <w:b/>
                <w:szCs w:val="24"/>
              </w:rPr>
            </w:pPr>
            <w:r>
              <w:rPr>
                <w:b/>
              </w:rPr>
              <w:t>Vägledning om hur man fyller i mallposten</w:t>
            </w:r>
            <w:r>
              <w:t>: Krävs. Språkkod för filen.</w:t>
            </w:r>
          </w:p>
        </w:tc>
      </w:tr>
    </w:tbl>
    <w:p w:rsidR="000215C5" w:rsidRDefault="000215C5">
      <w:pPr>
        <w:jc w:val="both"/>
      </w:pPr>
    </w:p>
    <w:p w:rsidR="000215C5" w:rsidRDefault="00703023">
      <w:pPr>
        <w:pStyle w:val="Rubrik1"/>
        <w:jc w:val="both"/>
      </w:pPr>
      <w:bookmarkStart w:id="95" w:name="_Toc375220041"/>
      <w:bookmarkStart w:id="96" w:name="_Toc386464212"/>
      <w:bookmarkStart w:id="97" w:name="_Toc425522038"/>
      <w:bookmarkStart w:id="98" w:name="_Toc432666050"/>
      <w:bookmarkStart w:id="99" w:name="_Toc437520246"/>
      <w:r>
        <w:t>Rapportering på ytvattenförekomstnivå (mall SWB)</w:t>
      </w:r>
      <w:bookmarkEnd w:id="95"/>
      <w:bookmarkEnd w:id="96"/>
      <w:bookmarkEnd w:id="97"/>
      <w:bookmarkEnd w:id="98"/>
      <w:bookmarkEnd w:id="99"/>
      <w:r>
        <w:t xml:space="preserve"> </w:t>
      </w:r>
    </w:p>
    <w:p w:rsidR="000215C5" w:rsidRDefault="00703023">
      <w:pPr>
        <w:pStyle w:val="Rubrik2"/>
        <w:jc w:val="both"/>
      </w:pPr>
      <w:bookmarkStart w:id="100" w:name="_Toc425522039"/>
      <w:bookmarkStart w:id="101" w:name="_Toc432666051"/>
      <w:bookmarkStart w:id="102" w:name="_Toc437520247"/>
      <w:r>
        <w:t>Översikt av strukturen för innehållet i rapporteringen 2016</w:t>
      </w:r>
      <w:bookmarkEnd w:id="100"/>
      <w:bookmarkEnd w:id="101"/>
      <w:bookmarkEnd w:id="102"/>
    </w:p>
    <w:p w:rsidR="000215C5" w:rsidRDefault="00703023">
      <w:pPr>
        <w:jc w:val="both"/>
      </w:pPr>
      <w:r>
        <w:t>Rapportering på ytvattenförekomstnivå görs för varje avrinningsdistrikt. Innehållet i rapporteringen struktureras i följande delkapitel i denna vägledning:</w:t>
      </w:r>
    </w:p>
    <w:p w:rsidR="000215C5" w:rsidRDefault="00703023">
      <w:pPr>
        <w:pStyle w:val="Liststycke"/>
        <w:numPr>
          <w:ilvl w:val="0"/>
          <w:numId w:val="79"/>
        </w:numPr>
        <w:jc w:val="both"/>
      </w:pPr>
      <w:r>
        <w:t>Karakterisering av ytvattenförekomster</w:t>
      </w:r>
    </w:p>
    <w:p w:rsidR="000215C5" w:rsidRDefault="00703023">
      <w:pPr>
        <w:pStyle w:val="Liststycke"/>
        <w:numPr>
          <w:ilvl w:val="0"/>
          <w:numId w:val="79"/>
        </w:numPr>
        <w:jc w:val="both"/>
      </w:pPr>
      <w:r>
        <w:t>Påverkan och effekter på vattenförekomster</w:t>
      </w:r>
    </w:p>
    <w:p w:rsidR="000215C5" w:rsidRDefault="00703023">
      <w:pPr>
        <w:pStyle w:val="Liststycke"/>
        <w:numPr>
          <w:ilvl w:val="0"/>
          <w:numId w:val="79"/>
        </w:numPr>
        <w:jc w:val="both"/>
      </w:pPr>
      <w:r>
        <w:t>Ekologisk status och undantag</w:t>
      </w:r>
    </w:p>
    <w:p w:rsidR="000215C5" w:rsidRDefault="00703023">
      <w:pPr>
        <w:pStyle w:val="Liststycke"/>
        <w:numPr>
          <w:ilvl w:val="0"/>
          <w:numId w:val="79"/>
        </w:numPr>
        <w:jc w:val="both"/>
      </w:pPr>
      <w:r>
        <w:t>Kemisk status hos ytvatten, undantag och blandningszoner</w:t>
      </w:r>
    </w:p>
    <w:p w:rsidR="000215C5" w:rsidRDefault="00703023">
      <w:pPr>
        <w:jc w:val="both"/>
      </w:pPr>
      <w:r>
        <w:t>Innehållet i rapporteringen beskrivs i följande avsnitt. UML-diagrammet i SWB-mallen finns i bilaga 10.2.</w:t>
      </w:r>
    </w:p>
    <w:p w:rsidR="000215C5" w:rsidRDefault="00703023">
      <w:pPr>
        <w:pStyle w:val="Rubrik2"/>
        <w:jc w:val="both"/>
      </w:pPr>
      <w:bookmarkStart w:id="103" w:name="_Toc375220042"/>
      <w:bookmarkStart w:id="104" w:name="_Toc386464213"/>
      <w:bookmarkStart w:id="105" w:name="_Toc425522040"/>
      <w:bookmarkStart w:id="106" w:name="_Toc432666052"/>
      <w:bookmarkStart w:id="107" w:name="_Toc437520248"/>
      <w:r>
        <w:t>Karakterisering</w:t>
      </w:r>
      <w:bookmarkEnd w:id="103"/>
      <w:r>
        <w:t xml:space="preserve"> av ytvatten</w:t>
      </w:r>
      <w:bookmarkEnd w:id="104"/>
      <w:bookmarkEnd w:id="105"/>
      <w:bookmarkEnd w:id="106"/>
      <w:bookmarkEnd w:id="107"/>
    </w:p>
    <w:p w:rsidR="000215C5" w:rsidRDefault="00703023">
      <w:pPr>
        <w:pStyle w:val="Rubrik3"/>
      </w:pPr>
      <w:bookmarkStart w:id="108" w:name="_Toc375220043"/>
      <w:r>
        <w:t>Inledning</w:t>
      </w:r>
    </w:p>
    <w:p w:rsidR="000215C5" w:rsidRDefault="00703023">
      <w:pPr>
        <w:pStyle w:val="Text4"/>
        <w:tabs>
          <w:tab w:val="clear" w:pos="2302"/>
        </w:tabs>
        <w:ind w:left="0"/>
        <w:jc w:val="both"/>
      </w:pPr>
      <w:r>
        <w:t>Enligt artikel 5 i ramdirektivet för vatten ska medlemsstaterna ange de ytvattenförekomster som ska användas för att bedöma framstegen med att uppnå vattendirektivets miljömål. Enligt artikel 4.3 i direktivet får medlemsstaterna under vissa omständigheter fastställa och utse konstgjorda vattenförekomster och kraftigt modifierade vattenförekomster. Konstgjorda vattenförekomster och kraftigt modifierade vattenförekomster ska uppnå god ekologisk potential senast 2015. Enligt artikel 5 i direktivet ska medlemsstaterna också analysera ytvattenförekomsters karakteristika och lämna en sammanfattande rapport om karakteriseringen av ytvatten, inklusive allmän information om dess typologi.</w:t>
      </w:r>
    </w:p>
    <w:p w:rsidR="000215C5" w:rsidRDefault="00703023">
      <w:pPr>
        <w:pStyle w:val="Text4"/>
        <w:tabs>
          <w:tab w:val="clear" w:pos="2302"/>
        </w:tabs>
        <w:ind w:left="0"/>
        <w:jc w:val="both"/>
      </w:pPr>
      <w:r>
        <w:t>Karakterisering är ett viktigt steg i genomförandet av vattendirektivet. Grundlig och korrekt karakterisering är en förutsättning för att uppnå direktivets mål på ett effektivt och korrekt sätt. Karakteriseringen ska ange alla relevanta kategorier och typer av vattenförekomster inom avrinningsdistriktet för vilka särskilda typologier och referensförhållanden ska fastställas. Detta steg är en förutsättning för hållbara bedömningar av ekologisk status och klassificeringssystem och för att korrekt identifiera vattenförekomster som riskerar att inte uppnå målen så att nödvändiga åtgärder kan vidtas för att se till att de gör det.</w:t>
      </w:r>
    </w:p>
    <w:p w:rsidR="000215C5" w:rsidRDefault="00703023">
      <w:pPr>
        <w:pStyle w:val="Text4"/>
        <w:tabs>
          <w:tab w:val="clear" w:pos="2302"/>
        </w:tabs>
        <w:ind w:left="0"/>
        <w:jc w:val="both"/>
      </w:pPr>
      <w:r>
        <w:t xml:space="preserve">Vattenförekomsterna måste avgränsas till en storlek som gör det möjligt att kartlägga och kvantifiera betydande påverkan och klassificera vattenförekomsternas status (detaljerad vägledning om detta lämnas i </w:t>
      </w:r>
      <w:hyperlink r:id="rId16">
        <w:r>
          <w:rPr>
            <w:rStyle w:val="KommentarerChar"/>
          </w:rPr>
          <w:t>CIS-vägledningsdokument nr 2</w:t>
        </w:r>
      </w:hyperlink>
      <w:r>
        <w:t>:</w:t>
      </w:r>
      <w:r>
        <w:rPr>
          <w:rStyle w:val="Kommentarsreferens"/>
          <w:sz w:val="24"/>
        </w:rPr>
        <w:t xml:space="preserve"> </w:t>
      </w:r>
      <w:r>
        <w:rPr>
          <w:rStyle w:val="Kommentarsreferens"/>
          <w:i/>
          <w:sz w:val="24"/>
        </w:rPr>
        <w:t>Identification of Water Bodies</w:t>
      </w:r>
      <w:r>
        <w:rPr>
          <w:rStyle w:val="Fotnotsreferens"/>
        </w:rPr>
        <w:footnoteReference w:id="19"/>
      </w:r>
      <w:r>
        <w:t xml:space="preserve">). Om det med ledning av de identifierade vattenförekomsterna inte är möjligt att exakt beskriva de akvatiska ekosystemens status kan följderna av påverkan döljas och förbli oupptäckta. Om vattenförekomsterna är för små kan de bli för många, vilket leder till att medlemsstaterna har svårt att hantera dem på ett kostnadseffektivt sätt. Den lämpligaste storleken för en vattenförekomst är därför den storlek som gör det möjligt att uppnå direktivets mål på ett så effektivt sätt som möjligt. </w:t>
      </w:r>
    </w:p>
    <w:p w:rsidR="000215C5" w:rsidRDefault="00703023">
      <w:pPr>
        <w:pStyle w:val="Text4"/>
        <w:tabs>
          <w:tab w:val="clear" w:pos="2302"/>
        </w:tabs>
        <w:ind w:left="0"/>
        <w:jc w:val="both"/>
      </w:pPr>
      <w:r>
        <w:t xml:space="preserve">Karakterisering kräver även en bedömning av risken för att vattenförekomsten i fråga inte uppfyller direktivets mål 2015 om inte lämpliga åtgärder vidtas. Resultaten av riskbedömningen ligger till grund för övervakningen av vattenförekomsten samt klassificering av status. Det är mycket viktigt att de metoder som används för riskbedömningen är ändamålsenliga, dvs. att det är möjligt att kartlägga och kvantifiera all påverkan inom avrinningsdistriktet och hur de eventuellt kan påverka vattenförekomsternas status (detaljerad vägledning om detta lämnas i </w:t>
      </w:r>
      <w:hyperlink r:id="rId17">
        <w:r>
          <w:rPr>
            <w:rStyle w:val="KommentarerChar"/>
          </w:rPr>
          <w:t>CIS</w:t>
        </w:r>
        <w:r w:rsidR="00A26E66">
          <w:rPr>
            <w:rStyle w:val="KommentarerChar"/>
          </w:rPr>
          <w:noBreakHyphen/>
        </w:r>
        <w:r>
          <w:rPr>
            <w:rStyle w:val="KommentarerChar"/>
          </w:rPr>
          <w:t>vägledningsdokument</w:t>
        </w:r>
        <w:r w:rsidR="00A26E66">
          <w:rPr>
            <w:rStyle w:val="KommentarerChar"/>
          </w:rPr>
          <w:t> </w:t>
        </w:r>
        <w:r>
          <w:rPr>
            <w:rStyle w:val="KommentarerChar"/>
          </w:rPr>
          <w:t>nr</w:t>
        </w:r>
        <w:r w:rsidR="00A26E66">
          <w:rPr>
            <w:rStyle w:val="KommentarerChar"/>
          </w:rPr>
          <w:t> </w:t>
        </w:r>
        <w:r>
          <w:rPr>
            <w:rStyle w:val="KommentarerChar"/>
          </w:rPr>
          <w:t>3</w:t>
        </w:r>
      </w:hyperlink>
      <w:r>
        <w:rPr>
          <w:rStyle w:val="KommentarerChar"/>
        </w:rPr>
        <w:t xml:space="preserve">: </w:t>
      </w:r>
      <w:r>
        <w:rPr>
          <w:rStyle w:val="KommentarerChar"/>
          <w:i/>
        </w:rPr>
        <w:t>Analysis of Pressures and Impacts</w:t>
      </w:r>
      <w:r>
        <w:rPr>
          <w:rStyle w:val="Fotnotsreferens"/>
        </w:rPr>
        <w:footnoteReference w:id="20"/>
      </w:r>
      <w:r>
        <w:t>)</w:t>
      </w:r>
      <w:r>
        <w:rPr>
          <w:rStyle w:val="Fotnotsreferens"/>
        </w:rPr>
        <w:footnoteReference w:id="21"/>
      </w:r>
      <w:r>
        <w:t>. Om så inte är fallet kan eventuellt kostsamma åtgärder riktas på fel sätt och målen kanske inte uppfylls.</w:t>
      </w:r>
    </w:p>
    <w:p w:rsidR="000215C5" w:rsidRDefault="00703023">
      <w:pPr>
        <w:pStyle w:val="Text4"/>
        <w:tabs>
          <w:tab w:val="clear" w:pos="2302"/>
        </w:tabs>
        <w:ind w:left="0"/>
        <w:jc w:val="both"/>
      </w:pPr>
      <w:r>
        <w:t>Som ett led i karakteriseringen har medlemsstaterna fastställt olika typer av ytvattenförekomster (typologi) för varje kategori av ytvattenförekomster (dvs. floder, sjöar, vatten i övergångszoner eller kustvatten) inom varje avrinningsdistrikt. De har också avgränsat ytvattenförekomsterna enligt den metod som anges i bilaga II till vattendirektivet. Detta omfattar även kartläggning av kraftigt modifierade vattenförekomster och konstgjorda vattenförekomster. För varje typ av ytvattenförekomst har typspecifika referensförhållanden fastställts, som utgör värdena för varje typ av vattenförekomst vid hög ekologisk status.</w:t>
      </w:r>
    </w:p>
    <w:p w:rsidR="000215C5" w:rsidRDefault="00703023">
      <w:pPr>
        <w:pStyle w:val="Text4"/>
        <w:tabs>
          <w:tab w:val="clear" w:pos="2302"/>
        </w:tabs>
        <w:ind w:left="0"/>
        <w:jc w:val="both"/>
      </w:pPr>
      <w:r>
        <w:t xml:space="preserve">Territorialvatten är inte en vattenförekomstkategori enligt vattendirektivet. I artikel 2.1 i direktivet anges emellertid att kemisk status även är tillämpligt på territorialvatten. </w:t>
      </w:r>
    </w:p>
    <w:p w:rsidR="000215C5" w:rsidRDefault="00703023">
      <w:pPr>
        <w:pStyle w:val="Text4"/>
        <w:tabs>
          <w:tab w:val="clear" w:pos="2302"/>
        </w:tabs>
        <w:ind w:left="0"/>
        <w:jc w:val="both"/>
      </w:pPr>
      <w:r>
        <w:t>Varje vattenkategori delas in i typer baserat på abiotiska deskriptorer som höjd, geologi, storlek osv., med användning av system A eller B enligt beskrivningen i bilaga II till vattendirektivet. De olika teoretiska typernas ekologiska relevans måste visas genom att de dubbelkontrolleras mot biologiska data som grupper av makroevertebrater och/eller arters sammansättning. Detta är mycket viktigt för att säkerställa att typerna är relevanta och ändamålsenliga för att möjliggöra en hållbar klassificering av vattenförekomsternas ekologiska status. Alla vattenkategorier förekommer inte i varje avrinningsdistrikt och/eller delavrinningsdistrikt.</w:t>
      </w:r>
    </w:p>
    <w:p w:rsidR="000215C5" w:rsidRDefault="00703023">
      <w:pPr>
        <w:pStyle w:val="Text4"/>
        <w:tabs>
          <w:tab w:val="clear" w:pos="2302"/>
        </w:tabs>
        <w:ind w:left="0"/>
        <w:jc w:val="both"/>
      </w:pPr>
      <w:r>
        <w:t>Medlemsstaterna ska fastställa vattenförekomsternas ekologiska status genom att jämföra rådande status med närliggande naturliga förhållanden eller referensförhållanden. Referensförhållanden ska fastställas för varje typ av ytvattenförekomst. De utgör värdena för den typen av ytvattenförekomst vid hög ekologisk status.</w:t>
      </w:r>
    </w:p>
    <w:p w:rsidR="000215C5" w:rsidRDefault="00703023">
      <w:pPr>
        <w:pStyle w:val="Text4"/>
        <w:tabs>
          <w:tab w:val="clear" w:pos="2302"/>
        </w:tabs>
        <w:ind w:left="0"/>
        <w:jc w:val="both"/>
      </w:pPr>
      <w:r>
        <w:t>Enligt bilaga II till vattendirektivet kan referensförhållanden fastställas genom olika metoder (utan rangordning):</w:t>
      </w:r>
    </w:p>
    <w:p w:rsidR="000215C5" w:rsidRDefault="00703023">
      <w:pPr>
        <w:pStyle w:val="Text4"/>
        <w:numPr>
          <w:ilvl w:val="0"/>
          <w:numId w:val="75"/>
        </w:numPr>
        <w:tabs>
          <w:tab w:val="clear" w:pos="2302"/>
        </w:tabs>
        <w:jc w:val="both"/>
      </w:pPr>
      <w:r>
        <w:t>Rumsligt baserade referensförhållanden som tas fram genom uppgifter från övervakningsstationer om de är tillräckligt ostörda eller stationer med minimala störningar om sådana finns.</w:t>
      </w:r>
    </w:p>
    <w:p w:rsidR="000215C5" w:rsidRDefault="00703023">
      <w:pPr>
        <w:pStyle w:val="Text4"/>
        <w:numPr>
          <w:ilvl w:val="0"/>
          <w:numId w:val="75"/>
        </w:numPr>
        <w:tabs>
          <w:tab w:val="clear" w:pos="2302"/>
        </w:tabs>
        <w:jc w:val="both"/>
      </w:pPr>
      <w:r>
        <w:t>Om det inte finns tillräckligt många representativa referensstationer i en region/typ kan prognosmodeller tas fram. I sådana fall används uppgifter som finns tillgängliga inom en region/typ eller uppgifter från liknande regioner/typer för att konstruera och kalibrera modellen.</w:t>
      </w:r>
    </w:p>
    <w:p w:rsidR="000215C5" w:rsidRDefault="00703023">
      <w:pPr>
        <w:pStyle w:val="Text4"/>
        <w:numPr>
          <w:ilvl w:val="0"/>
          <w:numId w:val="75"/>
        </w:numPr>
        <w:tabs>
          <w:tab w:val="clear" w:pos="2302"/>
        </w:tabs>
        <w:jc w:val="both"/>
      </w:pPr>
      <w:r>
        <w:t>En kombination av dessa två metoder.</w:t>
      </w:r>
    </w:p>
    <w:p w:rsidR="000215C5" w:rsidRDefault="00703023">
      <w:pPr>
        <w:pStyle w:val="Text4"/>
        <w:numPr>
          <w:ilvl w:val="0"/>
          <w:numId w:val="75"/>
        </w:numPr>
        <w:tabs>
          <w:tab w:val="clear" w:pos="2302"/>
        </w:tabs>
        <w:jc w:val="both"/>
      </w:pPr>
      <w:r>
        <w:t>Om ingen av metoderna kan användas kan referensförhållandena fastställas med hjälp av expertbedömningar.</w:t>
      </w:r>
    </w:p>
    <w:p w:rsidR="000215C5" w:rsidRDefault="00703023">
      <w:pPr>
        <w:pStyle w:val="Text4"/>
        <w:tabs>
          <w:tab w:val="clear" w:pos="2302"/>
        </w:tabs>
        <w:ind w:left="0"/>
        <w:jc w:val="both"/>
      </w:pPr>
      <w:r>
        <w:t>Om referensförhållanden ska fastställas för många kvalitetsfaktorer kan det bli nödvändigt att använda fler metoder än de som beskrivs ovan.</w:t>
      </w:r>
    </w:p>
    <w:p w:rsidR="000215C5" w:rsidRDefault="00703023">
      <w:pPr>
        <w:pStyle w:val="Text4"/>
        <w:tabs>
          <w:tab w:val="clear" w:pos="2302"/>
        </w:tabs>
        <w:ind w:left="0"/>
        <w:jc w:val="both"/>
      </w:pPr>
      <w:r>
        <w:t>Alla vattenförekomster oavsett storlek skyddas av vattendirektivet, men av praktiska skäl definieras en vattenförekomst som en ”avgränsad och betydande” vattenförekomst. Vattnets status fastställs på vattenförekomstnivå. De gränser som anges i bilaga II för typologin enligt system A har använts för att differentiera vattenförekomster, men det får inte leda till att mindre vattenförekomster inte omfattas av direktivets skydd. Medlemsstaterna är fria att lämna mycket små vattenförekomster utanför om det finns många vattenförekomster i ett avrinningsdistrikt och den administrativa bördan skulle bli hög om dessa vattenförekomster tas med. Medlemsstaterna kan i stället välja att slå ihop dessa små vattenförekomster i grupper eller låta dem ingå i en större angränsande vattenförekomst i samma ytvattenkategori och av samma typ.</w:t>
      </w:r>
    </w:p>
    <w:p w:rsidR="000215C5" w:rsidRDefault="00703023">
      <w:pPr>
        <w:pStyle w:val="Text4"/>
        <w:tabs>
          <w:tab w:val="clear" w:pos="2302"/>
        </w:tabs>
        <w:ind w:left="0"/>
        <w:jc w:val="both"/>
      </w:pPr>
      <w:r>
        <w:t>Enligt artikel 6 i vattendirektivet ska medlemsstaterna upprätta ett eller flera register över alla områden inom varje avrinningsdistrikt som har förklarats kräva särskilt skydd enligt viss gemenskapslagstiftning för skyddet av deras yt- och grundvatten eller för bevarandet av livsmiljöer och arter som är direkt beroende av vatten. Dessa områden kallas skyddade områden. Medlemsstaterna ska fastställa och kartlägga skyddade områden i sina förvaltningsplaner (bilaga VII till vattendirektivet).</w:t>
      </w:r>
    </w:p>
    <w:p w:rsidR="000215C5" w:rsidRDefault="00703023">
      <w:pPr>
        <w:pStyle w:val="Text4"/>
        <w:tabs>
          <w:tab w:val="clear" w:pos="2302"/>
        </w:tabs>
        <w:ind w:left="0"/>
        <w:jc w:val="both"/>
      </w:pPr>
      <w:r>
        <w:t>Enligt vattendirektivet krävs också att de mål som ställts upp för skyddade områden enligt unionslagstiftningen ska uppfyllas.</w:t>
      </w:r>
    </w:p>
    <w:p w:rsidR="000215C5" w:rsidRDefault="00703023">
      <w:pPr>
        <w:pStyle w:val="Text4"/>
        <w:tabs>
          <w:tab w:val="clear" w:pos="2302"/>
        </w:tabs>
        <w:ind w:left="0"/>
        <w:jc w:val="both"/>
      </w:pPr>
      <w:r>
        <w:t>Enligt artikel 7 i vattendirektivet ska medlemsstaterna fastställa skyddade områden för yt- och grundvattenförekomster som används för uttag av dricksvatten och som ger mer än 10 m</w:t>
      </w:r>
      <w:r>
        <w:rPr>
          <w:vertAlign w:val="superscript"/>
        </w:rPr>
        <w:t>3</w:t>
      </w:r>
      <w:r>
        <w:t xml:space="preserve"> per dag i genomsnitt eller betjänar mer än femtio personer, och de vattenförekomster som är avsedda för sådan framtida användning. Målet för dessa områden är att undvika försämring av deras kvalitet för att minska den nivå av vattenrening som krävs.</w:t>
      </w:r>
    </w:p>
    <w:p w:rsidR="000215C5" w:rsidRDefault="00703023">
      <w:pPr>
        <w:pStyle w:val="Rubrik3"/>
      </w:pPr>
      <w:r>
        <w:t>Hur kommer kommissionen och Europeiska miljöbyrån att använda den rapporterade informationen?</w:t>
      </w:r>
    </w:p>
    <w:p w:rsidR="000215C5" w:rsidRDefault="00703023">
      <w:pPr>
        <w:jc w:val="both"/>
      </w:pPr>
      <w:r>
        <w:t>Kommissionen kommer att använda denna information för att bedöma om och i så fall hur medlemsstaterna har genomfört de centrala kraven i vattendirektivet.</w:t>
      </w:r>
    </w:p>
    <w:p w:rsidR="000215C5" w:rsidRDefault="00703023">
      <w:pPr>
        <w:jc w:val="both"/>
      </w:pPr>
      <w:r>
        <w:t>När det gäller typologin för ytvattenförekomster inriktas efterlevnadsbedömningen främst på att fastställa om typologin är meningsfull för att fastställa ett klassificeringssystem för ekologisk status, om typologins nivå är jämförbar (särskilt när det gäller internationella avrinningsdistrikt) och om de typspecifika referensförhållandena har fastställts på ett korrekt sätt.</w:t>
      </w:r>
    </w:p>
    <w:p w:rsidR="000215C5" w:rsidRDefault="00703023">
      <w:pPr>
        <w:jc w:val="both"/>
      </w:pPr>
      <w:r>
        <w:t>På EU-nivå kommer statistik och information att lämnas till Europaparlamentet. Allmänheten kommer att få tillgång till informationen via Wise.</w:t>
      </w:r>
    </w:p>
    <w:p w:rsidR="000215C5" w:rsidRDefault="00703023">
      <w:pPr>
        <w:autoSpaceDE w:val="0"/>
        <w:autoSpaceDN w:val="0"/>
        <w:adjustRightInd w:val="0"/>
        <w:jc w:val="both"/>
      </w:pPr>
      <w:r>
        <w:t xml:space="preserve">För information om typologin för ytvattenförekomster i enlighet med vattendirektivet lämnas mer detaljerad vägledning och information i REFCOND (CIS-vägledningsdokument nr 10: </w:t>
      </w:r>
      <w:r>
        <w:rPr>
          <w:i/>
        </w:rPr>
        <w:t>River and Lakes – Typology, Reference Conditions and Classification Systems</w:t>
      </w:r>
      <w:r>
        <w:rPr>
          <w:rStyle w:val="Fotnotsreferens"/>
        </w:rPr>
        <w:footnoteReference w:id="22"/>
      </w:r>
      <w:r>
        <w:t>), CO</w:t>
      </w:r>
      <w:r w:rsidR="0070707A">
        <w:t>AST (CIS-vägledningsdokument nr </w:t>
      </w:r>
      <w:r>
        <w:t xml:space="preserve">5: </w:t>
      </w:r>
      <w:r>
        <w:rPr>
          <w:i/>
        </w:rPr>
        <w:t>Transitional and Coastal Waters – Typology, Reference Conditions and Classification Systems</w:t>
      </w:r>
      <w:r>
        <w:rPr>
          <w:rStyle w:val="Fotnotsreferens"/>
        </w:rPr>
        <w:footnoteReference w:id="23"/>
      </w:r>
      <w:r>
        <w:t>) och vattenförekomster (</w:t>
      </w:r>
      <w:r>
        <w:rPr>
          <w:rStyle w:val="KommentarerChar"/>
        </w:rPr>
        <w:t>CIS-vägledningsdokument nr 2</w:t>
      </w:r>
      <w:r>
        <w:rPr>
          <w:rStyle w:val="Kommentarsreferens"/>
          <w:sz w:val="24"/>
        </w:rPr>
        <w:t xml:space="preserve">: </w:t>
      </w:r>
      <w:r>
        <w:rPr>
          <w:rStyle w:val="Kommentarsreferens"/>
          <w:i/>
          <w:sz w:val="24"/>
        </w:rPr>
        <w:t>Identification of Water Bodies</w:t>
      </w:r>
      <w:r>
        <w:rPr>
          <w:rStyle w:val="Fotnotsreferens"/>
        </w:rPr>
        <w:footnoteReference w:id="24"/>
      </w:r>
      <w:r>
        <w:t>).</w:t>
      </w:r>
    </w:p>
    <w:bookmarkEnd w:id="108"/>
    <w:p w:rsidR="000215C5" w:rsidRDefault="00703023">
      <w:pPr>
        <w:pStyle w:val="Rubrik4"/>
      </w:pPr>
      <w:r>
        <w:t>Produkter från rapporteringen</w:t>
      </w:r>
    </w:p>
    <w:p w:rsidR="000215C5" w:rsidRDefault="00703023">
      <w:pPr>
        <w:jc w:val="both"/>
      </w:pPr>
      <w:r>
        <w:t>Kommissionen eller Europeiska miljöbyrån kommer att ta fram följande produkter baserat på de uppgifter och den information som rapporteras av medlemsstaterna:</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620"/>
        <w:gridCol w:w="1080"/>
        <w:gridCol w:w="1260"/>
        <w:gridCol w:w="1776"/>
        <w:gridCol w:w="1985"/>
        <w:gridCol w:w="1701"/>
      </w:tblGrid>
      <w:tr w:rsidR="000215C5" w:rsidTr="0094230B">
        <w:trPr>
          <w:tblHeader/>
        </w:trPr>
        <w:tc>
          <w:tcPr>
            <w:tcW w:w="468" w:type="dxa"/>
            <w:shd w:val="clear" w:color="auto" w:fill="auto"/>
          </w:tcPr>
          <w:p w:rsidR="000215C5" w:rsidRDefault="00703023">
            <w:pPr>
              <w:spacing w:after="0"/>
              <w:jc w:val="both"/>
              <w:rPr>
                <w:b/>
                <w:sz w:val="18"/>
                <w:szCs w:val="18"/>
              </w:rPr>
            </w:pPr>
            <w:r>
              <w:rPr>
                <w:b/>
                <w:sz w:val="18"/>
              </w:rPr>
              <w:t>Nb</w:t>
            </w:r>
          </w:p>
        </w:tc>
        <w:tc>
          <w:tcPr>
            <w:tcW w:w="1620" w:type="dxa"/>
            <w:shd w:val="clear" w:color="auto" w:fill="auto"/>
          </w:tcPr>
          <w:p w:rsidR="000215C5" w:rsidRDefault="00703023">
            <w:pPr>
              <w:spacing w:after="0"/>
              <w:jc w:val="both"/>
              <w:rPr>
                <w:b/>
                <w:sz w:val="18"/>
                <w:szCs w:val="18"/>
              </w:rPr>
            </w:pPr>
            <w:r>
              <w:rPr>
                <w:b/>
                <w:sz w:val="18"/>
              </w:rPr>
              <w:t>Produktens namn</w:t>
            </w:r>
          </w:p>
        </w:tc>
        <w:tc>
          <w:tcPr>
            <w:tcW w:w="1080" w:type="dxa"/>
            <w:shd w:val="clear" w:color="auto" w:fill="auto"/>
          </w:tcPr>
          <w:p w:rsidR="000215C5" w:rsidRDefault="0094230B">
            <w:pPr>
              <w:spacing w:after="0"/>
              <w:jc w:val="both"/>
              <w:rPr>
                <w:b/>
                <w:sz w:val="18"/>
                <w:szCs w:val="18"/>
              </w:rPr>
            </w:pPr>
            <w:r>
              <w:rPr>
                <w:b/>
                <w:sz w:val="18"/>
              </w:rPr>
              <w:t>Produk</w:t>
            </w:r>
            <w:r w:rsidR="00703023">
              <w:rPr>
                <w:b/>
                <w:sz w:val="18"/>
              </w:rPr>
              <w:t>t</w:t>
            </w:r>
            <w:r>
              <w:rPr>
                <w:b/>
                <w:sz w:val="18"/>
              </w:rPr>
              <w:t>t</w:t>
            </w:r>
            <w:r w:rsidR="00703023">
              <w:rPr>
                <w:b/>
                <w:sz w:val="18"/>
              </w:rPr>
              <w:t>yp</w:t>
            </w:r>
          </w:p>
        </w:tc>
        <w:tc>
          <w:tcPr>
            <w:tcW w:w="1260" w:type="dxa"/>
            <w:shd w:val="clear" w:color="auto" w:fill="auto"/>
          </w:tcPr>
          <w:p w:rsidR="000215C5" w:rsidRDefault="0094230B">
            <w:pPr>
              <w:spacing w:after="0"/>
              <w:jc w:val="both"/>
              <w:rPr>
                <w:b/>
                <w:sz w:val="18"/>
                <w:szCs w:val="18"/>
              </w:rPr>
            </w:pPr>
            <w:r>
              <w:rPr>
                <w:b/>
                <w:sz w:val="18"/>
              </w:rPr>
              <w:t>Informations-</w:t>
            </w:r>
            <w:r w:rsidR="00703023">
              <w:rPr>
                <w:b/>
                <w:sz w:val="18"/>
              </w:rPr>
              <w:t>nivå*</w:t>
            </w:r>
          </w:p>
        </w:tc>
        <w:tc>
          <w:tcPr>
            <w:tcW w:w="1776" w:type="dxa"/>
            <w:shd w:val="clear" w:color="auto" w:fill="auto"/>
          </w:tcPr>
          <w:p w:rsidR="000215C5" w:rsidRDefault="00703023">
            <w:pPr>
              <w:spacing w:after="0"/>
              <w:jc w:val="both"/>
              <w:rPr>
                <w:b/>
                <w:sz w:val="18"/>
                <w:szCs w:val="18"/>
              </w:rPr>
            </w:pPr>
            <w:r>
              <w:rPr>
                <w:b/>
                <w:sz w:val="18"/>
              </w:rPr>
              <w:t>Detaljerad information visas</w:t>
            </w:r>
          </w:p>
        </w:tc>
        <w:tc>
          <w:tcPr>
            <w:tcW w:w="1985"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701"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94230B">
        <w:trPr>
          <w:tblHeader/>
        </w:trPr>
        <w:tc>
          <w:tcPr>
            <w:tcW w:w="468" w:type="dxa"/>
            <w:shd w:val="clear" w:color="auto" w:fill="auto"/>
          </w:tcPr>
          <w:p w:rsidR="000215C5" w:rsidRDefault="00703023">
            <w:pPr>
              <w:spacing w:after="0"/>
              <w:jc w:val="both"/>
              <w:rPr>
                <w:sz w:val="18"/>
                <w:szCs w:val="18"/>
              </w:rPr>
            </w:pPr>
            <w:r>
              <w:rPr>
                <w:sz w:val="18"/>
              </w:rPr>
              <w:t>1</w:t>
            </w:r>
          </w:p>
        </w:tc>
        <w:tc>
          <w:tcPr>
            <w:tcW w:w="1620" w:type="dxa"/>
            <w:shd w:val="clear" w:color="auto" w:fill="auto"/>
          </w:tcPr>
          <w:p w:rsidR="000215C5" w:rsidRDefault="00703023">
            <w:pPr>
              <w:spacing w:after="0"/>
              <w:jc w:val="both"/>
              <w:rPr>
                <w:b/>
                <w:smallCaps/>
                <w:sz w:val="18"/>
                <w:szCs w:val="18"/>
              </w:rPr>
            </w:pPr>
            <w:r>
              <w:rPr>
                <w:b/>
                <w:sz w:val="18"/>
              </w:rPr>
              <w:t>Antal och genomsnittlig storlek på ytvatten</w:t>
            </w:r>
            <w:r w:rsidR="0094230B">
              <w:rPr>
                <w:b/>
                <w:sz w:val="18"/>
              </w:rPr>
              <w:t>-</w:t>
            </w:r>
            <w:r>
              <w:rPr>
                <w:b/>
                <w:sz w:val="18"/>
              </w:rPr>
              <w:t>förekomster</w:t>
            </w:r>
          </w:p>
        </w:tc>
        <w:tc>
          <w:tcPr>
            <w:tcW w:w="1080" w:type="dxa"/>
            <w:shd w:val="clear" w:color="auto" w:fill="auto"/>
          </w:tcPr>
          <w:p w:rsidR="000215C5" w:rsidRDefault="00703023">
            <w:pPr>
              <w:spacing w:after="0"/>
              <w:jc w:val="both"/>
              <w:rPr>
                <w:b/>
                <w:smallCaps/>
                <w:sz w:val="18"/>
                <w:szCs w:val="18"/>
              </w:rPr>
            </w:pPr>
            <w:r>
              <w:rPr>
                <w:sz w:val="18"/>
              </w:rPr>
              <w:t>Tabell</w:t>
            </w:r>
          </w:p>
        </w:tc>
        <w:tc>
          <w:tcPr>
            <w:tcW w:w="1260" w:type="dxa"/>
            <w:shd w:val="clear" w:color="auto" w:fill="auto"/>
          </w:tcPr>
          <w:p w:rsidR="000215C5" w:rsidRDefault="00703023">
            <w:pPr>
              <w:spacing w:after="0"/>
              <w:jc w:val="both"/>
              <w:rPr>
                <w:b/>
                <w:smallCaps/>
                <w:sz w:val="18"/>
                <w:szCs w:val="18"/>
              </w:rPr>
            </w:pPr>
            <w:r>
              <w:rPr>
                <w:sz w:val="18"/>
              </w:rPr>
              <w:t>EU/MS/ RBD/</w:t>
            </w:r>
          </w:p>
          <w:p w:rsidR="000215C5" w:rsidRDefault="00703023">
            <w:pPr>
              <w:spacing w:after="0"/>
              <w:jc w:val="both"/>
              <w:rPr>
                <w:sz w:val="18"/>
                <w:szCs w:val="18"/>
              </w:rPr>
            </w:pPr>
            <w:r>
              <w:rPr>
                <w:sz w:val="18"/>
              </w:rPr>
              <w:t>SU</w:t>
            </w:r>
          </w:p>
        </w:tc>
        <w:tc>
          <w:tcPr>
            <w:tcW w:w="1776" w:type="dxa"/>
            <w:shd w:val="clear" w:color="auto" w:fill="auto"/>
          </w:tcPr>
          <w:p w:rsidR="000215C5" w:rsidRDefault="00703023">
            <w:pPr>
              <w:spacing w:after="120"/>
              <w:jc w:val="both"/>
              <w:rPr>
                <w:b/>
                <w:smallCaps/>
                <w:sz w:val="18"/>
                <w:szCs w:val="18"/>
              </w:rPr>
            </w:pPr>
            <w:r>
              <w:rPr>
                <w:sz w:val="18"/>
              </w:rPr>
              <w:t>Antal och storlek (längd/yta) för vattenförekomster per kategori.</w:t>
            </w:r>
          </w:p>
          <w:p w:rsidR="000215C5" w:rsidRDefault="00703023">
            <w:pPr>
              <w:spacing w:after="120"/>
              <w:jc w:val="both"/>
              <w:rPr>
                <w:sz w:val="18"/>
                <w:szCs w:val="18"/>
              </w:rPr>
            </w:pPr>
            <w:r>
              <w:rPr>
                <w:sz w:val="18"/>
              </w:rPr>
              <w:t>Total längd eller total yta för vattenförekomster per kategori.</w:t>
            </w:r>
          </w:p>
          <w:p w:rsidR="000215C5" w:rsidRDefault="00703023">
            <w:pPr>
              <w:spacing w:after="0"/>
              <w:jc w:val="both"/>
              <w:rPr>
                <w:b/>
                <w:smallCaps/>
                <w:sz w:val="18"/>
                <w:szCs w:val="18"/>
              </w:rPr>
            </w:pPr>
            <w:r>
              <w:rPr>
                <w:sz w:val="18"/>
              </w:rPr>
              <w:t>Genomsnittlig storlek på vattenförekomster per kategori.</w:t>
            </w:r>
          </w:p>
        </w:tc>
        <w:tc>
          <w:tcPr>
            <w:tcW w:w="1985" w:type="dxa"/>
            <w:shd w:val="clear" w:color="auto" w:fill="auto"/>
          </w:tcPr>
          <w:p w:rsidR="000215C5" w:rsidRDefault="00703023">
            <w:pPr>
              <w:spacing w:after="0"/>
              <w:jc w:val="both"/>
              <w:rPr>
                <w:b/>
                <w:smallCaps/>
                <w:sz w:val="18"/>
                <w:szCs w:val="18"/>
              </w:rPr>
            </w:pPr>
            <w:r>
              <w:rPr>
                <w:sz w:val="18"/>
              </w:rPr>
              <w:t>Genomsnitt: summa av längden (floder) eller ytan (övriga) för alla vattenförekomster, dividerat med antalet ytvattenförekomster.</w:t>
            </w:r>
          </w:p>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b/>
                <w:smallCaps/>
                <w:sz w:val="18"/>
                <w:szCs w:val="18"/>
              </w:rPr>
            </w:pPr>
            <w:r>
              <w:rPr>
                <w:sz w:val="18"/>
              </w:rPr>
              <w:t>Ja</w:t>
            </w:r>
          </w:p>
        </w:tc>
      </w:tr>
      <w:tr w:rsidR="000215C5" w:rsidTr="0094230B">
        <w:trPr>
          <w:trHeight w:val="413"/>
          <w:tblHeader/>
        </w:trPr>
        <w:tc>
          <w:tcPr>
            <w:tcW w:w="468" w:type="dxa"/>
            <w:shd w:val="clear" w:color="auto" w:fill="auto"/>
          </w:tcPr>
          <w:p w:rsidR="000215C5" w:rsidRDefault="00703023">
            <w:pPr>
              <w:spacing w:after="0"/>
              <w:jc w:val="both"/>
              <w:rPr>
                <w:sz w:val="18"/>
                <w:szCs w:val="18"/>
              </w:rPr>
            </w:pPr>
            <w:r>
              <w:rPr>
                <w:sz w:val="18"/>
              </w:rPr>
              <w:t>2</w:t>
            </w:r>
          </w:p>
        </w:tc>
        <w:tc>
          <w:tcPr>
            <w:tcW w:w="1620" w:type="dxa"/>
            <w:shd w:val="clear" w:color="auto" w:fill="auto"/>
          </w:tcPr>
          <w:p w:rsidR="000215C5" w:rsidRDefault="00703023">
            <w:pPr>
              <w:spacing w:after="0"/>
              <w:jc w:val="both"/>
              <w:rPr>
                <w:b/>
                <w:sz w:val="18"/>
                <w:szCs w:val="18"/>
              </w:rPr>
            </w:pPr>
            <w:r>
              <w:rPr>
                <w:b/>
                <w:sz w:val="18"/>
              </w:rPr>
              <w:t>Rumsliga referenslager för ytvatten</w:t>
            </w:r>
            <w:r w:rsidR="0094230B">
              <w:rPr>
                <w:b/>
                <w:sz w:val="18"/>
              </w:rPr>
              <w:t>-</w:t>
            </w:r>
            <w:r>
              <w:rPr>
                <w:b/>
                <w:sz w:val="18"/>
              </w:rPr>
              <w:t>förekomster</w:t>
            </w:r>
          </w:p>
        </w:tc>
        <w:tc>
          <w:tcPr>
            <w:tcW w:w="1080" w:type="dxa"/>
            <w:shd w:val="clear" w:color="auto" w:fill="auto"/>
          </w:tcPr>
          <w:p w:rsidR="000215C5" w:rsidRDefault="00703023">
            <w:pPr>
              <w:spacing w:after="0"/>
              <w:jc w:val="both"/>
              <w:rPr>
                <w:sz w:val="18"/>
                <w:szCs w:val="18"/>
              </w:rPr>
            </w:pPr>
            <w:r>
              <w:rPr>
                <w:sz w:val="18"/>
              </w:rPr>
              <w:t>Rumslig datauppsättning</w:t>
            </w:r>
          </w:p>
        </w:tc>
        <w:tc>
          <w:tcPr>
            <w:tcW w:w="1260" w:type="dxa"/>
            <w:shd w:val="clear" w:color="auto" w:fill="auto"/>
          </w:tcPr>
          <w:p w:rsidR="000215C5" w:rsidRDefault="00703023">
            <w:pPr>
              <w:spacing w:after="0"/>
              <w:jc w:val="both"/>
              <w:rPr>
                <w:sz w:val="18"/>
                <w:szCs w:val="18"/>
              </w:rPr>
            </w:pPr>
            <w:r>
              <w:rPr>
                <w:sz w:val="18"/>
              </w:rPr>
              <w:t>WB</w:t>
            </w:r>
          </w:p>
        </w:tc>
        <w:tc>
          <w:tcPr>
            <w:tcW w:w="1776" w:type="dxa"/>
            <w:shd w:val="clear" w:color="auto" w:fill="auto"/>
          </w:tcPr>
          <w:p w:rsidR="000215C5" w:rsidRDefault="00703023">
            <w:pPr>
              <w:spacing w:after="0"/>
              <w:jc w:val="both"/>
              <w:rPr>
                <w:sz w:val="18"/>
                <w:szCs w:val="18"/>
              </w:rPr>
            </w:pPr>
            <w:r>
              <w:rPr>
                <w:sz w:val="18"/>
              </w:rPr>
              <w:t>Kartläggning av alla ytvattenförekomster.</w:t>
            </w:r>
          </w:p>
        </w:tc>
        <w:tc>
          <w:tcPr>
            <w:tcW w:w="1985" w:type="dxa"/>
            <w:shd w:val="clear" w:color="auto" w:fill="auto"/>
          </w:tcPr>
          <w:p w:rsidR="000215C5" w:rsidRDefault="00703023">
            <w:pPr>
              <w:spacing w:after="0"/>
              <w:jc w:val="both"/>
              <w:rPr>
                <w:sz w:val="18"/>
                <w:szCs w:val="18"/>
              </w:rPr>
            </w:pPr>
            <w:r>
              <w:rPr>
                <w:sz w:val="18"/>
              </w:rPr>
              <w:t>Rumslig datauppsättning som innehåller samtliga ytvattenförekomster.</w:t>
            </w:r>
          </w:p>
        </w:tc>
        <w:tc>
          <w:tcPr>
            <w:tcW w:w="1701" w:type="dxa"/>
            <w:shd w:val="clear" w:color="auto" w:fill="auto"/>
          </w:tcPr>
          <w:p w:rsidR="000215C5" w:rsidRDefault="00703023">
            <w:pPr>
              <w:spacing w:after="0"/>
              <w:jc w:val="both"/>
              <w:rPr>
                <w:sz w:val="18"/>
                <w:szCs w:val="18"/>
              </w:rPr>
            </w:pPr>
            <w:r>
              <w:rPr>
                <w:sz w:val="18"/>
              </w:rPr>
              <w:t>Ja</w:t>
            </w:r>
          </w:p>
        </w:tc>
      </w:tr>
      <w:tr w:rsidR="000215C5" w:rsidTr="0094230B">
        <w:trPr>
          <w:trHeight w:val="413"/>
          <w:tblHeader/>
        </w:trPr>
        <w:tc>
          <w:tcPr>
            <w:tcW w:w="468" w:type="dxa"/>
            <w:shd w:val="clear" w:color="auto" w:fill="auto"/>
          </w:tcPr>
          <w:p w:rsidR="000215C5" w:rsidRDefault="00703023">
            <w:pPr>
              <w:spacing w:after="0"/>
              <w:jc w:val="both"/>
              <w:rPr>
                <w:sz w:val="18"/>
                <w:szCs w:val="18"/>
              </w:rPr>
            </w:pPr>
            <w:r>
              <w:rPr>
                <w:sz w:val="18"/>
              </w:rPr>
              <w:t>3</w:t>
            </w:r>
          </w:p>
        </w:tc>
        <w:tc>
          <w:tcPr>
            <w:tcW w:w="1620" w:type="dxa"/>
            <w:shd w:val="clear" w:color="auto" w:fill="auto"/>
          </w:tcPr>
          <w:p w:rsidR="000215C5" w:rsidRDefault="00703023">
            <w:pPr>
              <w:spacing w:after="0"/>
              <w:jc w:val="both"/>
              <w:rPr>
                <w:b/>
                <w:sz w:val="18"/>
                <w:szCs w:val="18"/>
              </w:rPr>
            </w:pPr>
            <w:r>
              <w:rPr>
                <w:b/>
                <w:sz w:val="18"/>
              </w:rPr>
              <w:t>Antal typer av vattenförekomster</w:t>
            </w:r>
          </w:p>
        </w:tc>
        <w:tc>
          <w:tcPr>
            <w:tcW w:w="1080"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w:t>
            </w:r>
          </w:p>
        </w:tc>
        <w:tc>
          <w:tcPr>
            <w:tcW w:w="1776" w:type="dxa"/>
            <w:shd w:val="clear" w:color="auto" w:fill="auto"/>
          </w:tcPr>
          <w:p w:rsidR="000215C5" w:rsidRDefault="00703023">
            <w:pPr>
              <w:spacing w:after="0"/>
              <w:jc w:val="both"/>
              <w:rPr>
                <w:sz w:val="18"/>
                <w:szCs w:val="18"/>
              </w:rPr>
            </w:pPr>
            <w:r>
              <w:rPr>
                <w:sz w:val="18"/>
              </w:rPr>
              <w:t>Antal typer av vattenförekomster rapporterade per kategori</w:t>
            </w:r>
          </w:p>
        </w:tc>
        <w:tc>
          <w:tcPr>
            <w:tcW w:w="1985" w:type="dxa"/>
            <w:shd w:val="clear" w:color="auto" w:fill="auto"/>
          </w:tcPr>
          <w:p w:rsidR="000215C5" w:rsidRDefault="00703023">
            <w:pPr>
              <w:spacing w:after="0"/>
              <w:jc w:val="both"/>
              <w:rPr>
                <w:sz w:val="18"/>
                <w:szCs w:val="18"/>
              </w:rPr>
            </w:pPr>
            <w:r>
              <w:rPr>
                <w:sz w:val="18"/>
              </w:rPr>
              <w:t>Räkning av olika typer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Ja</w:t>
            </w:r>
          </w:p>
        </w:tc>
      </w:tr>
      <w:tr w:rsidR="000215C5" w:rsidTr="0094230B">
        <w:trPr>
          <w:tblHeader/>
        </w:trPr>
        <w:tc>
          <w:tcPr>
            <w:tcW w:w="468" w:type="dxa"/>
            <w:shd w:val="clear" w:color="auto" w:fill="auto"/>
          </w:tcPr>
          <w:p w:rsidR="000215C5" w:rsidRDefault="00703023">
            <w:pPr>
              <w:spacing w:after="0"/>
              <w:jc w:val="both"/>
              <w:rPr>
                <w:sz w:val="18"/>
                <w:szCs w:val="18"/>
              </w:rPr>
            </w:pPr>
            <w:r>
              <w:rPr>
                <w:sz w:val="18"/>
              </w:rPr>
              <w:t>4</w:t>
            </w:r>
          </w:p>
        </w:tc>
        <w:tc>
          <w:tcPr>
            <w:tcW w:w="1620" w:type="dxa"/>
            <w:shd w:val="clear" w:color="auto" w:fill="auto"/>
          </w:tcPr>
          <w:p w:rsidR="000215C5" w:rsidRDefault="00703023">
            <w:pPr>
              <w:spacing w:after="0"/>
              <w:jc w:val="both"/>
              <w:rPr>
                <w:b/>
                <w:sz w:val="18"/>
                <w:szCs w:val="18"/>
              </w:rPr>
            </w:pPr>
            <w:r>
              <w:rPr>
                <w:b/>
                <w:sz w:val="18"/>
              </w:rPr>
              <w:t xml:space="preserve">Procentandel HMWB och AWB </w:t>
            </w:r>
          </w:p>
        </w:tc>
        <w:tc>
          <w:tcPr>
            <w:tcW w:w="1080" w:type="dxa"/>
            <w:shd w:val="clear" w:color="auto" w:fill="auto"/>
          </w:tcPr>
          <w:p w:rsidR="000215C5" w:rsidRDefault="00703023">
            <w:pPr>
              <w:spacing w:after="0"/>
              <w:jc w:val="both"/>
              <w:rPr>
                <w:sz w:val="18"/>
                <w:szCs w:val="18"/>
              </w:rPr>
            </w:pPr>
            <w:r>
              <w:rPr>
                <w:sz w:val="18"/>
              </w:rPr>
              <w:t>Karta</w:t>
            </w:r>
          </w:p>
        </w:tc>
        <w:tc>
          <w:tcPr>
            <w:tcW w:w="1260" w:type="dxa"/>
            <w:shd w:val="clear" w:color="auto" w:fill="auto"/>
          </w:tcPr>
          <w:p w:rsidR="000215C5" w:rsidRDefault="00703023">
            <w:pPr>
              <w:spacing w:after="0"/>
              <w:jc w:val="both"/>
              <w:rPr>
                <w:sz w:val="18"/>
                <w:szCs w:val="18"/>
              </w:rPr>
            </w:pPr>
            <w:r>
              <w:rPr>
                <w:sz w:val="18"/>
              </w:rPr>
              <w:t>RBD/SU</w:t>
            </w:r>
          </w:p>
        </w:tc>
        <w:tc>
          <w:tcPr>
            <w:tcW w:w="1776" w:type="dxa"/>
            <w:shd w:val="clear" w:color="auto" w:fill="auto"/>
          </w:tcPr>
          <w:p w:rsidR="000215C5" w:rsidRDefault="00703023">
            <w:pPr>
              <w:spacing w:after="0"/>
              <w:jc w:val="both"/>
              <w:rPr>
                <w:sz w:val="18"/>
                <w:szCs w:val="18"/>
              </w:rPr>
            </w:pPr>
            <w:r>
              <w:rPr>
                <w:sz w:val="18"/>
              </w:rPr>
              <w:t>Procentandel kraftigt modifierade vattenförekomster och konstgjorda vattenförekomster per kategori.</w:t>
            </w:r>
          </w:p>
        </w:tc>
        <w:tc>
          <w:tcPr>
            <w:tcW w:w="1985"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Ja</w:t>
            </w:r>
          </w:p>
        </w:tc>
      </w:tr>
      <w:tr w:rsidR="000215C5" w:rsidTr="0094230B">
        <w:trPr>
          <w:tblHeader/>
        </w:trPr>
        <w:tc>
          <w:tcPr>
            <w:tcW w:w="468" w:type="dxa"/>
            <w:shd w:val="clear" w:color="auto" w:fill="auto"/>
          </w:tcPr>
          <w:p w:rsidR="000215C5" w:rsidRDefault="00703023">
            <w:pPr>
              <w:spacing w:after="0"/>
              <w:jc w:val="both"/>
              <w:rPr>
                <w:sz w:val="18"/>
                <w:szCs w:val="18"/>
              </w:rPr>
            </w:pPr>
            <w:r>
              <w:rPr>
                <w:sz w:val="18"/>
              </w:rPr>
              <w:t>5</w:t>
            </w:r>
          </w:p>
        </w:tc>
        <w:tc>
          <w:tcPr>
            <w:tcW w:w="1620" w:type="dxa"/>
            <w:shd w:val="clear" w:color="auto" w:fill="auto"/>
          </w:tcPr>
          <w:p w:rsidR="000215C5" w:rsidRDefault="00703023">
            <w:pPr>
              <w:spacing w:after="0"/>
              <w:jc w:val="both"/>
              <w:rPr>
                <w:b/>
                <w:sz w:val="18"/>
                <w:szCs w:val="18"/>
              </w:rPr>
            </w:pPr>
            <w:r>
              <w:rPr>
                <w:b/>
                <w:sz w:val="18"/>
              </w:rPr>
              <w:t xml:space="preserve">Procentandel av naturliga vattenförekomster, HMWB och AWB </w:t>
            </w:r>
          </w:p>
        </w:tc>
        <w:tc>
          <w:tcPr>
            <w:tcW w:w="1080"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776" w:type="dxa"/>
            <w:shd w:val="clear" w:color="auto" w:fill="auto"/>
          </w:tcPr>
          <w:p w:rsidR="000215C5" w:rsidRDefault="00703023">
            <w:pPr>
              <w:spacing w:after="0"/>
              <w:jc w:val="both"/>
              <w:rPr>
                <w:sz w:val="18"/>
                <w:szCs w:val="18"/>
              </w:rPr>
            </w:pPr>
            <w:r>
              <w:rPr>
                <w:sz w:val="18"/>
              </w:rPr>
              <w:t>Procentandel HMWB och AWB per kategori</w:t>
            </w:r>
          </w:p>
        </w:tc>
        <w:tc>
          <w:tcPr>
            <w:tcW w:w="1985"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Ja</w:t>
            </w:r>
          </w:p>
        </w:tc>
      </w:tr>
      <w:tr w:rsidR="000215C5" w:rsidTr="0094230B">
        <w:trPr>
          <w:tblHeader/>
        </w:trPr>
        <w:tc>
          <w:tcPr>
            <w:tcW w:w="468" w:type="dxa"/>
            <w:shd w:val="clear" w:color="auto" w:fill="auto"/>
          </w:tcPr>
          <w:p w:rsidR="000215C5" w:rsidRDefault="00703023">
            <w:pPr>
              <w:spacing w:after="0"/>
              <w:jc w:val="both"/>
              <w:rPr>
                <w:sz w:val="18"/>
                <w:szCs w:val="18"/>
              </w:rPr>
            </w:pPr>
            <w:r>
              <w:rPr>
                <w:sz w:val="18"/>
              </w:rPr>
              <w:t>6</w:t>
            </w:r>
          </w:p>
        </w:tc>
        <w:tc>
          <w:tcPr>
            <w:tcW w:w="1620" w:type="dxa"/>
            <w:shd w:val="clear" w:color="auto" w:fill="auto"/>
          </w:tcPr>
          <w:p w:rsidR="000215C5" w:rsidRDefault="00703023">
            <w:pPr>
              <w:spacing w:after="0"/>
              <w:jc w:val="both"/>
              <w:rPr>
                <w:b/>
                <w:sz w:val="18"/>
                <w:szCs w:val="18"/>
              </w:rPr>
            </w:pPr>
            <w:r>
              <w:rPr>
                <w:b/>
                <w:sz w:val="18"/>
              </w:rPr>
              <w:t xml:space="preserve">Naturliga vattenförekomster, kraftigt modifierade vattenförekomster och konstgjorda vattenförekomster </w:t>
            </w:r>
          </w:p>
        </w:tc>
        <w:tc>
          <w:tcPr>
            <w:tcW w:w="1080"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w:t>
            </w:r>
          </w:p>
          <w:p w:rsidR="000215C5" w:rsidRDefault="00703023">
            <w:pPr>
              <w:spacing w:after="0"/>
              <w:jc w:val="both"/>
              <w:rPr>
                <w:sz w:val="18"/>
                <w:szCs w:val="18"/>
              </w:rPr>
            </w:pPr>
            <w:r>
              <w:rPr>
                <w:sz w:val="18"/>
              </w:rPr>
              <w:t>SU</w:t>
            </w:r>
          </w:p>
        </w:tc>
        <w:tc>
          <w:tcPr>
            <w:tcW w:w="1776" w:type="dxa"/>
            <w:shd w:val="clear" w:color="auto" w:fill="auto"/>
          </w:tcPr>
          <w:p w:rsidR="000215C5" w:rsidRDefault="00703023">
            <w:pPr>
              <w:tabs>
                <w:tab w:val="left" w:pos="468"/>
              </w:tabs>
              <w:spacing w:after="0"/>
              <w:jc w:val="both"/>
              <w:rPr>
                <w:sz w:val="18"/>
                <w:szCs w:val="18"/>
              </w:rPr>
            </w:pPr>
            <w:r>
              <w:rPr>
                <w:sz w:val="18"/>
              </w:rPr>
              <w:t>Antal och storlek (längd/yta) för naturliga vattenförekomster, HMWB och AWB per kategori.</w:t>
            </w:r>
          </w:p>
        </w:tc>
        <w:tc>
          <w:tcPr>
            <w:tcW w:w="1985"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Ja</w:t>
            </w:r>
          </w:p>
        </w:tc>
      </w:tr>
    </w:tbl>
    <w:p w:rsidR="000215C5" w:rsidRDefault="00703023">
      <w:pPr>
        <w:jc w:val="both"/>
        <w:rPr>
          <w:sz w:val="20"/>
        </w:rPr>
      </w:pPr>
      <w:r>
        <w:rPr>
          <w:b/>
          <w:sz w:val="20"/>
        </w:rPr>
        <w:t>Anmärkningar:</w:t>
      </w:r>
      <w:r>
        <w:rPr>
          <w:sz w:val="20"/>
        </w:rPr>
        <w:t xml:space="preserve"> * Informationsnivå: EU = europeisk nivå, MS = nationell nivå, medlemsstatsnivå, RBD = avrinningsdistrikt, SU = delavrinningsdistrikt, WB = vattenförekomst.</w:t>
      </w:r>
    </w:p>
    <w:p w:rsidR="000215C5" w:rsidRDefault="00703023">
      <w:pPr>
        <w:pStyle w:val="Rubrik3"/>
      </w:pPr>
      <w:r>
        <w:t>Innehåll i rapporteringen 2016</w:t>
      </w:r>
    </w:p>
    <w:p w:rsidR="000215C5" w:rsidRDefault="00703023">
      <w:pPr>
        <w:pStyle w:val="Rubrik3"/>
      </w:pPr>
      <w:r>
        <w:t>Skiss över mallarna</w:t>
      </w:r>
    </w:p>
    <w:p w:rsidR="000215C5" w:rsidRDefault="00703023">
      <w:pPr>
        <w:jc w:val="both"/>
      </w:pPr>
      <w:r>
        <w:t>Se bilaga 10.2.</w:t>
      </w:r>
    </w:p>
    <w:p w:rsidR="000215C5" w:rsidRDefault="00703023">
      <w:pPr>
        <w:pStyle w:val="Rubrik4"/>
      </w:pPr>
      <w:bookmarkStart w:id="109" w:name="Link05A23408"/>
      <w:bookmarkStart w:id="110" w:name="Link05A235B0"/>
      <w:bookmarkStart w:id="111" w:name="_Ref382295782"/>
      <w:bookmarkEnd w:id="109"/>
      <w:bookmarkEnd w:id="110"/>
      <w:r>
        <w:t>Information och uppgifter som ska rapporteras med hjälp av mallarna</w:t>
      </w:r>
      <w:bookmarkEnd w:id="111"/>
    </w:p>
    <w:p w:rsidR="000215C5" w:rsidRDefault="00703023">
      <w:pPr>
        <w:jc w:val="both"/>
      </w:pPr>
      <w:r>
        <w:t>Information om avgränsning och karakterisering av ytvattenförekomster ska rapporteras på ytvattenförekomstnivå enligt mallen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SWB</w:t>
            </w:r>
          </w:p>
        </w:tc>
      </w:tr>
      <w:tr w:rsidR="000215C5">
        <w:tc>
          <w:tcPr>
            <w:tcW w:w="9889" w:type="dxa"/>
            <w:shd w:val="clear" w:color="auto" w:fill="auto"/>
          </w:tcPr>
          <w:p w:rsidR="000215C5" w:rsidRDefault="00703023">
            <w:pPr>
              <w:spacing w:after="120"/>
              <w:jc w:val="both"/>
              <w:rPr>
                <w:b/>
                <w:i/>
                <w:szCs w:val="24"/>
              </w:rPr>
            </w:pPr>
            <w:r>
              <w:rPr>
                <w:b/>
                <w:i/>
              </w:rPr>
              <w:t>Klass: SurfaceWaterBody</w:t>
            </w:r>
          </w:p>
          <w:p w:rsidR="000215C5" w:rsidRDefault="00703023">
            <w:pPr>
              <w:spacing w:after="120"/>
              <w:jc w:val="both"/>
              <w:rPr>
                <w:b/>
                <w:i/>
                <w:szCs w:val="24"/>
              </w:rPr>
            </w:pPr>
            <w:r>
              <w:rPr>
                <w:b/>
                <w:i/>
              </w:rPr>
              <w:t xml:space="preserve">Egenskaper: </w:t>
            </w:r>
            <w:r>
              <w:rPr>
                <w:i/>
              </w:rPr>
              <w:t>maxOccur: unbounded minOccur: 1</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euSurfaceWaterBodyCode</w:t>
            </w:r>
          </w:p>
          <w:p w:rsidR="000215C5" w:rsidRDefault="00703023">
            <w:pPr>
              <w:spacing w:after="120"/>
              <w:jc w:val="both"/>
              <w:rPr>
                <w:szCs w:val="24"/>
              </w:rPr>
            </w:pPr>
            <w:r>
              <w:rPr>
                <w:b/>
              </w:rPr>
              <w:t>Fälttyp/alternativ/förhållande</w:t>
            </w:r>
            <w:r>
              <w:t>:</w:t>
            </w:r>
            <w:r>
              <w:rPr>
                <w:b/>
              </w:rPr>
              <w:t xml:space="preserve"> </w:t>
            </w:r>
            <w:r>
              <w:t>FeatureUniqueEUCodeType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Ytvattenförekomstens unika EU-kod. Ange ytvattenförekomstens nationella unika kod före medlemsstatens ISO-landskod med två bokstäver</w:t>
            </w:r>
            <w:bookmarkStart w:id="112" w:name="_Ref403771680"/>
            <w:r>
              <w:rPr>
                <w:rStyle w:val="Fotnotsreferens"/>
              </w:rPr>
              <w:footnoteReference w:id="25"/>
            </w:r>
            <w:bookmarkEnd w:id="112"/>
            <w:r>
              <w:t>.</w:t>
            </w:r>
          </w:p>
          <w:p w:rsidR="000215C5" w:rsidRDefault="00703023">
            <w:pPr>
              <w:spacing w:after="120"/>
              <w:jc w:val="both"/>
              <w:rPr>
                <w:szCs w:val="24"/>
              </w:rPr>
            </w:pPr>
            <w:r>
              <w:rPr>
                <w:b/>
              </w:rPr>
              <w:t>Kvalitetskontroller</w:t>
            </w:r>
            <w:r>
              <w:t>: Kontroll av posten: EUSurfaceWaterBodyCode måste rapporteras. Strängens längd ska vara 3–42 tecken. De första två bokstäverna måste vara medlemsstatens ISO-landskod med två bokstäver. Endast ett värde kan rapporteras.</w:t>
            </w:r>
          </w:p>
          <w:p w:rsidR="000215C5" w:rsidRDefault="00703023">
            <w:pPr>
              <w:spacing w:after="120"/>
              <w:jc w:val="both"/>
              <w:rPr>
                <w:szCs w:val="24"/>
              </w:rPr>
            </w:pPr>
            <w:r>
              <w:t>Kontroll av mallen: euSurfaceWaterBodyCode måste vara unik.</w:t>
            </w:r>
          </w:p>
        </w:tc>
      </w:tr>
      <w:tr w:rsidR="000215C5">
        <w:tc>
          <w:tcPr>
            <w:tcW w:w="9889" w:type="dxa"/>
          </w:tcPr>
          <w:p w:rsidR="000215C5" w:rsidRDefault="00703023">
            <w:pPr>
              <w:spacing w:after="120"/>
              <w:jc w:val="both"/>
              <w:rPr>
                <w:b/>
              </w:rPr>
            </w:pPr>
            <w:r>
              <w:rPr>
                <w:b/>
              </w:rPr>
              <w:t>Mallpost</w:t>
            </w:r>
            <w:r>
              <w:t>:</w:t>
            </w:r>
            <w:r>
              <w:rPr>
                <w:b/>
              </w:rPr>
              <w:t xml:space="preserve"> </w:t>
            </w:r>
            <w:r>
              <w:t>euSubUnitCode</w:t>
            </w:r>
          </w:p>
          <w:p w:rsidR="000215C5" w:rsidRDefault="00703023">
            <w:pPr>
              <w:spacing w:after="120"/>
              <w:jc w:val="both"/>
            </w:pPr>
            <w:r>
              <w:rPr>
                <w:b/>
              </w:rPr>
              <w:t>Fälttyp/alternativ/förhållande</w:t>
            </w:r>
            <w:r>
              <w:t>: FeatureUniqueEUCodeType</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Villkorlig. Om avrinningsdistriktet har delats in i delavrinningsdistrikt, rapportera den unika EU-koden för det delavrinningsdistrikt där vattenförekomsten är belägen. Ange delavrinningsdistriktets nationella unika kod före medlemsstatens ISO-landskod med två bokstäver</w:t>
            </w:r>
            <w:r>
              <w:fldChar w:fldCharType="begin"/>
            </w:r>
            <w:r>
              <w:instrText xml:space="preserve"> NOTEREF _Ref403771680 \h  \* MERGEFORMAT </w:instrText>
            </w:r>
            <w:r>
              <w:fldChar w:fldCharType="separate"/>
            </w:r>
            <w:r>
              <w:rPr>
                <w:szCs w:val="24"/>
                <w:vertAlign w:val="superscript"/>
              </w:rPr>
              <w:t>24</w:t>
            </w:r>
            <w:r>
              <w:fldChar w:fldCharType="end"/>
            </w:r>
            <w:r>
              <w:t>.</w:t>
            </w:r>
          </w:p>
          <w:p w:rsidR="000215C5" w:rsidRDefault="00703023">
            <w:pPr>
              <w:tabs>
                <w:tab w:val="left" w:pos="1643"/>
                <w:tab w:val="left" w:pos="1995"/>
                <w:tab w:val="left" w:pos="4503"/>
                <w:tab w:val="left" w:pos="8337"/>
              </w:tabs>
              <w:spacing w:after="120"/>
              <w:jc w:val="both"/>
              <w:rPr>
                <w:szCs w:val="24"/>
              </w:rPr>
            </w:pPr>
            <w:r>
              <w:rPr>
                <w:b/>
              </w:rPr>
              <w:t>Kvalitetskontroller</w:t>
            </w:r>
            <w:r>
              <w:t xml:space="preserve">: Villkorlig kontroll: rapportera om </w:t>
            </w:r>
            <w:r>
              <w:rPr>
                <w:i/>
              </w:rPr>
              <w:t>RBDSUCA/RBD/</w:t>
            </w:r>
            <w:r>
              <w:t>subUnitsDefined är ”Yes”.</w:t>
            </w:r>
          </w:p>
          <w:p w:rsidR="000215C5" w:rsidRDefault="00703023">
            <w:pPr>
              <w:tabs>
                <w:tab w:val="left" w:pos="1643"/>
                <w:tab w:val="left" w:pos="1995"/>
                <w:tab w:val="left" w:pos="4503"/>
                <w:tab w:val="left" w:pos="8337"/>
              </w:tabs>
              <w:spacing w:after="120"/>
              <w:jc w:val="both"/>
            </w:pPr>
            <w:r>
              <w:t>Kontroll av posten:</w:t>
            </w:r>
            <w:r>
              <w:rPr>
                <w:b/>
              </w:rPr>
              <w:t xml:space="preserve"> </w:t>
            </w:r>
            <w:r>
              <w:t>Strängens längd får vara högst 42 tecken. De första två bokstäverna måste vara medlemsstatens ISO-landskod med två bokstäver. Endast ett värde kan rapporteras.</w:t>
            </w:r>
          </w:p>
          <w:p w:rsidR="000215C5" w:rsidRDefault="00703023">
            <w:pPr>
              <w:tabs>
                <w:tab w:val="left" w:pos="1643"/>
                <w:tab w:val="left" w:pos="1995"/>
                <w:tab w:val="left" w:pos="4503"/>
                <w:tab w:val="left" w:pos="8337"/>
              </w:tabs>
              <w:spacing w:after="120"/>
              <w:jc w:val="both"/>
              <w:rPr>
                <w:b/>
                <w:szCs w:val="24"/>
              </w:rPr>
            </w:pPr>
            <w:r>
              <w:t xml:space="preserve">Dubbelkontroll av mallen: Den rapporterade EUSubUnitCode måste överensstämma med de koder som rapporteras i </w:t>
            </w:r>
            <w:r>
              <w:rPr>
                <w:i/>
              </w:rPr>
              <w:t>RBDSUCA</w:t>
            </w:r>
            <w:r>
              <w:t>/</w:t>
            </w:r>
            <w:r>
              <w:rPr>
                <w:i/>
              </w:rPr>
              <w:t>RBD</w:t>
            </w:r>
            <w:r>
              <w:t>/</w:t>
            </w:r>
            <w:r>
              <w:rPr>
                <w:i/>
              </w:rPr>
              <w:t>SubUnit</w:t>
            </w:r>
            <w:r>
              <w:t>/euSubUnitCode.</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b/>
                <w:szCs w:val="24"/>
              </w:rPr>
            </w:pPr>
            <w:r>
              <w:rPr>
                <w:b/>
              </w:rPr>
              <w:t>Mallpost</w:t>
            </w:r>
            <w:r>
              <w:t>:</w:t>
            </w:r>
            <w:r>
              <w:rPr>
                <w:b/>
              </w:rPr>
              <w:t xml:space="preserve"> </w:t>
            </w:r>
            <w:r>
              <w:t>surfaceWaterBodyName</w:t>
            </w:r>
          </w:p>
          <w:p w:rsidR="000215C5" w:rsidRDefault="00703023">
            <w:pPr>
              <w:tabs>
                <w:tab w:val="left" w:pos="1643"/>
                <w:tab w:val="left" w:pos="1995"/>
                <w:tab w:val="left" w:pos="4503"/>
                <w:tab w:val="left" w:pos="8337"/>
              </w:tabs>
              <w:spacing w:after="120"/>
              <w:jc w:val="both"/>
              <w:rPr>
                <w:szCs w:val="24"/>
              </w:rPr>
            </w:pPr>
            <w:r>
              <w:rPr>
                <w:b/>
              </w:rPr>
              <w:t>Fälttyp/alternativ/förhållande</w:t>
            </w:r>
            <w:r>
              <w:t>: String250Type</w:t>
            </w:r>
          </w:p>
          <w:p w:rsidR="000215C5" w:rsidRDefault="00703023">
            <w:pPr>
              <w:tabs>
                <w:tab w:val="left" w:pos="1643"/>
                <w:tab w:val="left" w:pos="1995"/>
                <w:tab w:val="left" w:pos="4503"/>
                <w:tab w:val="left" w:pos="8337"/>
              </w:tabs>
              <w:spacing w:after="120"/>
              <w:jc w:val="both"/>
              <w:rPr>
                <w:szCs w:val="24"/>
              </w:rPr>
            </w:pPr>
            <w:r>
              <w:rPr>
                <w:b/>
              </w:rPr>
              <w:t>Egenskaper</w:t>
            </w:r>
            <w:r>
              <w:t>: maxOccurs = 1 minOccurs = 1</w:t>
            </w:r>
          </w:p>
          <w:p w:rsidR="000215C5" w:rsidRDefault="00703023">
            <w:pPr>
              <w:tabs>
                <w:tab w:val="left" w:pos="1643"/>
                <w:tab w:val="left" w:pos="1995"/>
                <w:tab w:val="left" w:pos="4503"/>
                <w:tab w:val="left" w:pos="8337"/>
              </w:tabs>
              <w:spacing w:after="120"/>
              <w:jc w:val="both"/>
              <w:rPr>
                <w:b/>
                <w:szCs w:val="24"/>
              </w:rPr>
            </w:pPr>
            <w:r>
              <w:rPr>
                <w:b/>
              </w:rPr>
              <w:t>Vägledning om hur man fyller i mallposten</w:t>
            </w:r>
            <w:r>
              <w:t>:</w:t>
            </w:r>
            <w:r>
              <w:rPr>
                <w:b/>
              </w:rPr>
              <w:t xml:space="preserve"> </w:t>
            </w:r>
            <w:r>
              <w:t>Krävs.</w:t>
            </w:r>
            <w:r>
              <w:rPr>
                <w:b/>
              </w:rPr>
              <w:t xml:space="preserve"> </w:t>
            </w:r>
            <w:r>
              <w:t>Lättförståeliga namn på ytvattenförekomsterna på engelska som är meningsfulla utanför avrinningsdistriktet eller medlemsstaten. Bör omfatta namnet på den flod, den sjö, det vatten i övergångszon, det kustvatten eller det territorialvatten där ytvattenförekomsten är belägen.</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b/>
                <w:szCs w:val="24"/>
              </w:rPr>
            </w:pPr>
            <w:r>
              <w:rPr>
                <w:b/>
              </w:rPr>
              <w:t>Mallpost</w:t>
            </w:r>
            <w:r>
              <w:t>: surfaceWaterBodyCategory</w:t>
            </w:r>
          </w:p>
          <w:p w:rsidR="000215C5" w:rsidRDefault="00703023">
            <w:pPr>
              <w:tabs>
                <w:tab w:val="left" w:pos="1643"/>
                <w:tab w:val="left" w:pos="1995"/>
                <w:tab w:val="left" w:pos="4503"/>
                <w:tab w:val="left" w:pos="8337"/>
              </w:tabs>
              <w:spacing w:after="120"/>
              <w:jc w:val="both"/>
              <w:rPr>
                <w:szCs w:val="24"/>
              </w:rPr>
            </w:pPr>
            <w:r>
              <w:rPr>
                <w:b/>
              </w:rPr>
              <w:t>Fälttyp/alternativ/förhållande</w:t>
            </w:r>
            <w:r>
              <w:t>: SWCategoryCode_Enum: RW, LW, TW, CW, TeW</w:t>
            </w:r>
          </w:p>
          <w:p w:rsidR="000215C5" w:rsidRDefault="00703023">
            <w:pPr>
              <w:tabs>
                <w:tab w:val="left" w:pos="1643"/>
                <w:tab w:val="left" w:pos="1995"/>
                <w:tab w:val="left" w:pos="4503"/>
                <w:tab w:val="left" w:pos="8337"/>
              </w:tabs>
              <w:spacing w:after="120"/>
              <w:jc w:val="both"/>
              <w:rPr>
                <w:szCs w:val="24"/>
              </w:rPr>
            </w:pPr>
            <w:r>
              <w:rPr>
                <w:b/>
              </w:rPr>
              <w:t>Egenskaper</w:t>
            </w:r>
            <w:r>
              <w:t>: maxOccurs = 1 minOccurs = 1</w:t>
            </w:r>
          </w:p>
          <w:p w:rsidR="000215C5" w:rsidRDefault="00703023">
            <w:pPr>
              <w:tabs>
                <w:tab w:val="left" w:pos="1643"/>
                <w:tab w:val="left" w:pos="1995"/>
                <w:tab w:val="left" w:pos="4503"/>
                <w:tab w:val="left" w:pos="8337"/>
              </w:tabs>
              <w:spacing w:after="120"/>
              <w:jc w:val="both"/>
              <w:rPr>
                <w:szCs w:val="24"/>
              </w:rPr>
            </w:pPr>
            <w:r>
              <w:rPr>
                <w:b/>
              </w:rPr>
              <w:t>Vägledning om hur man fyller i mallposten</w:t>
            </w:r>
            <w:r>
              <w:t>:</w:t>
            </w:r>
            <w:r>
              <w:rPr>
                <w:b/>
              </w:rPr>
              <w:t xml:space="preserve"> </w:t>
            </w:r>
            <w:r>
              <w:t>Krävs.</w:t>
            </w:r>
            <w:r>
              <w:rPr>
                <w:b/>
              </w:rPr>
              <w:t xml:space="preserve"> </w:t>
            </w:r>
            <w:r>
              <w:t>Ytvattenförekomstens kategori måste rapporteras.</w:t>
            </w:r>
          </w:p>
          <w:p w:rsidR="000215C5" w:rsidRDefault="00703023">
            <w:pPr>
              <w:tabs>
                <w:tab w:val="left" w:pos="1643"/>
                <w:tab w:val="left" w:pos="1995"/>
                <w:tab w:val="left" w:pos="4503"/>
                <w:tab w:val="left" w:pos="8337"/>
              </w:tabs>
              <w:spacing w:after="120"/>
              <w:jc w:val="both"/>
              <w:rPr>
                <w:szCs w:val="24"/>
              </w:rPr>
            </w:pPr>
            <w:r>
              <w:t>RW = floder</w:t>
            </w:r>
          </w:p>
          <w:p w:rsidR="000215C5" w:rsidRDefault="00703023">
            <w:pPr>
              <w:tabs>
                <w:tab w:val="left" w:pos="1643"/>
                <w:tab w:val="left" w:pos="1995"/>
                <w:tab w:val="left" w:pos="4503"/>
                <w:tab w:val="left" w:pos="8337"/>
              </w:tabs>
              <w:spacing w:after="120"/>
              <w:jc w:val="both"/>
              <w:rPr>
                <w:szCs w:val="24"/>
              </w:rPr>
            </w:pPr>
            <w:r>
              <w:t>LW = sjöar</w:t>
            </w:r>
          </w:p>
          <w:p w:rsidR="000215C5" w:rsidRDefault="00703023">
            <w:pPr>
              <w:tabs>
                <w:tab w:val="left" w:pos="1643"/>
                <w:tab w:val="left" w:pos="1995"/>
                <w:tab w:val="left" w:pos="4503"/>
                <w:tab w:val="left" w:pos="8337"/>
              </w:tabs>
              <w:spacing w:after="120"/>
              <w:jc w:val="both"/>
              <w:rPr>
                <w:szCs w:val="24"/>
              </w:rPr>
            </w:pPr>
            <w:r>
              <w:t>TW = vatten i övergångszon</w:t>
            </w:r>
          </w:p>
          <w:p w:rsidR="000215C5" w:rsidRDefault="00703023">
            <w:pPr>
              <w:tabs>
                <w:tab w:val="left" w:pos="1643"/>
                <w:tab w:val="left" w:pos="1995"/>
                <w:tab w:val="left" w:pos="4503"/>
                <w:tab w:val="left" w:pos="8337"/>
              </w:tabs>
              <w:spacing w:after="120"/>
              <w:jc w:val="both"/>
              <w:rPr>
                <w:szCs w:val="24"/>
              </w:rPr>
            </w:pPr>
            <w:r>
              <w:t>CW = kustvatten</w:t>
            </w:r>
          </w:p>
          <w:p w:rsidR="000215C5" w:rsidRDefault="00703023">
            <w:pPr>
              <w:tabs>
                <w:tab w:val="left" w:pos="1643"/>
                <w:tab w:val="left" w:pos="1995"/>
                <w:tab w:val="left" w:pos="4503"/>
                <w:tab w:val="left" w:pos="8337"/>
              </w:tabs>
              <w:spacing w:after="120"/>
              <w:jc w:val="both"/>
              <w:rPr>
                <w:szCs w:val="24"/>
              </w:rPr>
            </w:pPr>
            <w:r>
              <w:t>TeW = territorialvatten</w:t>
            </w:r>
          </w:p>
          <w:p w:rsidR="000215C5" w:rsidRDefault="00703023">
            <w:pPr>
              <w:tabs>
                <w:tab w:val="left" w:pos="1643"/>
                <w:tab w:val="left" w:pos="1995"/>
                <w:tab w:val="left" w:pos="4503"/>
                <w:tab w:val="left" w:pos="8337"/>
              </w:tabs>
              <w:spacing w:after="120"/>
              <w:jc w:val="both"/>
              <w:rPr>
                <w:szCs w:val="24"/>
              </w:rPr>
            </w:pPr>
            <w:r>
              <w:t xml:space="preserve">Territorialvatten är inte en vattenförekomstkategori enligt vattendirektivet. I artikel 2.1 i direktivet anges att kemisk status även är tillämpligt på territorialvatten. Tack vare detta alternativ kan medlemsstaterna rapportera relevant information om den del av territorialvattnet som sträcker sig längre än kustvattnet. Information som inte är relevant, t.ex. typ av vattenförekomst eller ekologisk status, måste inte rapporteras för territorialvatten (se vägledning om dessa mallposter). </w:t>
            </w:r>
          </w:p>
          <w:p w:rsidR="000215C5" w:rsidRDefault="00703023">
            <w:pPr>
              <w:tabs>
                <w:tab w:val="left" w:pos="1643"/>
                <w:tab w:val="left" w:pos="1995"/>
                <w:tab w:val="left" w:pos="4503"/>
                <w:tab w:val="left" w:pos="8337"/>
              </w:tabs>
              <w:spacing w:after="120"/>
              <w:jc w:val="both"/>
              <w:rPr>
                <w:szCs w:val="24"/>
              </w:rPr>
            </w:pPr>
            <w:r>
              <w:t xml:space="preserve">Det rekommenderas att magasin som består av uppdämda floder (dvs. kraftigt modifierade floder) rapporteras som floder. Se mallposten om magasin nedan. </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b/>
                <w:szCs w:val="24"/>
              </w:rPr>
            </w:pPr>
            <w:r>
              <w:rPr>
                <w:b/>
              </w:rPr>
              <w:t>Mallpost</w:t>
            </w:r>
            <w:r>
              <w:t>:</w:t>
            </w:r>
            <w:r>
              <w:rPr>
                <w:b/>
              </w:rPr>
              <w:t xml:space="preserve"> </w:t>
            </w:r>
            <w:r>
              <w:t>naturalAWBHMWB</w:t>
            </w:r>
          </w:p>
          <w:p w:rsidR="000215C5" w:rsidRDefault="00703023">
            <w:pPr>
              <w:tabs>
                <w:tab w:val="left" w:pos="1643"/>
                <w:tab w:val="left" w:pos="1995"/>
                <w:tab w:val="left" w:pos="2895"/>
              </w:tabs>
              <w:spacing w:after="120"/>
              <w:jc w:val="both"/>
              <w:rPr>
                <w:szCs w:val="24"/>
              </w:rPr>
            </w:pPr>
            <w:r>
              <w:rPr>
                <w:b/>
              </w:rPr>
              <w:t>Fälttyp/alternativ/förhållande</w:t>
            </w:r>
            <w:r>
              <w:t xml:space="preserve">: NaturalCode_Enum: </w:t>
            </w:r>
          </w:p>
          <w:p w:rsidR="000215C5" w:rsidRPr="0003666D" w:rsidRDefault="00703023">
            <w:pPr>
              <w:tabs>
                <w:tab w:val="left" w:pos="1643"/>
                <w:tab w:val="left" w:pos="1995"/>
                <w:tab w:val="left" w:pos="2895"/>
              </w:tabs>
              <w:spacing w:after="120"/>
              <w:jc w:val="both"/>
              <w:rPr>
                <w:szCs w:val="24"/>
                <w:lang w:val="en-GB"/>
              </w:rPr>
            </w:pPr>
            <w:r w:rsidRPr="0003666D">
              <w:rPr>
                <w:lang w:val="en-GB"/>
              </w:rPr>
              <w:t xml:space="preserve">Natural </w:t>
            </w:r>
          </w:p>
          <w:p w:rsidR="000215C5" w:rsidRPr="0003666D" w:rsidRDefault="00703023">
            <w:pPr>
              <w:tabs>
                <w:tab w:val="left" w:pos="1643"/>
                <w:tab w:val="left" w:pos="1995"/>
                <w:tab w:val="left" w:pos="2895"/>
              </w:tabs>
              <w:spacing w:after="120"/>
              <w:jc w:val="both"/>
              <w:rPr>
                <w:szCs w:val="24"/>
                <w:lang w:val="en-GB"/>
              </w:rPr>
            </w:pPr>
            <w:r w:rsidRPr="0003666D">
              <w:rPr>
                <w:lang w:val="en-GB"/>
              </w:rPr>
              <w:t xml:space="preserve">Artificial </w:t>
            </w:r>
          </w:p>
          <w:p w:rsidR="000215C5" w:rsidRPr="008D6A99" w:rsidRDefault="00703023">
            <w:pPr>
              <w:tabs>
                <w:tab w:val="left" w:pos="1643"/>
                <w:tab w:val="left" w:pos="1995"/>
                <w:tab w:val="left" w:pos="2895"/>
              </w:tabs>
              <w:spacing w:after="120"/>
              <w:jc w:val="both"/>
              <w:rPr>
                <w:szCs w:val="24"/>
                <w:lang w:val="en-GB"/>
              </w:rPr>
            </w:pPr>
            <w:r w:rsidRPr="008D6A99">
              <w:rPr>
                <w:lang w:val="en-GB"/>
              </w:rPr>
              <w:t>Heavily Modified</w:t>
            </w:r>
          </w:p>
          <w:p w:rsidR="000215C5" w:rsidRPr="008D6A99" w:rsidRDefault="00703023">
            <w:pPr>
              <w:tabs>
                <w:tab w:val="left" w:pos="1643"/>
                <w:tab w:val="left" w:pos="1995"/>
                <w:tab w:val="left" w:pos="2895"/>
              </w:tabs>
              <w:spacing w:after="120"/>
              <w:jc w:val="both"/>
              <w:rPr>
                <w:szCs w:val="24"/>
                <w:lang w:val="en-GB"/>
              </w:rPr>
            </w:pPr>
            <w:r w:rsidRPr="008D6A99">
              <w:rPr>
                <w:b/>
                <w:lang w:val="en-GB"/>
              </w:rPr>
              <w:t>Egenskaper</w:t>
            </w:r>
            <w:r w:rsidRPr="008D6A99">
              <w:rPr>
                <w:lang w:val="en-GB"/>
              </w:rPr>
              <w:t>: maxOccur: 1 minOccur: 1</w:t>
            </w:r>
          </w:p>
          <w:p w:rsidR="000215C5" w:rsidRDefault="00703023">
            <w:pPr>
              <w:spacing w:after="120"/>
              <w:jc w:val="both"/>
              <w:rPr>
                <w:szCs w:val="24"/>
              </w:rPr>
            </w:pPr>
            <w:r>
              <w:rPr>
                <w:b/>
              </w:rPr>
              <w:t>Vägledning om hur man fyller i mallposten</w:t>
            </w:r>
            <w:r>
              <w:t>:</w:t>
            </w:r>
            <w:r>
              <w:rPr>
                <w:b/>
              </w:rPr>
              <w:t xml:space="preserve"> </w:t>
            </w:r>
            <w:r>
              <w:t>Krävs.</w:t>
            </w:r>
            <w:r>
              <w:rPr>
                <w:b/>
              </w:rPr>
              <w:t xml:space="preserve"> </w:t>
            </w:r>
            <w:r>
              <w:t>Ange om ytvattenförekomsten är naturlig, konstgjord eller kraftigt modifierad.</w:t>
            </w:r>
          </w:p>
          <w:p w:rsidR="000215C5" w:rsidRDefault="00703023">
            <w:pPr>
              <w:spacing w:after="120"/>
              <w:jc w:val="both"/>
              <w:rPr>
                <w:szCs w:val="24"/>
              </w:rPr>
            </w:pPr>
            <w:r>
              <w:t>Observera att en vattenförekomst inte kan vara både konstgjord och kraftigt modifierad.</w:t>
            </w:r>
          </w:p>
          <w:p w:rsidR="000215C5" w:rsidRDefault="00703023">
            <w:pPr>
              <w:spacing w:after="120"/>
              <w:jc w:val="both"/>
              <w:rPr>
                <w:szCs w:val="24"/>
              </w:rPr>
            </w:pPr>
            <w:r>
              <w:t>Ett magasin kan vara konstgjort (t.ex. anlagt för lagring vid stranden) eller kraftigt modifierat (t.ex. en uppdämd flod).</w:t>
            </w:r>
          </w:p>
          <w:p w:rsidR="000215C5" w:rsidRDefault="00703023">
            <w:pPr>
              <w:spacing w:after="120"/>
              <w:jc w:val="both"/>
              <w:rPr>
                <w:szCs w:val="24"/>
              </w:rPr>
            </w:pPr>
            <w:r>
              <w:t>En kanal kan vara konstgjord (t.ex. särskilt anlagd för navigering där det tidigare inte fanns någon ytvattenförekomst) eller kraftigt modifierad (t.ex. en flod som har fördjupats, breddats eller ändrats på annat sätt för att bli farbar).</w:t>
            </w:r>
          </w:p>
          <w:p w:rsidR="000215C5" w:rsidRDefault="00703023">
            <w:pPr>
              <w:tabs>
                <w:tab w:val="left" w:pos="1643"/>
                <w:tab w:val="left" w:pos="1995"/>
                <w:tab w:val="left" w:pos="4503"/>
                <w:tab w:val="left" w:pos="8337"/>
              </w:tabs>
              <w:spacing w:after="120"/>
              <w:jc w:val="both"/>
              <w:rPr>
                <w:szCs w:val="24"/>
              </w:rPr>
            </w:pPr>
            <w:r>
              <w:t>Identifieringen av vilken kategori konstgjorda vattenförekomster eller kraftigt modifierade vattenförekomster tillhör enligt kategoriposten påverkar inte besluten om vilka faktorer som ska användas för att härleda vattenförekomstens typologi och de kvalitetsfaktorer som ska användas för bedömningen av konstgjorda eller kraftigt modifierade vattenförekomster. Enligt bilaga II, 1.1.v i vattendirektivet ska differentieringen av typologi företas i enlighet med deskriptorerna för den naturliga ytvattenkategori som mest liknar den aktuella konstgjorda eller kraftigt modifierade vattenförekomsten. Kvalitetsfaktorerna bör likaså vara de kvalitetsfaktorer som används för alla naturliga ytvattenförekomster som mest liknar den aktuella konstgjorda eller kraftigt modifierade vattenförekomsten (bilaga V, 1.1.5 i vattendirektivet). Detta innebär att magasin som anlagts genom uppdämning av floder kan kategoriseras som kraftigt modifierade floder, men att de bör typbestämmas och bedömas enligt faktorerna och verktygen för sjöar, eftersom sjöar är den naturliga ytvattenskategori som magasin liknar mest.</w:t>
            </w:r>
          </w:p>
          <w:p w:rsidR="000215C5" w:rsidRDefault="00703023">
            <w:pPr>
              <w:tabs>
                <w:tab w:val="left" w:pos="1643"/>
                <w:tab w:val="left" w:pos="1995"/>
                <w:tab w:val="left" w:pos="4503"/>
                <w:tab w:val="left" w:pos="8337"/>
              </w:tabs>
              <w:spacing w:after="120"/>
              <w:jc w:val="both"/>
              <w:rPr>
                <w:szCs w:val="24"/>
              </w:rPr>
            </w:pPr>
            <w:r>
              <w:t xml:space="preserve">Alternativet ”naturlig” bör väljas för territorialvatten. </w:t>
            </w:r>
          </w:p>
          <w:p w:rsidR="000215C5" w:rsidRDefault="00703023">
            <w:pPr>
              <w:tabs>
                <w:tab w:val="left" w:pos="1643"/>
                <w:tab w:val="left" w:pos="1995"/>
                <w:tab w:val="left" w:pos="4503"/>
                <w:tab w:val="left" w:pos="8337"/>
              </w:tabs>
              <w:spacing w:after="120"/>
              <w:jc w:val="both"/>
              <w:rPr>
                <w:szCs w:val="24"/>
              </w:rPr>
            </w:pPr>
            <w:r>
              <w:rPr>
                <w:b/>
              </w:rPr>
              <w:t>Kvalitetskontroller</w:t>
            </w:r>
            <w:r>
              <w:t xml:space="preserve">: Alternativet ”naturlig” måste väljas om surfaceWaterBodyCategory är ”TeW”. </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b/>
                <w:szCs w:val="24"/>
              </w:rPr>
            </w:pPr>
            <w:r>
              <w:rPr>
                <w:b/>
              </w:rPr>
              <w:t>Mallpost</w:t>
            </w:r>
            <w:r>
              <w:t>: hmwbWaterUse</w:t>
            </w:r>
          </w:p>
          <w:p w:rsidR="000215C5" w:rsidRDefault="00703023">
            <w:pPr>
              <w:spacing w:after="120"/>
              <w:jc w:val="both"/>
              <w:rPr>
                <w:szCs w:val="24"/>
              </w:rPr>
            </w:pPr>
            <w:r>
              <w:rPr>
                <w:b/>
              </w:rPr>
              <w:t>Fälttyp/alternativ/förhållande</w:t>
            </w:r>
            <w:r>
              <w:t>: HMWBWaterUse_Enum:</w:t>
            </w:r>
          </w:p>
          <w:p w:rsidR="000215C5" w:rsidRDefault="00703023">
            <w:pPr>
              <w:spacing w:after="120"/>
              <w:jc w:val="both"/>
            </w:pPr>
            <w:r>
              <w:t>Agriculture - land drainage</w:t>
            </w:r>
          </w:p>
          <w:p w:rsidR="000215C5" w:rsidRDefault="00703023">
            <w:pPr>
              <w:spacing w:after="120"/>
              <w:jc w:val="both"/>
            </w:pPr>
            <w:r>
              <w:t>Agriculture - irrigation</w:t>
            </w:r>
          </w:p>
          <w:p w:rsidR="000215C5" w:rsidRDefault="00703023">
            <w:pPr>
              <w:spacing w:after="120"/>
              <w:jc w:val="both"/>
              <w:rPr>
                <w:szCs w:val="24"/>
              </w:rPr>
            </w:pPr>
            <w:r>
              <w:t>Energy - hydropower</w:t>
            </w:r>
          </w:p>
          <w:p w:rsidR="000215C5" w:rsidRDefault="00703023">
            <w:pPr>
              <w:spacing w:after="120"/>
              <w:jc w:val="both"/>
              <w:rPr>
                <w:szCs w:val="24"/>
              </w:rPr>
            </w:pPr>
            <w:r>
              <w:t>Energy - non-hydropower</w:t>
            </w:r>
          </w:p>
          <w:p w:rsidR="000215C5" w:rsidRDefault="00703023">
            <w:pPr>
              <w:spacing w:after="120"/>
              <w:jc w:val="both"/>
              <w:rPr>
                <w:szCs w:val="24"/>
              </w:rPr>
            </w:pPr>
            <w:r>
              <w:t>Storage for fisheries/aquaculture/fish farms</w:t>
            </w:r>
          </w:p>
          <w:p w:rsidR="000215C5" w:rsidRPr="008D6A99" w:rsidRDefault="00703023">
            <w:pPr>
              <w:spacing w:after="120"/>
              <w:jc w:val="both"/>
              <w:rPr>
                <w:szCs w:val="24"/>
                <w:lang w:val="en-GB"/>
              </w:rPr>
            </w:pPr>
            <w:r w:rsidRPr="008D6A99">
              <w:rPr>
                <w:lang w:val="en-GB"/>
              </w:rPr>
              <w:t>Flood protection</w:t>
            </w:r>
          </w:p>
          <w:p w:rsidR="000215C5" w:rsidRPr="008D6A99" w:rsidRDefault="00703023">
            <w:pPr>
              <w:spacing w:after="120"/>
              <w:jc w:val="both"/>
              <w:rPr>
                <w:szCs w:val="24"/>
                <w:lang w:val="en-GB"/>
              </w:rPr>
            </w:pPr>
            <w:r w:rsidRPr="008D6A99">
              <w:rPr>
                <w:lang w:val="en-GB"/>
              </w:rPr>
              <w:t>Industry supply</w:t>
            </w:r>
          </w:p>
          <w:p w:rsidR="000215C5" w:rsidRPr="008D6A99" w:rsidRDefault="00703023">
            <w:pPr>
              <w:spacing w:after="120"/>
              <w:jc w:val="both"/>
              <w:rPr>
                <w:szCs w:val="24"/>
                <w:lang w:val="en-GB"/>
              </w:rPr>
            </w:pPr>
            <w:r w:rsidRPr="008D6A99">
              <w:rPr>
                <w:lang w:val="en-GB"/>
              </w:rPr>
              <w:t>Tourism and recreation</w:t>
            </w:r>
          </w:p>
          <w:p w:rsidR="000215C5" w:rsidRPr="008D6A99" w:rsidRDefault="00703023">
            <w:pPr>
              <w:spacing w:after="120"/>
              <w:jc w:val="both"/>
              <w:rPr>
                <w:szCs w:val="24"/>
                <w:lang w:val="en-GB"/>
              </w:rPr>
            </w:pPr>
            <w:r w:rsidRPr="008D6A99">
              <w:rPr>
                <w:lang w:val="en-GB"/>
              </w:rPr>
              <w:t>Transport - navigation / ports</w:t>
            </w:r>
          </w:p>
          <w:p w:rsidR="000215C5" w:rsidRPr="008D6A99" w:rsidRDefault="00703023">
            <w:pPr>
              <w:spacing w:after="120"/>
              <w:jc w:val="both"/>
              <w:rPr>
                <w:szCs w:val="24"/>
                <w:lang w:val="en-GB"/>
              </w:rPr>
            </w:pPr>
            <w:r w:rsidRPr="008D6A99">
              <w:rPr>
                <w:lang w:val="en-GB"/>
              </w:rPr>
              <w:t>Urban development - drinking water supply</w:t>
            </w:r>
          </w:p>
          <w:p w:rsidR="000215C5" w:rsidRPr="008D6A99" w:rsidRDefault="00703023">
            <w:pPr>
              <w:spacing w:after="120"/>
              <w:jc w:val="both"/>
              <w:rPr>
                <w:szCs w:val="24"/>
                <w:lang w:val="en-GB"/>
              </w:rPr>
            </w:pPr>
            <w:r w:rsidRPr="008D6A99">
              <w:rPr>
                <w:lang w:val="en-GB"/>
              </w:rPr>
              <w:t>Urban development - other use</w:t>
            </w:r>
          </w:p>
          <w:p w:rsidR="000215C5" w:rsidRPr="008D6A99" w:rsidRDefault="00703023">
            <w:pPr>
              <w:spacing w:after="120"/>
              <w:jc w:val="both"/>
              <w:rPr>
                <w:szCs w:val="24"/>
                <w:lang w:val="en-GB"/>
              </w:rPr>
            </w:pPr>
            <w:r w:rsidRPr="008D6A99">
              <w:rPr>
                <w:lang w:val="en-GB"/>
              </w:rPr>
              <w:t>Wider environment - nature protection and other ecological uses</w:t>
            </w:r>
          </w:p>
          <w:p w:rsidR="000215C5" w:rsidRPr="008D6A99" w:rsidRDefault="00703023">
            <w:pPr>
              <w:spacing w:after="120"/>
              <w:jc w:val="both"/>
              <w:rPr>
                <w:szCs w:val="24"/>
                <w:lang w:val="en-GB"/>
              </w:rPr>
            </w:pPr>
            <w:r w:rsidRPr="008D6A99">
              <w:rPr>
                <w:lang w:val="en-GB"/>
              </w:rPr>
              <w:t>Other</w:t>
            </w:r>
          </w:p>
          <w:p w:rsidR="000215C5" w:rsidRPr="008D6A99" w:rsidRDefault="00703023">
            <w:pPr>
              <w:spacing w:after="120"/>
              <w:jc w:val="both"/>
              <w:rPr>
                <w:szCs w:val="24"/>
                <w:lang w:val="en-GB"/>
              </w:rPr>
            </w:pPr>
            <w:r w:rsidRPr="008D6A99">
              <w:rPr>
                <w:lang w:val="en-GB"/>
              </w:rPr>
              <w:t>Unknown</w:t>
            </w:r>
          </w:p>
          <w:p w:rsidR="000215C5" w:rsidRPr="008D6A99" w:rsidRDefault="00703023">
            <w:pPr>
              <w:spacing w:after="120"/>
              <w:jc w:val="both"/>
              <w:rPr>
                <w:szCs w:val="24"/>
                <w:lang w:val="en-GB"/>
              </w:rPr>
            </w:pPr>
            <w:r w:rsidRPr="008D6A99">
              <w:rPr>
                <w:b/>
                <w:lang w:val="en-GB"/>
              </w:rPr>
              <w:t>Egenskaper</w:t>
            </w:r>
            <w:r w:rsidRPr="008D6A99">
              <w:rPr>
                <w:lang w:val="en-GB"/>
              </w:rPr>
              <w:t>: maxOccurs = unbounded minOccurs = 0</w:t>
            </w:r>
          </w:p>
          <w:p w:rsidR="000215C5" w:rsidRDefault="00703023">
            <w:pPr>
              <w:tabs>
                <w:tab w:val="left" w:pos="1643"/>
                <w:tab w:val="left" w:pos="1995"/>
                <w:tab w:val="left" w:pos="4503"/>
                <w:tab w:val="left" w:pos="8337"/>
              </w:tabs>
              <w:spacing w:after="120"/>
              <w:jc w:val="both"/>
              <w:rPr>
                <w:szCs w:val="24"/>
              </w:rPr>
            </w:pPr>
            <w:r>
              <w:rPr>
                <w:b/>
              </w:rPr>
              <w:t>Vägledning om hur man fyller i mallposten</w:t>
            </w:r>
            <w:r>
              <w:t>:</w:t>
            </w:r>
            <w:r>
              <w:rPr>
                <w:b/>
              </w:rPr>
              <w:t xml:space="preserve"> </w:t>
            </w:r>
            <w:r>
              <w:t>Villkorlig. Endast för kraftigt modifierade vattenförekomster: rapportera den vattenanvändning som vattenförekomsten har utsetts för.</w:t>
            </w:r>
          </w:p>
          <w:p w:rsidR="000215C5" w:rsidRDefault="00703023">
            <w:pPr>
              <w:tabs>
                <w:tab w:val="left" w:pos="1643"/>
                <w:tab w:val="left" w:pos="1995"/>
                <w:tab w:val="left" w:pos="4503"/>
                <w:tab w:val="left" w:pos="8337"/>
              </w:tabs>
              <w:spacing w:after="120"/>
              <w:jc w:val="both"/>
              <w:rPr>
                <w:b/>
                <w:szCs w:val="24"/>
              </w:rPr>
            </w:pPr>
            <w:r>
              <w:t xml:space="preserve">”Miljön i stort” kan betyda att vattenförekomster utses för att upprätthålla naturskyddade områden, arkeologiska utgrävningsplatser och kulturarv (se CIS-vägledningsdokument nr 4 – </w:t>
            </w:r>
            <w:r>
              <w:rPr>
                <w:i/>
              </w:rPr>
              <w:t>Identification and Designation of Heavily Modified and Artificial Water Bodies</w:t>
            </w:r>
            <w:r>
              <w:rPr>
                <w:rStyle w:val="Fotnotsreferens"/>
              </w:rPr>
              <w:footnoteReference w:id="26"/>
            </w:r>
            <w:r>
              <w:t xml:space="preserve">). </w:t>
            </w:r>
          </w:p>
          <w:p w:rsidR="000215C5" w:rsidRDefault="00703023">
            <w:pPr>
              <w:tabs>
                <w:tab w:val="left" w:pos="1643"/>
                <w:tab w:val="left" w:pos="1995"/>
                <w:tab w:val="left" w:pos="4503"/>
                <w:tab w:val="left" w:pos="8337"/>
              </w:tabs>
              <w:spacing w:after="120"/>
              <w:jc w:val="both"/>
              <w:rPr>
                <w:szCs w:val="24"/>
              </w:rPr>
            </w:pPr>
            <w:r>
              <w:rPr>
                <w:b/>
              </w:rPr>
              <w:t>Kvalitetskontroller</w:t>
            </w:r>
            <w:r>
              <w:t>: Villkorlig kontroll: Rapportera om naturalAWBHMWB är ”kraftigt modifierad”.</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b/>
                <w:szCs w:val="24"/>
              </w:rPr>
            </w:pPr>
            <w:r>
              <w:rPr>
                <w:b/>
              </w:rPr>
              <w:t>Mallpost</w:t>
            </w:r>
            <w:r>
              <w:t>:</w:t>
            </w:r>
            <w:r>
              <w:rPr>
                <w:b/>
              </w:rPr>
              <w:t xml:space="preserve"> </w:t>
            </w:r>
            <w:r>
              <w:t>hmwbPhysicalAlteration</w:t>
            </w:r>
          </w:p>
          <w:p w:rsidR="000215C5" w:rsidRDefault="00703023">
            <w:pPr>
              <w:spacing w:after="120"/>
              <w:jc w:val="both"/>
              <w:rPr>
                <w:szCs w:val="24"/>
              </w:rPr>
            </w:pPr>
            <w:r>
              <w:rPr>
                <w:b/>
              </w:rPr>
              <w:t>Fälttyp/alternativ/förhållande</w:t>
            </w:r>
            <w:r>
              <w:t>: HMWBPhysicalAlteration_Enum:</w:t>
            </w:r>
          </w:p>
          <w:p w:rsidR="000215C5" w:rsidRPr="008D6A99" w:rsidRDefault="00703023">
            <w:pPr>
              <w:spacing w:after="120"/>
              <w:jc w:val="both"/>
              <w:rPr>
                <w:szCs w:val="24"/>
                <w:lang w:val="en-GB"/>
              </w:rPr>
            </w:pPr>
            <w:r w:rsidRPr="008D6A99">
              <w:rPr>
                <w:lang w:val="en-GB"/>
              </w:rPr>
              <w:t>Locks</w:t>
            </w:r>
          </w:p>
          <w:p w:rsidR="000215C5" w:rsidRPr="008D6A99" w:rsidRDefault="00703023">
            <w:pPr>
              <w:spacing w:after="120"/>
              <w:jc w:val="both"/>
              <w:rPr>
                <w:szCs w:val="24"/>
                <w:lang w:val="en-GB"/>
              </w:rPr>
            </w:pPr>
            <w:r w:rsidRPr="008D6A99">
              <w:rPr>
                <w:lang w:val="en-GB"/>
              </w:rPr>
              <w:t>Weirs / dam / reservoir</w:t>
            </w:r>
          </w:p>
          <w:p w:rsidR="000215C5" w:rsidRPr="008D6A99" w:rsidRDefault="00703023">
            <w:pPr>
              <w:spacing w:after="120"/>
              <w:jc w:val="both"/>
              <w:rPr>
                <w:szCs w:val="24"/>
                <w:lang w:val="en-GB"/>
              </w:rPr>
            </w:pPr>
            <w:r w:rsidRPr="008D6A99">
              <w:rPr>
                <w:lang w:val="en-GB"/>
              </w:rPr>
              <w:t>Channelisation / straightening / bed stabilisation / bank reinforcement</w:t>
            </w:r>
          </w:p>
          <w:p w:rsidR="000215C5" w:rsidRPr="008D6A99" w:rsidRDefault="00703023">
            <w:pPr>
              <w:spacing w:after="120"/>
              <w:jc w:val="both"/>
              <w:rPr>
                <w:szCs w:val="24"/>
                <w:lang w:val="en-GB"/>
              </w:rPr>
            </w:pPr>
            <w:r w:rsidRPr="008D6A99">
              <w:rPr>
                <w:lang w:val="en-GB"/>
              </w:rPr>
              <w:t>Dredging / channel maintenance</w:t>
            </w:r>
          </w:p>
          <w:p w:rsidR="000215C5" w:rsidRPr="008D6A99" w:rsidRDefault="00703023">
            <w:pPr>
              <w:spacing w:after="120"/>
              <w:jc w:val="both"/>
              <w:rPr>
                <w:szCs w:val="24"/>
                <w:lang w:val="en-GB"/>
              </w:rPr>
            </w:pPr>
            <w:r w:rsidRPr="008D6A99">
              <w:rPr>
                <w:lang w:val="en-GB"/>
              </w:rPr>
              <w:t>Land reclamation / coastal modifications / ports</w:t>
            </w:r>
          </w:p>
          <w:p w:rsidR="000215C5" w:rsidRPr="00D95552" w:rsidRDefault="00703023">
            <w:pPr>
              <w:spacing w:after="120"/>
              <w:jc w:val="both"/>
              <w:rPr>
                <w:szCs w:val="24"/>
                <w:lang w:val="en-GB"/>
              </w:rPr>
            </w:pPr>
            <w:r w:rsidRPr="00D95552">
              <w:rPr>
                <w:lang w:val="en-GB"/>
              </w:rPr>
              <w:t>Land drainage</w:t>
            </w:r>
          </w:p>
          <w:p w:rsidR="000215C5" w:rsidRPr="00D95552" w:rsidRDefault="00703023">
            <w:pPr>
              <w:tabs>
                <w:tab w:val="left" w:pos="1643"/>
                <w:tab w:val="left" w:pos="1995"/>
                <w:tab w:val="left" w:pos="4503"/>
                <w:tab w:val="left" w:pos="8337"/>
              </w:tabs>
              <w:spacing w:after="120"/>
              <w:jc w:val="both"/>
              <w:rPr>
                <w:szCs w:val="24"/>
                <w:lang w:val="en-GB"/>
              </w:rPr>
            </w:pPr>
            <w:r w:rsidRPr="00D95552">
              <w:rPr>
                <w:lang w:val="en-GB"/>
              </w:rPr>
              <w:t>Other</w:t>
            </w:r>
          </w:p>
          <w:p w:rsidR="000215C5" w:rsidRPr="00D95552" w:rsidRDefault="00703023">
            <w:pPr>
              <w:tabs>
                <w:tab w:val="left" w:pos="1643"/>
                <w:tab w:val="left" w:pos="1995"/>
                <w:tab w:val="left" w:pos="4503"/>
                <w:tab w:val="left" w:pos="8337"/>
              </w:tabs>
              <w:spacing w:after="120"/>
              <w:jc w:val="both"/>
              <w:rPr>
                <w:szCs w:val="24"/>
                <w:lang w:val="en-GB"/>
              </w:rPr>
            </w:pPr>
            <w:r w:rsidRPr="00D95552">
              <w:rPr>
                <w:b/>
                <w:lang w:val="en-GB"/>
              </w:rPr>
              <w:t>Egenskaper</w:t>
            </w:r>
            <w:r w:rsidRPr="00D95552">
              <w:rPr>
                <w:lang w:val="en-GB"/>
              </w:rPr>
              <w:t>: maxOccurs = unbounded mixOccurs: 0</w:t>
            </w:r>
          </w:p>
          <w:p w:rsidR="000215C5" w:rsidRDefault="00703023">
            <w:pPr>
              <w:tabs>
                <w:tab w:val="left" w:pos="1643"/>
                <w:tab w:val="left" w:pos="1995"/>
                <w:tab w:val="left" w:pos="4503"/>
                <w:tab w:val="left" w:pos="8337"/>
              </w:tabs>
              <w:spacing w:after="120"/>
              <w:jc w:val="both"/>
              <w:rPr>
                <w:szCs w:val="24"/>
              </w:rPr>
            </w:pPr>
            <w:r>
              <w:rPr>
                <w:b/>
              </w:rPr>
              <w:t>Vägledning om hur man fyller i mallposten</w:t>
            </w:r>
            <w:r>
              <w:t>:</w:t>
            </w:r>
            <w:r>
              <w:rPr>
                <w:b/>
              </w:rPr>
              <w:t xml:space="preserve"> </w:t>
            </w:r>
            <w:r>
              <w:t>Villkorlig. Endast för kraftigt modifierade vattenförekomster: rapportera fysiska ändringar som har lett till att vattenförekomsten har klassificerats som kraftigt modifierad vattenförekomst. När det gäller klassificering avser fysiska ändringar alla större ändringar som har lett till betydande ändringar av ytvattenförekomstens hydromorfologi så att ytvattenförekomstens karaktär har ändrats väsentligt. Sådana hydromorfologiska egenskaper är vanligen långsiktiga och ändrar både de morfologiska och hydrologiska egenskaperna. Ytterligare vägledning om begreppen finns i ordlistan nedan.</w:t>
            </w:r>
          </w:p>
          <w:p w:rsidR="000215C5" w:rsidRDefault="00703023">
            <w:pPr>
              <w:tabs>
                <w:tab w:val="left" w:pos="1643"/>
                <w:tab w:val="left" w:pos="1995"/>
                <w:tab w:val="left" w:pos="4503"/>
                <w:tab w:val="left" w:pos="8337"/>
              </w:tabs>
              <w:spacing w:after="120"/>
              <w:jc w:val="both"/>
              <w:rPr>
                <w:b/>
                <w:szCs w:val="24"/>
              </w:rPr>
            </w:pPr>
            <w:r>
              <w:rPr>
                <w:b/>
              </w:rPr>
              <w:t>Kvalitetskontroller</w:t>
            </w:r>
            <w:r>
              <w:t>:</w:t>
            </w:r>
            <w:r>
              <w:rPr>
                <w:b/>
              </w:rPr>
              <w:t xml:space="preserve"> </w:t>
            </w:r>
            <w:r>
              <w:t>Villkorlig kontroll:</w:t>
            </w:r>
            <w:r>
              <w:rPr>
                <w:b/>
              </w:rPr>
              <w:t xml:space="preserve"> </w:t>
            </w:r>
            <w:r>
              <w:t>Rapportera om naturalAWBHMWB är ”kraftigt modifierad”.</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szCs w:val="24"/>
              </w:rPr>
            </w:pPr>
            <w:r>
              <w:rPr>
                <w:b/>
              </w:rPr>
              <w:t>Mallpost</w:t>
            </w:r>
            <w:r>
              <w:t>:</w:t>
            </w:r>
            <w:r>
              <w:rPr>
                <w:b/>
              </w:rPr>
              <w:t xml:space="preserve"> </w:t>
            </w:r>
            <w:r>
              <w:t>reservoir</w:t>
            </w:r>
          </w:p>
          <w:p w:rsidR="000215C5" w:rsidRDefault="00703023">
            <w:pPr>
              <w:tabs>
                <w:tab w:val="left" w:pos="1643"/>
                <w:tab w:val="left" w:pos="1995"/>
                <w:tab w:val="left" w:pos="4503"/>
                <w:tab w:val="left" w:pos="8337"/>
              </w:tabs>
              <w:spacing w:after="120"/>
              <w:jc w:val="both"/>
              <w:rPr>
                <w:szCs w:val="24"/>
              </w:rPr>
            </w:pPr>
            <w:r>
              <w:rPr>
                <w:b/>
              </w:rPr>
              <w:t>Fälttyp/alternativ/förhållande</w:t>
            </w:r>
            <w:r>
              <w:t>: YesNoUnclearReservoir_Enum:</w:t>
            </w:r>
          </w:p>
          <w:p w:rsidR="000215C5" w:rsidRPr="008D6A99" w:rsidRDefault="00703023">
            <w:pPr>
              <w:tabs>
                <w:tab w:val="left" w:pos="1643"/>
                <w:tab w:val="left" w:pos="1995"/>
                <w:tab w:val="left" w:pos="4503"/>
                <w:tab w:val="left" w:pos="8337"/>
              </w:tabs>
              <w:spacing w:after="120"/>
              <w:jc w:val="both"/>
              <w:rPr>
                <w:szCs w:val="24"/>
                <w:lang w:val="en-GB"/>
              </w:rPr>
            </w:pPr>
            <w:r w:rsidRPr="008D6A99">
              <w:rPr>
                <w:lang w:val="en-GB"/>
              </w:rPr>
              <w:t>Yes, it is a reservoir and the water body was originally a river</w:t>
            </w:r>
          </w:p>
          <w:p w:rsidR="000215C5" w:rsidRPr="008D6A99" w:rsidRDefault="00703023">
            <w:pPr>
              <w:tabs>
                <w:tab w:val="left" w:pos="1643"/>
                <w:tab w:val="left" w:pos="1995"/>
                <w:tab w:val="left" w:pos="4503"/>
                <w:tab w:val="left" w:pos="8337"/>
              </w:tabs>
              <w:spacing w:after="120"/>
              <w:jc w:val="both"/>
              <w:rPr>
                <w:szCs w:val="24"/>
                <w:lang w:val="en-GB"/>
              </w:rPr>
            </w:pPr>
            <w:r w:rsidRPr="008D6A99">
              <w:rPr>
                <w:lang w:val="en-GB"/>
              </w:rPr>
              <w:t>No, it is a reservoir but the water body was originally a lake</w:t>
            </w:r>
          </w:p>
          <w:p w:rsidR="000215C5" w:rsidRPr="008D6A99" w:rsidRDefault="00703023">
            <w:pPr>
              <w:tabs>
                <w:tab w:val="left" w:pos="1643"/>
                <w:tab w:val="left" w:pos="1995"/>
                <w:tab w:val="left" w:pos="4503"/>
                <w:tab w:val="left" w:pos="8337"/>
              </w:tabs>
              <w:spacing w:after="120"/>
              <w:jc w:val="both"/>
              <w:rPr>
                <w:szCs w:val="24"/>
                <w:lang w:val="en-GB"/>
              </w:rPr>
            </w:pPr>
            <w:r w:rsidRPr="008D6A99">
              <w:rPr>
                <w:lang w:val="en-GB"/>
              </w:rPr>
              <w:t>Unclear, it is a reservoir but originally included chained rivers and lakes</w:t>
            </w:r>
          </w:p>
          <w:p w:rsidR="000215C5" w:rsidRPr="008D6A99" w:rsidRDefault="00703023">
            <w:pPr>
              <w:tabs>
                <w:tab w:val="left" w:pos="1643"/>
                <w:tab w:val="left" w:pos="1995"/>
                <w:tab w:val="left" w:pos="4503"/>
                <w:tab w:val="left" w:pos="8337"/>
              </w:tabs>
              <w:spacing w:after="120"/>
              <w:jc w:val="both"/>
              <w:rPr>
                <w:szCs w:val="24"/>
                <w:lang w:val="en-GB"/>
              </w:rPr>
            </w:pPr>
            <w:r w:rsidRPr="008D6A99">
              <w:rPr>
                <w:lang w:val="en-GB"/>
              </w:rPr>
              <w:t>The water body is not a reservoir</w:t>
            </w:r>
          </w:p>
          <w:p w:rsidR="000215C5" w:rsidRDefault="00703023">
            <w:pPr>
              <w:tabs>
                <w:tab w:val="left" w:pos="1643"/>
                <w:tab w:val="left" w:pos="1995"/>
                <w:tab w:val="left" w:pos="4503"/>
                <w:tab w:val="left" w:pos="8337"/>
              </w:tabs>
              <w:spacing w:after="120"/>
              <w:jc w:val="both"/>
              <w:rPr>
                <w:szCs w:val="24"/>
              </w:rPr>
            </w:pPr>
            <w:r>
              <w:rPr>
                <w:b/>
              </w:rPr>
              <w:t>Egenskaper</w:t>
            </w:r>
            <w:r>
              <w:t>: maxOccurs = 1 mixOccurs: 0</w:t>
            </w:r>
          </w:p>
          <w:p w:rsidR="000215C5" w:rsidRDefault="00703023">
            <w:pPr>
              <w:tabs>
                <w:tab w:val="left" w:pos="1643"/>
                <w:tab w:val="left" w:pos="1995"/>
                <w:tab w:val="left" w:pos="4503"/>
                <w:tab w:val="left" w:pos="8337"/>
              </w:tabs>
              <w:spacing w:after="120"/>
              <w:jc w:val="both"/>
              <w:rPr>
                <w:szCs w:val="24"/>
              </w:rPr>
            </w:pPr>
            <w:r>
              <w:rPr>
                <w:b/>
              </w:rPr>
              <w:t>Vägledning om hur man fyller i mallposten</w:t>
            </w:r>
            <w:r>
              <w:t>: Villkorlig. För kraftigt modifierade vattenförekomster som är floder eller sjöar: ange om vattenförekomsten är ett magasin som har skapats genom uppdämning av en flod (”Yes, it is a reservoir and the water body was originally a river”) eller en befintlig sjö (”No, it is a reservoir but the water body was originally a lake”).</w:t>
            </w:r>
          </w:p>
          <w:p w:rsidR="000215C5" w:rsidRDefault="00703023">
            <w:pPr>
              <w:tabs>
                <w:tab w:val="left" w:pos="1643"/>
                <w:tab w:val="left" w:pos="1995"/>
                <w:tab w:val="left" w:pos="4503"/>
                <w:tab w:val="left" w:pos="8337"/>
              </w:tabs>
              <w:spacing w:after="120"/>
              <w:jc w:val="both"/>
              <w:rPr>
                <w:b/>
                <w:szCs w:val="24"/>
              </w:rPr>
            </w:pPr>
            <w:r>
              <w:t>Det rekommenderas att magasin som anlagts genom uppdämning av floder rapporteras som kraftigt modifierade vattenförekomster. Medlemsstaterna kan dock välja att rapportera magasin som anlagts genom uppdämning av floder som sjöar om de så önskar. Mallposten ”reservoir” måste rapporteras så att medlemsstaten kan klargöra klassificeringen.</w:t>
            </w:r>
          </w:p>
          <w:p w:rsidR="000215C5" w:rsidRDefault="00703023">
            <w:pPr>
              <w:tabs>
                <w:tab w:val="left" w:pos="1643"/>
                <w:tab w:val="left" w:pos="1995"/>
                <w:tab w:val="left" w:pos="4503"/>
                <w:tab w:val="left" w:pos="8337"/>
              </w:tabs>
              <w:spacing w:after="120"/>
              <w:jc w:val="both"/>
              <w:rPr>
                <w:szCs w:val="24"/>
              </w:rPr>
            </w:pPr>
            <w:r>
              <w:t>”Yes, it is a reservoir and the water body was originally a river” = välj endast detta alternativ om hela ytvattenförekomsten utgör ett magasin (eller en del av ett magasin) som anlagts genom uppdämning av en flod (surfaceWaterBodyCategory måste rapporteras som ”RW” och naturalAWBHMWB som ”Heavily Modified”).</w:t>
            </w:r>
          </w:p>
          <w:p w:rsidR="000215C5" w:rsidRDefault="00703023">
            <w:pPr>
              <w:tabs>
                <w:tab w:val="left" w:pos="1643"/>
                <w:tab w:val="left" w:pos="1995"/>
                <w:tab w:val="left" w:pos="4503"/>
                <w:tab w:val="left" w:pos="8337"/>
              </w:tabs>
              <w:spacing w:after="120"/>
              <w:jc w:val="both"/>
              <w:rPr>
                <w:szCs w:val="24"/>
              </w:rPr>
            </w:pPr>
            <w:r>
              <w:t>”No, it is a reservoir but the water body was originally a lake” = välj detta alternativ om hela ytvattenförekomsten utgör ett magasin (eller en del av ett magasin) som anlagts genom ändring av en befintlig sjö, eller om ytvattenförekomsten omfattar små magasin som inte är stora nog för att identifieras som separata ytvattenförekomster (surfaceWaterBodyCategory måste rapporteras som ”LW” och naturalAWBHMWB som ”Heavily Modified”).</w:t>
            </w:r>
          </w:p>
          <w:p w:rsidR="000215C5" w:rsidRDefault="00703023">
            <w:pPr>
              <w:tabs>
                <w:tab w:val="left" w:pos="1643"/>
                <w:tab w:val="left" w:pos="1995"/>
                <w:tab w:val="left" w:pos="4503"/>
                <w:tab w:val="left" w:pos="8337"/>
              </w:tabs>
              <w:spacing w:after="120"/>
              <w:jc w:val="both"/>
              <w:rPr>
                <w:szCs w:val="24"/>
              </w:rPr>
            </w:pPr>
            <w:r>
              <w:t>”Unclear, it is a reservoir but originally included chained rivers and lakes” = välj detta alternativ om magasinet har anlagts genom uppdämning av en vattenförekomst som ingår i sammanbundna floder och sjöar (surfaceWaterBodyCategory måste rapporteras som ”RW” eller ”LW” och naturalAWBHMWB som ”Heavily Modified”).</w:t>
            </w:r>
          </w:p>
          <w:p w:rsidR="000215C5" w:rsidRDefault="00703023">
            <w:pPr>
              <w:tabs>
                <w:tab w:val="left" w:pos="1643"/>
                <w:tab w:val="left" w:pos="1995"/>
                <w:tab w:val="left" w:pos="4503"/>
                <w:tab w:val="left" w:pos="8337"/>
              </w:tabs>
              <w:spacing w:after="120"/>
              <w:jc w:val="both"/>
              <w:rPr>
                <w:szCs w:val="24"/>
              </w:rPr>
            </w:pPr>
            <w:r>
              <w:t>”The water body is not a reservoir” = anger att floden eller sjön inte är ett magasin.</w:t>
            </w:r>
          </w:p>
          <w:p w:rsidR="000215C5" w:rsidRDefault="00703023">
            <w:pPr>
              <w:tabs>
                <w:tab w:val="left" w:pos="1643"/>
                <w:tab w:val="left" w:pos="1995"/>
                <w:tab w:val="left" w:pos="4503"/>
                <w:tab w:val="left" w:pos="8337"/>
              </w:tabs>
              <w:spacing w:after="120"/>
              <w:jc w:val="both"/>
              <w:rPr>
                <w:szCs w:val="24"/>
              </w:rPr>
            </w:pPr>
            <w:r>
              <w:rPr>
                <w:b/>
              </w:rPr>
              <w:t>Kvalitetskontroller</w:t>
            </w:r>
            <w:r>
              <w:t>: Villkorlig kontroll: Rapportera om surfaceWaterBodyCategory är ”RW” eller ”LW” OCH naturalHeavilyModified är ”Heavily Modified”.</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b/>
                <w:szCs w:val="24"/>
              </w:rPr>
            </w:pPr>
            <w:r>
              <w:rPr>
                <w:b/>
              </w:rPr>
              <w:t>Mallpost</w:t>
            </w:r>
            <w:r>
              <w:t>:</w:t>
            </w:r>
            <w:r>
              <w:rPr>
                <w:b/>
              </w:rPr>
              <w:t xml:space="preserve"> </w:t>
            </w:r>
            <w:r>
              <w:t>surfaceWaterBodyTypeCode</w:t>
            </w:r>
          </w:p>
          <w:p w:rsidR="000215C5" w:rsidRDefault="00703023">
            <w:pPr>
              <w:tabs>
                <w:tab w:val="left" w:pos="1643"/>
                <w:tab w:val="left" w:pos="1995"/>
                <w:tab w:val="left" w:pos="2730"/>
              </w:tabs>
              <w:spacing w:after="120"/>
              <w:jc w:val="both"/>
              <w:rPr>
                <w:szCs w:val="24"/>
              </w:rPr>
            </w:pPr>
            <w:r>
              <w:rPr>
                <w:b/>
              </w:rPr>
              <w:t>Fälttyp/alternativ/förhållande</w:t>
            </w:r>
            <w:r>
              <w:t>: String100Type</w:t>
            </w:r>
          </w:p>
          <w:p w:rsidR="000215C5" w:rsidRDefault="00703023">
            <w:pPr>
              <w:tabs>
                <w:tab w:val="left" w:pos="1643"/>
                <w:tab w:val="left" w:pos="1995"/>
                <w:tab w:val="left" w:pos="2730"/>
              </w:tabs>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Medlemsstatens kod för ytvattenförekomstens karakteriseringstyp som den rapporterats i mallen för metoder för ytvattenförekomster (SWMET) och förvaltningsplanens bakgrundsdokument.</w:t>
            </w:r>
          </w:p>
          <w:p w:rsidR="000215C5" w:rsidRDefault="00703023">
            <w:pPr>
              <w:spacing w:after="120"/>
              <w:jc w:val="both"/>
              <w:rPr>
                <w:szCs w:val="24"/>
              </w:rPr>
            </w:pPr>
            <w:r>
              <w:t>Rapportera ”Not applicable” för territorialvatten.</w:t>
            </w:r>
          </w:p>
          <w:p w:rsidR="000215C5" w:rsidRDefault="00703023">
            <w:pPr>
              <w:tabs>
                <w:tab w:val="left" w:pos="1643"/>
                <w:tab w:val="left" w:pos="1995"/>
                <w:tab w:val="left" w:pos="4503"/>
                <w:tab w:val="left" w:pos="8337"/>
              </w:tabs>
              <w:spacing w:after="120"/>
              <w:jc w:val="both"/>
              <w:rPr>
                <w:szCs w:val="24"/>
              </w:rPr>
            </w:pPr>
            <w:r>
              <w:rPr>
                <w:b/>
              </w:rPr>
              <w:t>Kvalitetskontroller</w:t>
            </w:r>
            <w:r>
              <w:t xml:space="preserve">: </w:t>
            </w:r>
          </w:p>
          <w:p w:rsidR="000215C5" w:rsidRDefault="00703023">
            <w:pPr>
              <w:tabs>
                <w:tab w:val="left" w:pos="1643"/>
                <w:tab w:val="left" w:pos="1995"/>
                <w:tab w:val="left" w:pos="4503"/>
                <w:tab w:val="left" w:pos="8337"/>
              </w:tabs>
              <w:spacing w:after="120"/>
              <w:jc w:val="both"/>
              <w:rPr>
                <w:szCs w:val="24"/>
              </w:rPr>
            </w:pPr>
            <w:r>
              <w:t>Intern kontroll: ”Ej tillämpligt” bör endast rapporteras om surfaceWaterBodyCategory är ”TeW”.</w:t>
            </w:r>
          </w:p>
          <w:p w:rsidR="000215C5" w:rsidRDefault="00703023">
            <w:pPr>
              <w:tabs>
                <w:tab w:val="left" w:pos="1643"/>
                <w:tab w:val="left" w:pos="1995"/>
                <w:tab w:val="left" w:pos="4503"/>
                <w:tab w:val="left" w:pos="8337"/>
              </w:tabs>
              <w:spacing w:after="120"/>
              <w:jc w:val="both"/>
              <w:rPr>
                <w:szCs w:val="24"/>
              </w:rPr>
            </w:pPr>
            <w:r>
              <w:t xml:space="preserve">Dubbelkontroll av mallen: Den rapporterade surfaceWaterBodyTypeCode måste överensstämma med de koder som rapporteras i </w:t>
            </w:r>
            <w:r>
              <w:rPr>
                <w:i/>
              </w:rPr>
              <w:t>SWMET</w:t>
            </w:r>
            <w:r>
              <w:t>/</w:t>
            </w:r>
            <w:r>
              <w:rPr>
                <w:i/>
              </w:rPr>
              <w:t>SWType</w:t>
            </w:r>
            <w:r>
              <w:t>/swTypeCode.</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b/>
                <w:szCs w:val="24"/>
              </w:rPr>
            </w:pPr>
            <w:r>
              <w:rPr>
                <w:b/>
              </w:rPr>
              <w:t>Mallpost</w:t>
            </w:r>
            <w:r>
              <w:t>:</w:t>
            </w:r>
            <w:r>
              <w:rPr>
                <w:b/>
              </w:rPr>
              <w:t xml:space="preserve"> </w:t>
            </w:r>
            <w:r>
              <w:t>surfaceWaterBodyIntercalibrationType</w:t>
            </w:r>
          </w:p>
          <w:p w:rsidR="000215C5" w:rsidRDefault="00703023">
            <w:pPr>
              <w:tabs>
                <w:tab w:val="left" w:pos="1643"/>
                <w:tab w:val="left" w:pos="1995"/>
                <w:tab w:val="left" w:pos="4503"/>
                <w:tab w:val="left" w:pos="8337"/>
              </w:tabs>
              <w:spacing w:after="120"/>
              <w:jc w:val="both"/>
              <w:rPr>
                <w:szCs w:val="24"/>
              </w:rPr>
            </w:pPr>
            <w:r>
              <w:rPr>
                <w:b/>
              </w:rPr>
              <w:t>Fälttyp/alternativ/förhållande</w:t>
            </w:r>
            <w:r>
              <w:t>: SWIntercalibrationType_Enum (se bilaga 8a)</w:t>
            </w:r>
          </w:p>
          <w:p w:rsidR="000215C5" w:rsidRDefault="00703023">
            <w:pPr>
              <w:tabs>
                <w:tab w:val="left" w:pos="1643"/>
                <w:tab w:val="left" w:pos="1995"/>
                <w:tab w:val="left" w:pos="4503"/>
                <w:tab w:val="left" w:pos="8337"/>
              </w:tabs>
              <w:spacing w:after="120"/>
              <w:jc w:val="both"/>
              <w:rPr>
                <w:szCs w:val="24"/>
              </w:rPr>
            </w:pPr>
            <w:r>
              <w:rPr>
                <w:b/>
              </w:rPr>
              <w:t>Egenskaper</w:t>
            </w:r>
            <w:r>
              <w:t>: maxOccurs = unbounded minOccurs = 1</w:t>
            </w:r>
          </w:p>
          <w:p w:rsidR="000215C5" w:rsidRDefault="00703023">
            <w:pPr>
              <w:tabs>
                <w:tab w:val="left" w:pos="1643"/>
                <w:tab w:val="left" w:pos="1995"/>
                <w:tab w:val="left" w:pos="4503"/>
                <w:tab w:val="left" w:pos="8337"/>
              </w:tabs>
              <w:spacing w:after="120"/>
              <w:jc w:val="both"/>
              <w:rPr>
                <w:szCs w:val="24"/>
              </w:rPr>
            </w:pPr>
            <w:r>
              <w:rPr>
                <w:b/>
              </w:rPr>
              <w:t>Vägledning om hur man fyller i mallposten</w:t>
            </w:r>
            <w:r>
              <w:t>:</w:t>
            </w:r>
            <w:r>
              <w:rPr>
                <w:b/>
              </w:rPr>
              <w:t xml:space="preserve"> </w:t>
            </w:r>
            <w:r>
              <w:t>Krävs. Om typen av ytvattenförekomst motsvarar en interkalibreringstyp, rapportera interkalibreringens typkod (inte namn).</w:t>
            </w:r>
          </w:p>
          <w:p w:rsidR="000215C5" w:rsidRDefault="00703023">
            <w:pPr>
              <w:spacing w:after="120"/>
              <w:jc w:val="both"/>
              <w:rPr>
                <w:szCs w:val="24"/>
              </w:rPr>
            </w:pPr>
            <w:r>
              <w:t>Den interkalibreringstyp som rapporteras i denna post måste motsvara ytvattenförekomstens kategori.</w:t>
            </w:r>
          </w:p>
          <w:p w:rsidR="000215C5" w:rsidRDefault="00703023">
            <w:pPr>
              <w:spacing w:after="120"/>
              <w:jc w:val="both"/>
              <w:rPr>
                <w:szCs w:val="24"/>
              </w:rPr>
            </w:pPr>
            <w:r>
              <w:t>Välj ”Not applicable” om det inte finns någon motsvarande interkalibreringstyp.</w:t>
            </w:r>
          </w:p>
          <w:p w:rsidR="000215C5" w:rsidRDefault="00703023">
            <w:pPr>
              <w:spacing w:after="120"/>
              <w:jc w:val="both"/>
              <w:rPr>
                <w:szCs w:val="24"/>
              </w:rPr>
            </w:pPr>
            <w:r>
              <w:t>Rapportera ”Not applicable” för territorialvatten.</w:t>
            </w:r>
          </w:p>
          <w:p w:rsidR="000215C5" w:rsidRDefault="00703023">
            <w:pPr>
              <w:tabs>
                <w:tab w:val="left" w:pos="1643"/>
                <w:tab w:val="left" w:pos="1995"/>
                <w:tab w:val="left" w:pos="4503"/>
                <w:tab w:val="left" w:pos="8337"/>
              </w:tabs>
              <w:spacing w:after="120"/>
              <w:jc w:val="both"/>
              <w:rPr>
                <w:szCs w:val="24"/>
              </w:rPr>
            </w:pPr>
            <w:r>
              <w:rPr>
                <w:b/>
              </w:rPr>
              <w:t>Kvalitetskontroller</w:t>
            </w:r>
            <w:r>
              <w:t>: Intern kontroll: ”Not applicable” bör endast rapporteras om SurfaceWaterBodyCategory är ”TeW”.</w:t>
            </w:r>
          </w:p>
          <w:p w:rsidR="000215C5" w:rsidRDefault="00703023">
            <w:pPr>
              <w:tabs>
                <w:tab w:val="left" w:pos="1643"/>
                <w:tab w:val="left" w:pos="1995"/>
                <w:tab w:val="left" w:pos="4503"/>
                <w:tab w:val="left" w:pos="8337"/>
              </w:tabs>
              <w:spacing w:after="120"/>
              <w:jc w:val="both"/>
              <w:rPr>
                <w:b/>
                <w:szCs w:val="24"/>
              </w:rPr>
            </w:pPr>
            <w:r>
              <w:t xml:space="preserve">Dubbelkontroll av mallen: SurfaceWaterBodyIntercalibrationType måste överensstämma med de koder som rapporteras i </w:t>
            </w:r>
            <w:r>
              <w:rPr>
                <w:i/>
              </w:rPr>
              <w:t>SWMET/</w:t>
            </w:r>
            <w:r>
              <w:t>IntercalibrationType</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surfaceWaterBodyTransboundary</w:t>
            </w:r>
          </w:p>
          <w:p w:rsidR="000215C5" w:rsidRDefault="00703023">
            <w:pPr>
              <w:spacing w:after="120"/>
              <w:jc w:val="both"/>
              <w:rPr>
                <w:szCs w:val="24"/>
              </w:rPr>
            </w:pPr>
            <w:r>
              <w:rPr>
                <w:b/>
              </w:rPr>
              <w:t>Fälttyp/alternativ/förhållande</w:t>
            </w:r>
            <w:r>
              <w:t>: YesNoNotApplicable_Union_Enum: Yes, No, Not applicable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w:t>
            </w:r>
          </w:p>
          <w:p w:rsidR="000215C5" w:rsidRDefault="00703023">
            <w:pPr>
              <w:spacing w:after="120"/>
              <w:jc w:val="both"/>
              <w:rPr>
                <w:szCs w:val="24"/>
              </w:rPr>
            </w:pPr>
            <w:r>
              <w:t xml:space="preserve">Enligt direktivet ska medlemsstaterna samordna förvaltningen av gränsöverskridande vattenförekomster. Gränsöverskridande vattenförekomster är vattenförekomster som korsar gränser mellan länder eller utgör en del av gränsen mellan två länder för en viss längd. </w:t>
            </w:r>
          </w:p>
          <w:p w:rsidR="000215C5" w:rsidRDefault="00703023">
            <w:pPr>
              <w:spacing w:after="120"/>
              <w:jc w:val="both"/>
              <w:rPr>
                <w:szCs w:val="24"/>
              </w:rPr>
            </w:pPr>
            <w:r>
              <w:t>För rapporteringsändamål och när det gäller vattenförekomster som korsar gränser mellan länder bör varje medlemsstat för tydlighetens skull rapportera sin egen del av dessa gränsöverskridande vattenförekomster. Geografisk information bör därför lämnas för varje del av vattenförekomsten inom den rapporterande medlemsstatens gränser och likaså för alla faktorer med en tydlig geografisk hänvisning (t.ex. storlek, övervakningsstationer). Varje medlemsstat bör dessutom rapportera alla faktorer som gäller hela vattenförekomsten (status, påverkan osv.). I det senare fallet förväntar sig kommissionen att alla berörda medlemsstater lämnar identisk information, eftersom direktivet kräver samordnad förvaltning.</w:t>
            </w:r>
          </w:p>
          <w:p w:rsidR="000215C5" w:rsidRDefault="00703023">
            <w:pPr>
              <w:spacing w:after="120"/>
              <w:jc w:val="both"/>
              <w:rPr>
                <w:szCs w:val="24"/>
              </w:rPr>
            </w:pPr>
            <w:r>
              <w:t>Samma principer gäller för vattenförekomster som utgör en del av gränsen mellan två länder. När det gäller floder som representeras av linjer måste samma linje rapporteras av båda de berörda medlemsstaterna. De ska alltså inte rapportera olika men angränsande områden, vilket t.ex. görs för sjöar som sträcker sig över gränser.</w:t>
            </w:r>
          </w:p>
          <w:p w:rsidR="000215C5" w:rsidRDefault="00703023">
            <w:pPr>
              <w:spacing w:after="120"/>
              <w:jc w:val="both"/>
              <w:rPr>
                <w:szCs w:val="24"/>
              </w:rPr>
            </w:pPr>
            <w:r>
              <w:t>Ej tillämpligt på territorialvatten.</w:t>
            </w:r>
          </w:p>
          <w:p w:rsidR="000215C5" w:rsidRDefault="00703023">
            <w:pPr>
              <w:spacing w:after="120"/>
              <w:jc w:val="both"/>
              <w:rPr>
                <w:b/>
                <w:szCs w:val="24"/>
              </w:rPr>
            </w:pPr>
            <w:r>
              <w:rPr>
                <w:b/>
              </w:rPr>
              <w:t>Kvalitetskontroller</w:t>
            </w:r>
            <w:r>
              <w:t>: Intern kontroll: ”Not applicable” bör endast rapporteras om SurfaceWaterBodyCategory är ”TeW”.</w:t>
            </w:r>
          </w:p>
        </w:tc>
      </w:tr>
      <w:tr w:rsidR="000215C5">
        <w:tc>
          <w:tcPr>
            <w:tcW w:w="9889" w:type="dxa"/>
            <w:shd w:val="clear" w:color="auto" w:fill="auto"/>
          </w:tcPr>
          <w:p w:rsidR="000215C5" w:rsidRDefault="00703023">
            <w:pPr>
              <w:spacing w:after="120"/>
              <w:jc w:val="both"/>
              <w:rPr>
                <w:b/>
                <w:szCs w:val="24"/>
              </w:rPr>
            </w:pPr>
            <w:r>
              <w:rPr>
                <w:b/>
              </w:rPr>
              <w:t>Mallpost</w:t>
            </w:r>
            <w:r>
              <w:t>: swAssociatedProtectedArea</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om ytvattenförekomsten har anknytning till ett skyddat område.</w:t>
            </w:r>
          </w:p>
        </w:tc>
      </w:tr>
    </w:tbl>
    <w:p w:rsidR="000215C5" w:rsidRDefault="000215C5">
      <w:pPr>
        <w:jc w:val="both"/>
      </w:pPr>
    </w:p>
    <w:p w:rsidR="000215C5" w:rsidRDefault="00703023">
      <w:pPr>
        <w:pStyle w:val="Rubrik4"/>
      </w:pPr>
      <w:bookmarkStart w:id="113" w:name="_Ref382295678"/>
      <w:r>
        <w:t>GIS-information:</w:t>
      </w:r>
      <w:bookmarkEnd w:id="113"/>
      <w:r>
        <w:t xml:space="preserve"> </w:t>
      </w:r>
    </w:p>
    <w:p w:rsidR="000215C5" w:rsidRDefault="00703023">
      <w:pPr>
        <w:jc w:val="both"/>
      </w:pPr>
      <w:r>
        <w:t xml:space="preserve">GIS-information ska rapporteras i filformatet GML (se bilaga 5 för närmare information) för </w:t>
      </w:r>
      <w:r>
        <w:rPr>
          <w:b/>
        </w:rPr>
        <w:t>alla floder</w:t>
      </w:r>
      <w:r>
        <w:t xml:space="preserve">, inte bara de största floderna, vilket var fallet 2010. </w:t>
      </w:r>
    </w:p>
    <w:p w:rsidR="000215C5" w:rsidRDefault="00703023">
      <w:pPr>
        <w:jc w:val="both"/>
      </w:pPr>
      <w:r>
        <w:t>Se bilaga 5 (GIS-vägledning) för närmare information och specifika</w:t>
      </w:r>
      <w:r w:rsidR="00661070">
        <w:t>tioner om rapporteringen av GIS</w:t>
      </w:r>
      <w:r w:rsidR="00661070">
        <w:noBreakHyphen/>
      </w:r>
      <w:r>
        <w:t>data, inklusive rapportering om delade vattenförekomster.</w:t>
      </w:r>
    </w:p>
    <w:p w:rsidR="000215C5" w:rsidRDefault="00703023">
      <w:pPr>
        <w:pStyle w:val="Rubrik4"/>
      </w:pPr>
      <w:r>
        <w:t>Vägledning om innehållet i förvaltningsplanerna för avrinningsdistrikt/bakgrundsdokument</w:t>
      </w:r>
    </w:p>
    <w:p w:rsidR="000215C5" w:rsidRDefault="00703023">
      <w:pPr>
        <w:jc w:val="both"/>
      </w:pPr>
      <w:r>
        <w:t>Se mallen SWMET för den information som krävs om karakteriseringsmetoder.</w:t>
      </w:r>
    </w:p>
    <w:p w:rsidR="000215C5" w:rsidRDefault="00703023">
      <w:pPr>
        <w:pStyle w:val="Rubrik4"/>
      </w:pPr>
      <w:r>
        <w:t>Ordlista: förtydligande av begrepp och rapporteringskrav</w:t>
      </w:r>
    </w:p>
    <w:p w:rsidR="000215C5" w:rsidRDefault="00703023">
      <w:pPr>
        <w:jc w:val="both"/>
      </w:pPr>
      <w:r>
        <w:t xml:space="preserve">Vissa medlemsstater som har ett stort antal ytvattenförekomster med låg påverkan </w:t>
      </w:r>
      <w:r>
        <w:rPr>
          <w:b/>
        </w:rPr>
        <w:t>grupperar ytvattenförekomster</w:t>
      </w:r>
      <w:r>
        <w:t xml:space="preserve"> för bedömningen av påverkan och status. Den information som rapporteras för ytvattenförekomster som tillhör en grupp är därför identisk.</w:t>
      </w:r>
    </w:p>
    <w:p w:rsidR="000215C5" w:rsidRDefault="00703023">
      <w:pPr>
        <w:jc w:val="both"/>
      </w:pPr>
      <w:r>
        <w:t>Ytterligare förtydligande av begrepp som används i samband med fysiska ändringar av kraftigt modifierade vattenförekomster (element hmwbPhysicalAlteration ovan):</w:t>
      </w:r>
    </w:p>
    <w:p w:rsidR="000215C5" w:rsidRDefault="00703023">
      <w:pPr>
        <w:pStyle w:val="ListNumber2Level4"/>
        <w:numPr>
          <w:ilvl w:val="0"/>
          <w:numId w:val="65"/>
        </w:numPr>
        <w:spacing w:after="0"/>
        <w:jc w:val="both"/>
        <w:rPr>
          <w:szCs w:val="24"/>
        </w:rPr>
      </w:pPr>
      <w:r>
        <w:t>Lås: anordning för att höja och sänka fartyg mellan vattenytor med olika nivåer på floder och kanaler.</w:t>
      </w:r>
    </w:p>
    <w:p w:rsidR="000215C5" w:rsidRDefault="00703023">
      <w:pPr>
        <w:pStyle w:val="ListNumber2Level4"/>
        <w:numPr>
          <w:ilvl w:val="0"/>
          <w:numId w:val="65"/>
        </w:numPr>
        <w:spacing w:after="0"/>
        <w:jc w:val="both"/>
        <w:rPr>
          <w:szCs w:val="24"/>
        </w:rPr>
      </w:pPr>
      <w:r>
        <w:t>Fördämning/damm/magasin: tvärgående barriär som anlagts över en flod- eller en sjömynning för att skapa en vattendamm.</w:t>
      </w:r>
    </w:p>
    <w:p w:rsidR="000215C5" w:rsidRDefault="00703023">
      <w:pPr>
        <w:numPr>
          <w:ilvl w:val="0"/>
          <w:numId w:val="65"/>
        </w:numPr>
        <w:spacing w:after="0"/>
        <w:jc w:val="both"/>
        <w:rPr>
          <w:szCs w:val="24"/>
        </w:rPr>
      </w:pPr>
      <w:r>
        <w:t>Kanalisering/uträtning/stabilisering av flodbäddar: alla permanenta ändringar som påverkar flodstränder och/eller flodbäddar på längden, även för att ändra riktning, minska slingringar, stabilisera flodstränder osv.</w:t>
      </w:r>
    </w:p>
    <w:p w:rsidR="000215C5" w:rsidRDefault="00703023">
      <w:pPr>
        <w:numPr>
          <w:ilvl w:val="0"/>
          <w:numId w:val="65"/>
        </w:numPr>
        <w:spacing w:after="0"/>
        <w:jc w:val="both"/>
        <w:rPr>
          <w:szCs w:val="24"/>
        </w:rPr>
      </w:pPr>
      <w:r>
        <w:t>Muddring/kanalunderhåll: ändringar till följd av regelbundet underhåll av floder genom muddring för något ändamål, vanligen sjöfart eller skydd mot översvämningar.</w:t>
      </w:r>
    </w:p>
    <w:p w:rsidR="000215C5" w:rsidRDefault="00703023">
      <w:pPr>
        <w:numPr>
          <w:ilvl w:val="0"/>
          <w:numId w:val="65"/>
        </w:numPr>
        <w:spacing w:after="0"/>
        <w:jc w:val="both"/>
        <w:rPr>
          <w:szCs w:val="24"/>
        </w:rPr>
      </w:pPr>
      <w:r>
        <w:t xml:space="preserve">Markåtervinning/kuständringar/floder: ändringar av en vattenförekomst till följd av att ny mark skapats från hav, flodbäddar eller sjöar (t.ex. för att utöka eller anlägga en hamn). </w:t>
      </w:r>
    </w:p>
    <w:p w:rsidR="000215C5" w:rsidRDefault="00703023">
      <w:pPr>
        <w:numPr>
          <w:ilvl w:val="0"/>
          <w:numId w:val="65"/>
        </w:numPr>
        <w:ind w:left="714" w:hanging="357"/>
        <w:jc w:val="both"/>
        <w:rPr>
          <w:szCs w:val="24"/>
        </w:rPr>
      </w:pPr>
      <w:r>
        <w:t>Markdränering: ändring av en vattenförekomst till följd av en konstgjord ändring av vattennivån i syfte att tillgängliggöra befintlig mark för ett visst ändamål (ofta för jordbruksproduktion eller bebyggelse).</w:t>
      </w:r>
      <w:bookmarkStart w:id="114" w:name="_Toc400669354"/>
      <w:bookmarkStart w:id="115" w:name="_Toc400669820"/>
      <w:bookmarkStart w:id="116" w:name="_Toc400670160"/>
      <w:bookmarkStart w:id="117" w:name="_Toc400670497"/>
      <w:bookmarkStart w:id="118" w:name="_Toc400670832"/>
      <w:bookmarkStart w:id="119" w:name="_Toc400671137"/>
      <w:bookmarkStart w:id="120" w:name="_Toc400671449"/>
      <w:bookmarkStart w:id="121" w:name="_Toc400671744"/>
      <w:bookmarkStart w:id="122" w:name="_Toc400720313"/>
      <w:bookmarkStart w:id="123" w:name="_Toc375220045"/>
      <w:bookmarkStart w:id="124" w:name="_Toc386464214"/>
      <w:bookmarkEnd w:id="114"/>
      <w:bookmarkEnd w:id="115"/>
      <w:bookmarkEnd w:id="116"/>
      <w:bookmarkEnd w:id="117"/>
      <w:bookmarkEnd w:id="118"/>
      <w:bookmarkEnd w:id="119"/>
      <w:bookmarkEnd w:id="120"/>
      <w:bookmarkEnd w:id="121"/>
      <w:bookmarkEnd w:id="122"/>
    </w:p>
    <w:p w:rsidR="000215C5" w:rsidRDefault="00703023">
      <w:pPr>
        <w:pStyle w:val="Rubrik2"/>
        <w:jc w:val="both"/>
      </w:pPr>
      <w:bookmarkStart w:id="125" w:name="_Toc425522041"/>
      <w:bookmarkStart w:id="126" w:name="_Toc432666053"/>
      <w:bookmarkStart w:id="127" w:name="_Toc437520249"/>
      <w:r>
        <w:t>Påverkan och effekter</w:t>
      </w:r>
      <w:bookmarkEnd w:id="123"/>
      <w:r>
        <w:t xml:space="preserve"> på ytvatten</w:t>
      </w:r>
      <w:bookmarkEnd w:id="124"/>
      <w:bookmarkEnd w:id="125"/>
      <w:bookmarkEnd w:id="126"/>
      <w:bookmarkEnd w:id="127"/>
    </w:p>
    <w:p w:rsidR="000215C5" w:rsidRDefault="00703023">
      <w:pPr>
        <w:pStyle w:val="Rubrik3"/>
      </w:pPr>
      <w:r>
        <w:t>Inledning</w:t>
      </w:r>
    </w:p>
    <w:p w:rsidR="000215C5" w:rsidRDefault="00703023">
      <w:pPr>
        <w:pStyle w:val="Text4"/>
        <w:tabs>
          <w:tab w:val="clear" w:pos="2302"/>
        </w:tabs>
        <w:ind w:left="0"/>
        <w:jc w:val="both"/>
      </w:pPr>
      <w:r>
        <w:t xml:space="preserve">När det gäller ytvatten innehåller ramdirektivet för vatten ett krav på identifiering av </w:t>
      </w:r>
      <w:r>
        <w:rPr>
          <w:b/>
        </w:rPr>
        <w:t>betydande påverkan</w:t>
      </w:r>
      <w:r>
        <w:t xml:space="preserve"> av utsläpp från punktkällor och diffusa källor, ändringar av vattenflödet genom uttag eller reglering samt morfologiska ändringar och annan påverkan. ”Betydande” påverkan ska tolkas som att påverkan ger en </w:t>
      </w:r>
      <w:r>
        <w:rPr>
          <w:b/>
        </w:rPr>
        <w:t>effekt</w:t>
      </w:r>
      <w:r>
        <w:t xml:space="preserve"> som kan leda till att miljömålen i artikel 4.1 inte uppfylls (se ordlistan nedan för en närmare förklaring).</w:t>
      </w:r>
    </w:p>
    <w:p w:rsidR="000215C5" w:rsidRDefault="00703023">
      <w:pPr>
        <w:pStyle w:val="Text4"/>
        <w:tabs>
          <w:tab w:val="clear" w:pos="2302"/>
        </w:tabs>
        <w:ind w:left="0"/>
        <w:jc w:val="both"/>
      </w:pPr>
      <w:r>
        <w:t>Betydande påverkan och deras effekter (som i sin tur leder till sänkt status) kan identifieras med olika metoder: fältundersökningar, register, numeriska verktyg (t.ex. modellering), expertbedömningar eller en kombination av olika verktyg. Hur omfattande påverkan är jämförs vanligen med en gräns eller mot kriterier som är relevanta för vattenförekomstens kategori och typ, i syfte att bedöma dess betydelse.</w:t>
      </w:r>
    </w:p>
    <w:p w:rsidR="000215C5" w:rsidRDefault="00703023">
      <w:pPr>
        <w:pStyle w:val="Text4"/>
        <w:tabs>
          <w:tab w:val="clear" w:pos="2302"/>
        </w:tabs>
        <w:ind w:left="0"/>
        <w:jc w:val="both"/>
      </w:pPr>
      <w:r>
        <w:t>Rapporteringen av påverkan sker inom ramen för vattendirektivets planeringsprocess. Syftet med analysen av påverkan och effekter enligt artikel 5 i direktivet är att identifiera vattenförekomster som riskerar att inte uppnå direktivets miljömål, antingen för att de inte kommer att uppnå god status eller för att deras status riskerar att försämras. Medlemsstaterna kan ha mycket omfattande register över påverkan, men rapporteringen inriktas på hur betydande påverkan är i förhållande till direktivets miljömål. Påverkan eller effekter bör därför endast rapporteras om de är betydande, antingen enskilt eller i kombination med andra faktorer, eftersom de kan leda till att direktivets miljömål inte uppnås. Blotta existensen av förorenande utsläpp från punktkällor i en vattenförekomst innebär inte att punktkällan ska rapporteras som betydande påverkan. Punktkällorna ska endast rapporteras om de leder till att vattenförekomstens miljömål riskerar att inte uppnås. Betydande påverkan ska alltså endast rapporteras för vattenförekomster som konstaterats utgöra en risk.</w:t>
      </w:r>
    </w:p>
    <w:p w:rsidR="000215C5" w:rsidRDefault="00703023">
      <w:pPr>
        <w:pStyle w:val="Text4"/>
        <w:tabs>
          <w:tab w:val="clear" w:pos="2302"/>
        </w:tabs>
        <w:ind w:left="0"/>
        <w:jc w:val="both"/>
      </w:pPr>
      <w:r>
        <w:t>Analysen av påverkan och effekter enligt artikel 5 är ett mycket viktigt första steg i planeringsprocessen. Den resulterande riskbedömningen används sedan som underlag för övervakningsprogrammen. Ett syfte med övervakningsprogrammen är att validera riskbedömningen (se bilaga V avsnitt 1.3.1 i vattendirektivet). Valideringen fungerar i sin tur som underlag för riskbedömningen för nästa planeringscykel för att förbättra definitionen av betydande påverkan och förbättra resultaten. Medlemsstaterna kanske redan använde vissa gränser eller kriterier i riskbedömningarna för de första förvaltningsplanerna för att definiera betydande påverkan, men med tanke på att det fanns få uppgifter tillgängliga om effekter vid den tidpunkten (övervakningsprogrammen hade ännu inte inletts) var det inte möjligt att fastställa en tydlig koppling mellan påverkan och effekter i förhållande till miljömålen. Eftersom det finns mycket mer information tillgänglig om påverkan, effekter, åtgärder, övervakningsdata och status inför den andra versionen av förvaltningsplanerna, bör analysen och riskbedömningen av påverkan och effekter ha förbättrats avsevärt, vilket i sin tur innebär att detta första viktiga steg i planeringsprocessen blir mycket mer tillförlitligt.</w:t>
      </w:r>
    </w:p>
    <w:p w:rsidR="000215C5" w:rsidRDefault="00703023">
      <w:pPr>
        <w:pStyle w:val="Text4"/>
        <w:tabs>
          <w:tab w:val="clear" w:pos="2302"/>
        </w:tabs>
        <w:ind w:left="0"/>
        <w:jc w:val="both"/>
      </w:pPr>
      <w:r>
        <w:t>Det innebär dock inte att informationen om påverkan och status på vattenförekomstnivå måste stämma in i varje fall. Det förväntas att vissa vattenförekomster kan ha rapporterats utgöra en risk trots att de har god status, antingen för att den betydande påverkan som identifierats inte är tillräckligt omfattande för att leda till att vattenförekomstens status försämras med tanke på de lokala förhållandena, eller för att den identifierade risken är en risk för försämring. Motsatsen (sämre status än god status utan betydande påverkan) förväntas sällan inträffa, eftersom analysen av påverkan bör styras av försiktighetstänkande och vara tillräckligt grundlig för att fånga upp all eventuell påverkan som kan orsaka en risk.</w:t>
      </w:r>
    </w:p>
    <w:p w:rsidR="000215C5" w:rsidRDefault="00703023">
      <w:pPr>
        <w:pStyle w:val="Rubrik3"/>
      </w:pPr>
      <w:r>
        <w:t>Hur kommer kommissionen och Europeiska miljöbyrån att använda den rapporterade informationen?</w:t>
      </w:r>
    </w:p>
    <w:p w:rsidR="000215C5" w:rsidRDefault="00703023">
      <w:pPr>
        <w:jc w:val="both"/>
      </w:pPr>
      <w:r>
        <w:t>Syftet med insamlingen av denna information är att identifiera de största källorna till påverkan inom avrinningsdistriktet. Sammanfattningarna av informationen kommer att användas för att sammanställa kartor över relevant påverkan på europeisk nivå och för att se till att all relevant påverkan har identifierats inom det berörda avrinningsdistriktet. På EU-nivå kommer kommissionen att förse Europaparlamentet med statistik och information. Allmänheten kommer att få tillgång till informationen via Wise.</w:t>
      </w:r>
    </w:p>
    <w:p w:rsidR="000215C5" w:rsidRDefault="00703023">
      <w:pPr>
        <w:pStyle w:val="Rubrik4"/>
      </w:pPr>
      <w:r>
        <w:t>Produkter från rapporteringen</w:t>
      </w:r>
    </w:p>
    <w:p w:rsidR="000215C5" w:rsidRDefault="00703023">
      <w:pPr>
        <w:jc w:val="both"/>
      </w:pPr>
      <w:r>
        <w:t>Obs: För alla relevanta produkter kommer information om ytvattenförekomster att presenteras per antal ytvattenförekomster, per storlek (längd eller yta) samt i procent.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921"/>
        <w:gridCol w:w="1062"/>
        <w:gridCol w:w="1260"/>
        <w:gridCol w:w="1789"/>
        <w:gridCol w:w="1843"/>
        <w:gridCol w:w="1559"/>
      </w:tblGrid>
      <w:tr w:rsidR="000215C5" w:rsidTr="009A293E">
        <w:trPr>
          <w:cantSplit/>
          <w:tblHeader/>
        </w:trPr>
        <w:tc>
          <w:tcPr>
            <w:tcW w:w="455" w:type="dxa"/>
            <w:shd w:val="clear" w:color="auto" w:fill="auto"/>
          </w:tcPr>
          <w:p w:rsidR="000215C5" w:rsidRDefault="00703023">
            <w:pPr>
              <w:spacing w:after="0"/>
              <w:jc w:val="both"/>
              <w:rPr>
                <w:b/>
                <w:sz w:val="18"/>
                <w:szCs w:val="18"/>
              </w:rPr>
            </w:pPr>
            <w:r>
              <w:rPr>
                <w:b/>
                <w:sz w:val="18"/>
              </w:rPr>
              <w:t>Nb</w:t>
            </w:r>
          </w:p>
        </w:tc>
        <w:tc>
          <w:tcPr>
            <w:tcW w:w="1921" w:type="dxa"/>
            <w:shd w:val="clear" w:color="auto" w:fill="auto"/>
          </w:tcPr>
          <w:p w:rsidR="000215C5" w:rsidRDefault="00703023">
            <w:pPr>
              <w:spacing w:after="0"/>
              <w:jc w:val="both"/>
              <w:rPr>
                <w:b/>
                <w:sz w:val="18"/>
                <w:szCs w:val="18"/>
              </w:rPr>
            </w:pPr>
            <w:r>
              <w:rPr>
                <w:b/>
                <w:sz w:val="18"/>
              </w:rPr>
              <w:t>Produktens namn</w:t>
            </w:r>
          </w:p>
        </w:tc>
        <w:tc>
          <w:tcPr>
            <w:tcW w:w="1062" w:type="dxa"/>
            <w:shd w:val="clear" w:color="auto" w:fill="auto"/>
          </w:tcPr>
          <w:p w:rsidR="000215C5" w:rsidRDefault="00703023">
            <w:pPr>
              <w:spacing w:after="0"/>
              <w:jc w:val="both"/>
              <w:rPr>
                <w:b/>
                <w:sz w:val="18"/>
                <w:szCs w:val="18"/>
              </w:rPr>
            </w:pPr>
            <w:r>
              <w:rPr>
                <w:b/>
                <w:sz w:val="18"/>
              </w:rPr>
              <w:t>Produkttyp</w:t>
            </w:r>
          </w:p>
        </w:tc>
        <w:tc>
          <w:tcPr>
            <w:tcW w:w="1260" w:type="dxa"/>
            <w:shd w:val="clear" w:color="auto" w:fill="auto"/>
          </w:tcPr>
          <w:p w:rsidR="000215C5" w:rsidRDefault="00703023">
            <w:pPr>
              <w:spacing w:after="0"/>
              <w:jc w:val="both"/>
              <w:rPr>
                <w:b/>
                <w:sz w:val="18"/>
                <w:szCs w:val="18"/>
              </w:rPr>
            </w:pPr>
            <w:r>
              <w:rPr>
                <w:b/>
                <w:sz w:val="18"/>
              </w:rPr>
              <w:t>Informations</w:t>
            </w:r>
            <w:r w:rsidR="009A293E">
              <w:rPr>
                <w:b/>
                <w:sz w:val="18"/>
              </w:rPr>
              <w:t>-</w:t>
            </w:r>
            <w:r>
              <w:rPr>
                <w:b/>
                <w:sz w:val="18"/>
              </w:rPr>
              <w:t>nivå*</w:t>
            </w:r>
          </w:p>
        </w:tc>
        <w:tc>
          <w:tcPr>
            <w:tcW w:w="1789" w:type="dxa"/>
            <w:shd w:val="clear" w:color="auto" w:fill="auto"/>
          </w:tcPr>
          <w:p w:rsidR="000215C5" w:rsidRDefault="00703023">
            <w:pPr>
              <w:spacing w:after="0"/>
              <w:jc w:val="both"/>
              <w:rPr>
                <w:b/>
                <w:sz w:val="18"/>
                <w:szCs w:val="18"/>
              </w:rPr>
            </w:pPr>
            <w:r>
              <w:rPr>
                <w:b/>
                <w:sz w:val="18"/>
              </w:rPr>
              <w:t>Detaljerad information visas</w:t>
            </w:r>
          </w:p>
        </w:tc>
        <w:tc>
          <w:tcPr>
            <w:tcW w:w="1843"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559"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w:t>
            </w:r>
          </w:p>
        </w:tc>
        <w:tc>
          <w:tcPr>
            <w:tcW w:w="1921" w:type="dxa"/>
            <w:shd w:val="clear" w:color="auto" w:fill="auto"/>
          </w:tcPr>
          <w:p w:rsidR="000215C5" w:rsidRDefault="00703023">
            <w:pPr>
              <w:spacing w:after="0"/>
              <w:jc w:val="both"/>
              <w:rPr>
                <w:b/>
                <w:sz w:val="18"/>
                <w:szCs w:val="18"/>
              </w:rPr>
            </w:pPr>
            <w:r>
              <w:rPr>
                <w:b/>
                <w:sz w:val="18"/>
              </w:rPr>
              <w:t>Procent ytvattenförekomster från varje kategori som utsätts för betydande påverkan av varje typ</w:t>
            </w:r>
          </w:p>
        </w:tc>
        <w:tc>
          <w:tcPr>
            <w:tcW w:w="1062" w:type="dxa"/>
            <w:shd w:val="clear" w:color="auto" w:fill="auto"/>
          </w:tcPr>
          <w:p w:rsidR="000215C5" w:rsidRDefault="00703023">
            <w:pPr>
              <w:spacing w:after="0"/>
              <w:jc w:val="both"/>
              <w:rPr>
                <w:sz w:val="18"/>
                <w:szCs w:val="18"/>
              </w:rPr>
            </w:pPr>
            <w:r>
              <w:rPr>
                <w:sz w:val="18"/>
              </w:rPr>
              <w:t>Karta</w:t>
            </w:r>
          </w:p>
        </w:tc>
        <w:tc>
          <w:tcPr>
            <w:tcW w:w="1260" w:type="dxa"/>
            <w:shd w:val="clear" w:color="auto" w:fill="auto"/>
          </w:tcPr>
          <w:p w:rsidR="000215C5" w:rsidRDefault="00703023">
            <w:pPr>
              <w:spacing w:after="0"/>
              <w:jc w:val="both"/>
              <w:rPr>
                <w:sz w:val="18"/>
                <w:szCs w:val="18"/>
              </w:rPr>
            </w:pPr>
            <w:r>
              <w:rPr>
                <w:sz w:val="18"/>
              </w:rPr>
              <w:t>RBD/SU</w:t>
            </w:r>
          </w:p>
        </w:tc>
        <w:tc>
          <w:tcPr>
            <w:tcW w:w="1789" w:type="dxa"/>
            <w:shd w:val="clear" w:color="auto" w:fill="auto"/>
          </w:tcPr>
          <w:p w:rsidR="000215C5" w:rsidRDefault="00703023">
            <w:pPr>
              <w:spacing w:after="0"/>
              <w:jc w:val="both"/>
              <w:rPr>
                <w:sz w:val="18"/>
                <w:szCs w:val="18"/>
              </w:rPr>
            </w:pPr>
            <w:r>
              <w:rPr>
                <w:sz w:val="18"/>
              </w:rPr>
              <w:t>Procentandel vattenförekomster per kategori som utsätts för betydande påverkan av varje typ (punktkällor, diffusa källor, hydromorfologiska källor osv.).</w:t>
            </w:r>
          </w:p>
        </w:tc>
        <w:tc>
          <w:tcPr>
            <w:tcW w:w="1843" w:type="dxa"/>
            <w:shd w:val="clear" w:color="auto" w:fill="auto"/>
          </w:tcPr>
          <w:p w:rsidR="000215C5" w:rsidRDefault="00703023">
            <w:pPr>
              <w:spacing w:after="0"/>
              <w:jc w:val="both"/>
              <w:rPr>
                <w:sz w:val="18"/>
                <w:szCs w:val="18"/>
              </w:rPr>
            </w:pPr>
            <w:r>
              <w:rPr>
                <w:sz w:val="18"/>
              </w:rPr>
              <w:t xml:space="preserve">Aggregering på grundval av den information om påverkan som lämnas på vattenförekomstnivå. </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2</w:t>
            </w:r>
          </w:p>
        </w:tc>
        <w:tc>
          <w:tcPr>
            <w:tcW w:w="1921" w:type="dxa"/>
            <w:shd w:val="clear" w:color="auto" w:fill="auto"/>
          </w:tcPr>
          <w:p w:rsidR="000215C5" w:rsidRDefault="00703023">
            <w:pPr>
              <w:spacing w:after="0"/>
              <w:jc w:val="both"/>
              <w:rPr>
                <w:b/>
                <w:sz w:val="18"/>
                <w:szCs w:val="18"/>
              </w:rPr>
            </w:pPr>
            <w:r>
              <w:rPr>
                <w:b/>
                <w:sz w:val="18"/>
              </w:rPr>
              <w:t>Aggregeringstabeller Betydande påverkan som berör ytvattenförekomster per antal, storlek och kategori</w:t>
            </w:r>
          </w:p>
        </w:tc>
        <w:tc>
          <w:tcPr>
            <w:tcW w:w="1062"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w:t>
            </w:r>
          </w:p>
          <w:p w:rsidR="000215C5" w:rsidRDefault="00703023">
            <w:pPr>
              <w:spacing w:after="0"/>
              <w:jc w:val="both"/>
              <w:rPr>
                <w:sz w:val="18"/>
                <w:szCs w:val="18"/>
              </w:rPr>
            </w:pPr>
            <w:r>
              <w:rPr>
                <w:sz w:val="18"/>
              </w:rPr>
              <w:t>SU</w:t>
            </w:r>
          </w:p>
        </w:tc>
        <w:tc>
          <w:tcPr>
            <w:tcW w:w="1789" w:type="dxa"/>
            <w:shd w:val="clear" w:color="auto" w:fill="auto"/>
          </w:tcPr>
          <w:p w:rsidR="000215C5" w:rsidRDefault="00703023">
            <w:pPr>
              <w:spacing w:after="0"/>
              <w:jc w:val="both"/>
              <w:rPr>
                <w:sz w:val="18"/>
                <w:szCs w:val="18"/>
              </w:rPr>
            </w:pPr>
            <w:r>
              <w:rPr>
                <w:sz w:val="18"/>
              </w:rPr>
              <w:t>Antal och storlek (längd/yta) för ytvattenförekomster som utsätts för betydande påverkan, per kategori.</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3</w:t>
            </w:r>
          </w:p>
        </w:tc>
        <w:tc>
          <w:tcPr>
            <w:tcW w:w="1921" w:type="dxa"/>
            <w:shd w:val="clear" w:color="auto" w:fill="auto"/>
          </w:tcPr>
          <w:p w:rsidR="000215C5" w:rsidRDefault="00703023">
            <w:pPr>
              <w:spacing w:after="0"/>
              <w:jc w:val="both"/>
              <w:rPr>
                <w:b/>
                <w:sz w:val="18"/>
                <w:szCs w:val="18"/>
              </w:rPr>
            </w:pPr>
            <w:r>
              <w:rPr>
                <w:b/>
                <w:sz w:val="18"/>
              </w:rPr>
              <w:t>Aggregeringstabeller Betydande påverkan som berör ytvattenförekomster per antal och procent</w:t>
            </w:r>
          </w:p>
        </w:tc>
        <w:tc>
          <w:tcPr>
            <w:tcW w:w="1062"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w:t>
            </w:r>
          </w:p>
          <w:p w:rsidR="000215C5" w:rsidRDefault="00703023">
            <w:pPr>
              <w:spacing w:after="0"/>
              <w:jc w:val="both"/>
              <w:rPr>
                <w:sz w:val="18"/>
                <w:szCs w:val="18"/>
              </w:rPr>
            </w:pPr>
            <w:r>
              <w:rPr>
                <w:sz w:val="18"/>
              </w:rPr>
              <w:t>SU</w:t>
            </w:r>
          </w:p>
        </w:tc>
        <w:tc>
          <w:tcPr>
            <w:tcW w:w="1789" w:type="dxa"/>
            <w:shd w:val="clear" w:color="auto" w:fill="auto"/>
          </w:tcPr>
          <w:p w:rsidR="000215C5" w:rsidRDefault="00703023">
            <w:pPr>
              <w:spacing w:after="0"/>
              <w:jc w:val="both"/>
              <w:rPr>
                <w:sz w:val="18"/>
                <w:szCs w:val="18"/>
              </w:rPr>
            </w:pPr>
            <w:r>
              <w:rPr>
                <w:sz w:val="18"/>
              </w:rPr>
              <w:t>Antal och procentuell andel av ytvattenförekomster som utsätts för betydande påverkan.</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4</w:t>
            </w:r>
          </w:p>
        </w:tc>
        <w:tc>
          <w:tcPr>
            <w:tcW w:w="1921" w:type="dxa"/>
            <w:shd w:val="clear" w:color="auto" w:fill="auto"/>
          </w:tcPr>
          <w:p w:rsidR="000215C5" w:rsidRDefault="00703023">
            <w:pPr>
              <w:spacing w:after="0"/>
              <w:jc w:val="both"/>
              <w:rPr>
                <w:b/>
                <w:sz w:val="18"/>
                <w:szCs w:val="18"/>
              </w:rPr>
            </w:pPr>
            <w:r>
              <w:rPr>
                <w:b/>
                <w:sz w:val="18"/>
              </w:rPr>
              <w:t>Andel av det totala antalet klassificerade ytvattenförekomster med identifierad betydande påverkan, per kategori</w:t>
            </w:r>
          </w:p>
        </w:tc>
        <w:tc>
          <w:tcPr>
            <w:tcW w:w="1062"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w:t>
            </w:r>
          </w:p>
        </w:tc>
        <w:tc>
          <w:tcPr>
            <w:tcW w:w="1789" w:type="dxa"/>
            <w:shd w:val="clear" w:color="auto" w:fill="auto"/>
          </w:tcPr>
          <w:p w:rsidR="000215C5" w:rsidRDefault="00703023">
            <w:pPr>
              <w:spacing w:after="0"/>
              <w:jc w:val="both"/>
              <w:rPr>
                <w:sz w:val="18"/>
                <w:szCs w:val="18"/>
              </w:rPr>
            </w:pPr>
            <w:r>
              <w:rPr>
                <w:sz w:val="18"/>
              </w:rPr>
              <w:t>Procentandel klassificerade ytvattenförekomster som utsätts för betydande påverkan, per kategori.</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5</w:t>
            </w:r>
          </w:p>
        </w:tc>
        <w:tc>
          <w:tcPr>
            <w:tcW w:w="1921" w:type="dxa"/>
            <w:shd w:val="clear" w:color="auto" w:fill="auto"/>
          </w:tcPr>
          <w:p w:rsidR="000215C5" w:rsidRDefault="00703023">
            <w:pPr>
              <w:spacing w:after="0"/>
              <w:jc w:val="both"/>
              <w:rPr>
                <w:b/>
                <w:sz w:val="18"/>
                <w:szCs w:val="18"/>
              </w:rPr>
            </w:pPr>
            <w:r>
              <w:rPr>
                <w:b/>
                <w:sz w:val="18"/>
              </w:rPr>
              <w:t>Andel floder som utsätts för påverkan i form av diffusa källor och hydromorfologisk påverkan i olika medlemsstater</w:t>
            </w:r>
          </w:p>
        </w:tc>
        <w:tc>
          <w:tcPr>
            <w:tcW w:w="1062"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789" w:type="dxa"/>
            <w:shd w:val="clear" w:color="auto" w:fill="auto"/>
          </w:tcPr>
          <w:p w:rsidR="000215C5" w:rsidRDefault="00703023">
            <w:pPr>
              <w:spacing w:after="0"/>
              <w:jc w:val="both"/>
              <w:rPr>
                <w:sz w:val="18"/>
                <w:szCs w:val="18"/>
              </w:rPr>
            </w:pPr>
            <w:r>
              <w:rPr>
                <w:sz w:val="18"/>
              </w:rPr>
              <w:t>Andel floder som utsätts för påverkan i form av diffusa källor och hydromorfologisk påverkan.</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6</w:t>
            </w:r>
          </w:p>
        </w:tc>
        <w:tc>
          <w:tcPr>
            <w:tcW w:w="1921" w:type="dxa"/>
            <w:shd w:val="clear" w:color="auto" w:fill="auto"/>
          </w:tcPr>
          <w:p w:rsidR="000215C5" w:rsidRDefault="00703023">
            <w:pPr>
              <w:spacing w:after="0"/>
              <w:jc w:val="both"/>
              <w:rPr>
                <w:b/>
                <w:sz w:val="18"/>
                <w:szCs w:val="18"/>
              </w:rPr>
            </w:pPr>
            <w:r>
              <w:rPr>
                <w:b/>
                <w:sz w:val="18"/>
              </w:rPr>
              <w:t>Andel sjöar som utsätts för påverkan i form av diffusa källor och hydromorfologisk påverkan i olika medlemsstater</w:t>
            </w:r>
          </w:p>
        </w:tc>
        <w:tc>
          <w:tcPr>
            <w:tcW w:w="1062"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789" w:type="dxa"/>
            <w:shd w:val="clear" w:color="auto" w:fill="auto"/>
          </w:tcPr>
          <w:p w:rsidR="000215C5" w:rsidRDefault="00703023">
            <w:pPr>
              <w:spacing w:after="0"/>
              <w:jc w:val="both"/>
              <w:rPr>
                <w:sz w:val="18"/>
                <w:szCs w:val="18"/>
              </w:rPr>
            </w:pPr>
            <w:r>
              <w:rPr>
                <w:sz w:val="18"/>
              </w:rPr>
              <w:t>Andel sjöar som utsätts för påverkan i form av diffusa källor och hydromorfologisk påverkan.</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7</w:t>
            </w:r>
          </w:p>
        </w:tc>
        <w:tc>
          <w:tcPr>
            <w:tcW w:w="1921" w:type="dxa"/>
            <w:shd w:val="clear" w:color="auto" w:fill="auto"/>
          </w:tcPr>
          <w:p w:rsidR="000215C5" w:rsidRDefault="00703023">
            <w:pPr>
              <w:spacing w:after="0"/>
              <w:jc w:val="both"/>
              <w:rPr>
                <w:b/>
                <w:sz w:val="18"/>
                <w:szCs w:val="18"/>
              </w:rPr>
            </w:pPr>
            <w:r>
              <w:rPr>
                <w:b/>
                <w:sz w:val="18"/>
              </w:rPr>
              <w:t>Andel vattenförekomster i övergångszon, kustvatten och territoralvatten som utsätts för påverkan i form av diffusa källor och hydromorfologisk påverkan i olika medlemsstater</w:t>
            </w:r>
          </w:p>
        </w:tc>
        <w:tc>
          <w:tcPr>
            <w:tcW w:w="1062"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789" w:type="dxa"/>
            <w:shd w:val="clear" w:color="auto" w:fill="auto"/>
          </w:tcPr>
          <w:p w:rsidR="000215C5" w:rsidRDefault="00703023">
            <w:pPr>
              <w:spacing w:after="0"/>
              <w:jc w:val="both"/>
              <w:rPr>
                <w:sz w:val="18"/>
                <w:szCs w:val="18"/>
              </w:rPr>
            </w:pPr>
            <w:r>
              <w:rPr>
                <w:sz w:val="18"/>
              </w:rPr>
              <w:t>Andel vattenförekomster i övergångszon, kustvatten och territorialvatten som utsätts för påverkan i form av diffusa källor och hydromorfologisk påverkan.</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8</w:t>
            </w:r>
          </w:p>
        </w:tc>
        <w:tc>
          <w:tcPr>
            <w:tcW w:w="1921" w:type="dxa"/>
            <w:shd w:val="clear" w:color="auto" w:fill="auto"/>
          </w:tcPr>
          <w:p w:rsidR="000215C5" w:rsidRDefault="00703023">
            <w:pPr>
              <w:spacing w:after="0"/>
              <w:jc w:val="both"/>
              <w:rPr>
                <w:b/>
                <w:sz w:val="18"/>
                <w:szCs w:val="18"/>
              </w:rPr>
            </w:pPr>
            <w:r>
              <w:rPr>
                <w:b/>
                <w:sz w:val="18"/>
              </w:rPr>
              <w:t>Föroreningar/hydromorfologisk påverkan på</w:t>
            </w:r>
          </w:p>
          <w:p w:rsidR="000215C5" w:rsidRDefault="00703023">
            <w:pPr>
              <w:spacing w:after="0"/>
              <w:jc w:val="both"/>
              <w:rPr>
                <w:b/>
                <w:sz w:val="18"/>
                <w:szCs w:val="18"/>
              </w:rPr>
            </w:pPr>
            <w:r>
              <w:rPr>
                <w:b/>
                <w:sz w:val="18"/>
              </w:rPr>
              <w:t>klassificerade floder, enligt befolkningstäthet och procentandel</w:t>
            </w:r>
          </w:p>
          <w:p w:rsidR="000215C5" w:rsidRDefault="00703023">
            <w:pPr>
              <w:spacing w:after="0"/>
              <w:jc w:val="both"/>
              <w:rPr>
                <w:b/>
                <w:sz w:val="18"/>
                <w:szCs w:val="18"/>
              </w:rPr>
            </w:pPr>
            <w:r>
              <w:rPr>
                <w:b/>
                <w:sz w:val="18"/>
              </w:rPr>
              <w:t>odlingsbar mark i avrinningsdistriktet</w:t>
            </w:r>
          </w:p>
        </w:tc>
        <w:tc>
          <w:tcPr>
            <w:tcW w:w="1062"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w:t>
            </w:r>
          </w:p>
        </w:tc>
        <w:tc>
          <w:tcPr>
            <w:tcW w:w="1789" w:type="dxa"/>
            <w:shd w:val="clear" w:color="auto" w:fill="auto"/>
          </w:tcPr>
          <w:p w:rsidR="000215C5" w:rsidRDefault="00703023">
            <w:pPr>
              <w:spacing w:after="0"/>
              <w:jc w:val="both"/>
              <w:rPr>
                <w:sz w:val="18"/>
                <w:szCs w:val="18"/>
              </w:rPr>
            </w:pPr>
            <w:r>
              <w:rPr>
                <w:sz w:val="18"/>
              </w:rPr>
              <w:t>Avrinningsdistrikt grupperade enligt befolkningstäthet och procentandel odlingsbar mark (fem grupper var). Föroreningar och hydromorfologisk påverkan på alla floder i de aggregerade grupperna. Andel floder som utsätts för båda formerna av påverkan ska anges.</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 kompletterad med information om befolkningstäthet och markanvändning i avrinningsdistrikten – vattenförekomster med okänd status ingår inte.</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9</w:t>
            </w:r>
          </w:p>
        </w:tc>
        <w:tc>
          <w:tcPr>
            <w:tcW w:w="1921" w:type="dxa"/>
            <w:shd w:val="clear" w:color="auto" w:fill="auto"/>
          </w:tcPr>
          <w:p w:rsidR="000215C5" w:rsidRDefault="00703023">
            <w:pPr>
              <w:spacing w:after="0"/>
              <w:jc w:val="both"/>
              <w:rPr>
                <w:b/>
                <w:sz w:val="18"/>
                <w:szCs w:val="18"/>
              </w:rPr>
            </w:pPr>
            <w:r>
              <w:rPr>
                <w:b/>
                <w:sz w:val="18"/>
              </w:rPr>
              <w:t>Föroreningar/hydromorfologisk påverkan på</w:t>
            </w:r>
          </w:p>
          <w:p w:rsidR="000215C5" w:rsidRDefault="00703023">
            <w:pPr>
              <w:spacing w:after="0"/>
              <w:jc w:val="both"/>
              <w:rPr>
                <w:b/>
                <w:sz w:val="18"/>
                <w:szCs w:val="18"/>
              </w:rPr>
            </w:pPr>
            <w:r>
              <w:rPr>
                <w:b/>
                <w:sz w:val="18"/>
              </w:rPr>
              <w:t>klassificerade floder, enligt befolkningstäthet och procentandel</w:t>
            </w:r>
          </w:p>
          <w:p w:rsidR="000215C5" w:rsidRDefault="00703023">
            <w:pPr>
              <w:spacing w:after="0"/>
              <w:jc w:val="both"/>
              <w:rPr>
                <w:b/>
                <w:sz w:val="18"/>
                <w:szCs w:val="18"/>
              </w:rPr>
            </w:pPr>
            <w:r>
              <w:rPr>
                <w:b/>
                <w:sz w:val="18"/>
              </w:rPr>
              <w:t xml:space="preserve">odlingsbar mark </w:t>
            </w:r>
          </w:p>
        </w:tc>
        <w:tc>
          <w:tcPr>
            <w:tcW w:w="1062"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w:t>
            </w:r>
          </w:p>
        </w:tc>
        <w:tc>
          <w:tcPr>
            <w:tcW w:w="1789" w:type="dxa"/>
            <w:shd w:val="clear" w:color="auto" w:fill="auto"/>
          </w:tcPr>
          <w:p w:rsidR="000215C5" w:rsidRDefault="00703023">
            <w:pPr>
              <w:spacing w:after="0"/>
              <w:jc w:val="both"/>
              <w:rPr>
                <w:sz w:val="18"/>
                <w:szCs w:val="18"/>
              </w:rPr>
            </w:pPr>
            <w:r>
              <w:rPr>
                <w:sz w:val="18"/>
              </w:rPr>
              <w:t>Avrinningsdistrikten har grupperats enligt befolkningstäthet och procentandel odlingsbar mark (fem grupper var). Föroreningar och hydromorfologisk påverkan på alla floder i de aggregerade grupperna. Andel floder som utsätts för båda formerna av påverkan ska anges.</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 kompletterad med information om befolkningstäthet och markanvändning per vattenförekomst.</w:t>
            </w:r>
          </w:p>
        </w:tc>
        <w:tc>
          <w:tcPr>
            <w:tcW w:w="1559" w:type="dxa"/>
            <w:shd w:val="clear" w:color="auto" w:fill="auto"/>
          </w:tcPr>
          <w:p w:rsidR="000215C5" w:rsidRDefault="00703023">
            <w:pPr>
              <w:spacing w:after="0"/>
              <w:jc w:val="both"/>
              <w:rPr>
                <w:sz w:val="18"/>
                <w:szCs w:val="18"/>
              </w:rPr>
            </w:pPr>
            <w:r>
              <w:rPr>
                <w:sz w:val="18"/>
              </w:rPr>
              <w:t>Ej möjligt (det fanns ingen information om befolkningstäthet och markanvändning på vattenförekomst</w:t>
            </w:r>
            <w:r w:rsidR="00F03563">
              <w:rPr>
                <w:sz w:val="18"/>
              </w:rPr>
              <w:t>-</w:t>
            </w:r>
            <w:r>
              <w:rPr>
                <w:sz w:val="18"/>
              </w:rPr>
              <w:t>nivå).</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10</w:t>
            </w:r>
          </w:p>
        </w:tc>
        <w:tc>
          <w:tcPr>
            <w:tcW w:w="1921" w:type="dxa"/>
            <w:shd w:val="clear" w:color="auto" w:fill="auto"/>
          </w:tcPr>
          <w:p w:rsidR="000215C5" w:rsidRDefault="00703023">
            <w:pPr>
              <w:spacing w:after="0"/>
              <w:jc w:val="both"/>
              <w:rPr>
                <w:b/>
                <w:sz w:val="18"/>
                <w:szCs w:val="18"/>
              </w:rPr>
            </w:pPr>
            <w:r>
              <w:rPr>
                <w:b/>
                <w:sz w:val="18"/>
              </w:rPr>
              <w:t xml:space="preserve">Aggregeringstabeller Påverkan på ytvattenförekomster </w:t>
            </w:r>
          </w:p>
        </w:tc>
        <w:tc>
          <w:tcPr>
            <w:tcW w:w="1062"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w:t>
            </w:r>
          </w:p>
          <w:p w:rsidR="000215C5" w:rsidRDefault="00703023">
            <w:pPr>
              <w:spacing w:after="0"/>
              <w:jc w:val="both"/>
              <w:rPr>
                <w:sz w:val="18"/>
                <w:szCs w:val="18"/>
              </w:rPr>
            </w:pPr>
            <w:r>
              <w:rPr>
                <w:sz w:val="18"/>
              </w:rPr>
              <w:t>SU</w:t>
            </w:r>
          </w:p>
        </w:tc>
        <w:tc>
          <w:tcPr>
            <w:tcW w:w="1789" w:type="dxa"/>
            <w:shd w:val="clear" w:color="auto" w:fill="auto"/>
          </w:tcPr>
          <w:p w:rsidR="000215C5" w:rsidRDefault="00703023">
            <w:pPr>
              <w:spacing w:after="0"/>
              <w:jc w:val="both"/>
              <w:rPr>
                <w:sz w:val="18"/>
                <w:szCs w:val="18"/>
              </w:rPr>
            </w:pPr>
            <w:r>
              <w:rPr>
                <w:sz w:val="18"/>
              </w:rPr>
              <w:t>Antal och storlek (längd/yta) för ytvattenförekomster som utsätts för effekter, per kategori.</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11</w:t>
            </w:r>
          </w:p>
        </w:tc>
        <w:tc>
          <w:tcPr>
            <w:tcW w:w="1921" w:type="dxa"/>
            <w:shd w:val="clear" w:color="auto" w:fill="auto"/>
          </w:tcPr>
          <w:p w:rsidR="000215C5" w:rsidRDefault="00703023">
            <w:pPr>
              <w:spacing w:after="0"/>
              <w:jc w:val="both"/>
              <w:rPr>
                <w:b/>
                <w:sz w:val="18"/>
                <w:szCs w:val="18"/>
              </w:rPr>
            </w:pPr>
            <w:r>
              <w:rPr>
                <w:b/>
                <w:sz w:val="18"/>
              </w:rPr>
              <w:t>Andel av det totala antalet klassificerade ytvattenförekomster med identifierade effekter för a) floder, b) sjöar, c) kustvatten, d) vatten i övergångszon och e) territorialvatten</w:t>
            </w:r>
          </w:p>
        </w:tc>
        <w:tc>
          <w:tcPr>
            <w:tcW w:w="1062"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w:t>
            </w:r>
          </w:p>
        </w:tc>
        <w:tc>
          <w:tcPr>
            <w:tcW w:w="1789" w:type="dxa"/>
            <w:shd w:val="clear" w:color="auto" w:fill="auto"/>
          </w:tcPr>
          <w:p w:rsidR="000215C5" w:rsidRDefault="00703023">
            <w:pPr>
              <w:spacing w:after="0"/>
              <w:jc w:val="both"/>
              <w:rPr>
                <w:sz w:val="18"/>
                <w:szCs w:val="18"/>
              </w:rPr>
            </w:pPr>
            <w:r>
              <w:rPr>
                <w:sz w:val="18"/>
              </w:rPr>
              <w:t>Procentandel ytvattenförekomster som utsätts för betydande effekter, per kategori.</w:t>
            </w:r>
          </w:p>
        </w:tc>
        <w:tc>
          <w:tcPr>
            <w:tcW w:w="1843"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559"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12</w:t>
            </w:r>
          </w:p>
        </w:tc>
        <w:tc>
          <w:tcPr>
            <w:tcW w:w="1921" w:type="dxa"/>
            <w:shd w:val="clear" w:color="auto" w:fill="auto"/>
          </w:tcPr>
          <w:p w:rsidR="000215C5" w:rsidRDefault="00703023">
            <w:pPr>
              <w:spacing w:after="0"/>
              <w:jc w:val="both"/>
              <w:rPr>
                <w:b/>
                <w:sz w:val="18"/>
                <w:szCs w:val="18"/>
              </w:rPr>
            </w:pPr>
            <w:r>
              <w:rPr>
                <w:b/>
                <w:sz w:val="18"/>
              </w:rPr>
              <w:t>Drivkrafter som inte leder till god status</w:t>
            </w:r>
          </w:p>
        </w:tc>
        <w:tc>
          <w:tcPr>
            <w:tcW w:w="1062"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RBD/SU</w:t>
            </w:r>
          </w:p>
        </w:tc>
        <w:tc>
          <w:tcPr>
            <w:tcW w:w="1789" w:type="dxa"/>
            <w:shd w:val="clear" w:color="auto" w:fill="auto"/>
          </w:tcPr>
          <w:p w:rsidR="000215C5" w:rsidRDefault="00703023">
            <w:pPr>
              <w:spacing w:after="120"/>
              <w:jc w:val="both"/>
              <w:rPr>
                <w:sz w:val="18"/>
                <w:szCs w:val="18"/>
              </w:rPr>
            </w:pPr>
            <w:r>
              <w:rPr>
                <w:sz w:val="18"/>
              </w:rPr>
              <w:t>Antal vattenförekomster som inte uppnår god status på grund av varje drivkraft.</w:t>
            </w:r>
          </w:p>
          <w:p w:rsidR="000215C5" w:rsidRDefault="00703023">
            <w:pPr>
              <w:spacing w:after="0"/>
              <w:jc w:val="both"/>
              <w:rPr>
                <w:sz w:val="18"/>
                <w:szCs w:val="18"/>
              </w:rPr>
            </w:pPr>
            <w:r>
              <w:rPr>
                <w:sz w:val="18"/>
              </w:rPr>
              <w:t>Procentandel vattenförekomster som inte uppnår god status på grund av varje drivkraft i förhållande till det totala antalet vattenförekomster som inte uppnår god status (totalt och per kategori).</w:t>
            </w:r>
          </w:p>
        </w:tc>
        <w:tc>
          <w:tcPr>
            <w:tcW w:w="1843" w:type="dxa"/>
            <w:shd w:val="clear" w:color="auto" w:fill="auto"/>
          </w:tcPr>
          <w:p w:rsidR="000215C5" w:rsidRDefault="00703023">
            <w:pPr>
              <w:spacing w:after="0"/>
              <w:jc w:val="both"/>
              <w:rPr>
                <w:sz w:val="18"/>
                <w:szCs w:val="18"/>
              </w:rPr>
            </w:pPr>
            <w:r>
              <w:rPr>
                <w:sz w:val="18"/>
              </w:rPr>
              <w:t>Aggregering på grundval av den information om påverkan som lämnas på vattenförekomstnivå.</w:t>
            </w:r>
          </w:p>
        </w:tc>
        <w:tc>
          <w:tcPr>
            <w:tcW w:w="1559" w:type="dxa"/>
            <w:shd w:val="clear" w:color="auto" w:fill="auto"/>
          </w:tcPr>
          <w:p w:rsidR="000215C5" w:rsidRDefault="00703023">
            <w:pPr>
              <w:spacing w:after="0"/>
              <w:jc w:val="both"/>
              <w:rPr>
                <w:sz w:val="18"/>
                <w:szCs w:val="18"/>
              </w:rPr>
            </w:pPr>
            <w:r>
              <w:rPr>
                <w:sz w:val="18"/>
              </w:rPr>
              <w:t>Ej möjligt (drivkrafter rapporterades inte om de inte var kopplade till påverkan som rapporterats på detaljerad nivå, vilket var valfritt).</w:t>
            </w:r>
          </w:p>
        </w:tc>
      </w:tr>
    </w:tbl>
    <w:p w:rsidR="000215C5" w:rsidRDefault="00703023">
      <w:pPr>
        <w:jc w:val="both"/>
        <w:rPr>
          <w:sz w:val="20"/>
        </w:rPr>
      </w:pPr>
      <w:r>
        <w:rPr>
          <w:b/>
          <w:sz w:val="20"/>
        </w:rPr>
        <w:t>Anmärkningar:</w:t>
      </w:r>
      <w:r>
        <w:rPr>
          <w:sz w:val="20"/>
        </w:rPr>
        <w:t xml:space="preserve"> * Informationsnivå: EU = europeisk nivå, MS = nationell nivå, medlemsstatsnivå, RBD = avrinningsdistrikt, SU = delavrinningsdistrikt, WB = vattenförekomst.</w:t>
      </w:r>
    </w:p>
    <w:p w:rsidR="000215C5" w:rsidRDefault="00703023">
      <w:pPr>
        <w:pStyle w:val="Rubrik3"/>
      </w:pPr>
      <w:r>
        <w:t>Innehåll i rapporteringen 2016</w:t>
      </w:r>
    </w:p>
    <w:p w:rsidR="000215C5" w:rsidRDefault="00703023">
      <w:pPr>
        <w:pStyle w:val="Rubrik4"/>
      </w:pPr>
      <w:r>
        <w:t>Skiss över mallarna</w:t>
      </w:r>
    </w:p>
    <w:p w:rsidR="000215C5" w:rsidRDefault="00703023">
      <w:pPr>
        <w:jc w:val="both"/>
      </w:pPr>
      <w:r>
        <w:t>Se bilaga 10.2.</w:t>
      </w:r>
    </w:p>
    <w:p w:rsidR="000215C5" w:rsidRDefault="00703023">
      <w:pPr>
        <w:pStyle w:val="Rubrik4"/>
      </w:pPr>
      <w:r>
        <w:t>Information och uppgifter som ska rapporteras med hjälp av mallarna</w:t>
      </w:r>
    </w:p>
    <w:p w:rsidR="000215C5" w:rsidRDefault="00703023">
      <w:pPr>
        <w:jc w:val="both"/>
      </w:pPr>
      <w:r>
        <w:t>Information om påverkan och effekter på ytvattenförekomster ska rapporteras på ytvattenförekomstnivå enligt mallen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rPr>
            </w:pPr>
            <w:r>
              <w:rPr>
                <w:b/>
              </w:rPr>
              <w:t>Mall: SWB (fortsättning)</w:t>
            </w:r>
          </w:p>
        </w:tc>
      </w:tr>
      <w:tr w:rsidR="000215C5">
        <w:tc>
          <w:tcPr>
            <w:tcW w:w="9889" w:type="dxa"/>
            <w:shd w:val="clear" w:color="auto" w:fill="auto"/>
          </w:tcPr>
          <w:p w:rsidR="000215C5" w:rsidRDefault="00703023">
            <w:pPr>
              <w:spacing w:after="120"/>
              <w:jc w:val="both"/>
              <w:rPr>
                <w:b/>
                <w:i/>
                <w:szCs w:val="24"/>
              </w:rPr>
            </w:pPr>
            <w:r>
              <w:rPr>
                <w:b/>
                <w:i/>
              </w:rPr>
              <w:t>Klass: SurfaceWaterBody (fortsättning)</w:t>
            </w:r>
          </w:p>
          <w:p w:rsidR="000215C5" w:rsidRDefault="00703023">
            <w:pPr>
              <w:spacing w:after="120"/>
              <w:jc w:val="both"/>
              <w:rPr>
                <w:b/>
                <w:i/>
              </w:rPr>
            </w:pPr>
            <w:r>
              <w:rPr>
                <w:b/>
                <w:i/>
              </w:rPr>
              <w:t xml:space="preserve">Egenskaper: </w:t>
            </w:r>
            <w:r>
              <w:rPr>
                <w:i/>
              </w:rPr>
              <w:t>maxOccur: unbounded minOccur: 1</w:t>
            </w:r>
          </w:p>
        </w:tc>
      </w:tr>
      <w:tr w:rsidR="000215C5">
        <w:tc>
          <w:tcPr>
            <w:tcW w:w="9889" w:type="dxa"/>
            <w:shd w:val="clear" w:color="auto" w:fill="auto"/>
          </w:tcPr>
          <w:p w:rsidR="000215C5" w:rsidRDefault="00703023">
            <w:pPr>
              <w:spacing w:after="120"/>
              <w:jc w:val="both"/>
              <w:rPr>
                <w:b/>
              </w:rPr>
            </w:pPr>
            <w:r>
              <w:rPr>
                <w:b/>
              </w:rPr>
              <w:t>Mallpost</w:t>
            </w:r>
            <w:r>
              <w:t>:</w:t>
            </w:r>
            <w:r>
              <w:rPr>
                <w:b/>
              </w:rPr>
              <w:t xml:space="preserve"> </w:t>
            </w:r>
            <w:r>
              <w:t>swSignificantPressureType</w:t>
            </w:r>
          </w:p>
          <w:p w:rsidR="000215C5" w:rsidRDefault="00703023">
            <w:pPr>
              <w:spacing w:after="120"/>
              <w:jc w:val="both"/>
            </w:pPr>
            <w:r>
              <w:rPr>
                <w:b/>
              </w:rPr>
              <w:t>Fälttyp/alternativ:</w:t>
            </w:r>
            <w:r>
              <w:t xml:space="preserve"> SignificantPressureType_Enum (se bilaga 1a)</w:t>
            </w:r>
          </w:p>
          <w:p w:rsidR="000215C5" w:rsidRDefault="00703023">
            <w:pPr>
              <w:spacing w:after="120"/>
              <w:jc w:val="both"/>
            </w:pPr>
            <w:r>
              <w:rPr>
                <w:b/>
              </w:rPr>
              <w:t>Egenskaper</w:t>
            </w:r>
            <w:r>
              <w:t>: maxOccurs = unbounded minOccurs = 1</w:t>
            </w:r>
          </w:p>
          <w:p w:rsidR="000215C5" w:rsidRDefault="00703023">
            <w:pPr>
              <w:spacing w:after="120"/>
              <w:jc w:val="both"/>
              <w:rPr>
                <w:szCs w:val="24"/>
              </w:rPr>
            </w:pPr>
            <w:r>
              <w:rPr>
                <w:b/>
              </w:rPr>
              <w:t>Vägledning om hur man fyller i mallposten</w:t>
            </w:r>
            <w:r>
              <w:t>: Krävs. Ange typen eller typerna av betydande påverkan från uppräkningslistan.</w:t>
            </w:r>
          </w:p>
          <w:p w:rsidR="000215C5" w:rsidRDefault="00703023">
            <w:pPr>
              <w:spacing w:after="120"/>
              <w:jc w:val="both"/>
              <w:rPr>
                <w:szCs w:val="24"/>
              </w:rPr>
            </w:pPr>
            <w:r>
              <w:t>Om en kombination av påverkan och drivkraft inte är betydande i sig, men däremot i kombination med andra, välj all relevant påverkan av den typen som leder till att den totala påverkan är betydande (om uttag av industrier eller jordbruk t.ex. inte är relevanta var för sig, men är relevanta i kombination, välj båda).</w:t>
            </w:r>
          </w:p>
          <w:p w:rsidR="000215C5" w:rsidRDefault="00703023">
            <w:pPr>
              <w:spacing w:after="120"/>
              <w:jc w:val="both"/>
            </w:pPr>
            <w:r>
              <w:t>Om ytvattenförekomstens ekologiska status eller potential är sämre än god, måste minst en typ av betydande påverkan rapporteras. Alternativet ”No significant pressure” är inte giltigt.</w:t>
            </w:r>
          </w:p>
          <w:p w:rsidR="000215C5" w:rsidRDefault="00703023">
            <w:pPr>
              <w:spacing w:after="120"/>
              <w:jc w:val="both"/>
            </w:pPr>
            <w:r>
              <w:t>Om ytvattenförekomstens kemiska status är sämre än god, måste minst en typ av betydande påverkan rapporteras. Alternativet ”No significant pressure” är inte giltigt.</w:t>
            </w:r>
          </w:p>
          <w:p w:rsidR="000215C5" w:rsidRDefault="00703023">
            <w:pPr>
              <w:spacing w:after="120"/>
              <w:jc w:val="both"/>
            </w:pPr>
            <w:r>
              <w:rPr>
                <w:b/>
              </w:rPr>
              <w:t>Kvalitetskontroller</w:t>
            </w:r>
            <w:r>
              <w:t xml:space="preserve">: Intern kontroll: alternativet ”No significant pressure” går inte att kombinera med andra alternativ. </w:t>
            </w:r>
          </w:p>
          <w:p w:rsidR="000215C5" w:rsidRDefault="00703023">
            <w:pPr>
              <w:spacing w:after="120"/>
              <w:jc w:val="both"/>
            </w:pPr>
            <w:r>
              <w:t xml:space="preserve">Intern kontroll: alternativet ”Not applicable” går inte att kombinera med andra alternativ och får endast väljas om surfaceWaterBodyCategory är ”TeW” (går inte att kombinera med någon annan surfaceWaterBodyCategory). </w:t>
            </w:r>
          </w:p>
          <w:p w:rsidR="000215C5" w:rsidRDefault="00703023">
            <w:pPr>
              <w:spacing w:after="120"/>
              <w:jc w:val="both"/>
            </w:pPr>
            <w:r>
              <w:t xml:space="preserve">Intern kontroll: Om SWB/SurfaceWaterBody/swEcologicalStatusOrPotentialValue är 3, 4 eller 5 måste minst en typ av betydande påverkan väljas från uppräkningslistan (alternativ 8 – ”Unknown pressures” får väljas). Alternativet ”No significant pressure” är inte ett giltigt val. </w:t>
            </w:r>
          </w:p>
          <w:p w:rsidR="000215C5" w:rsidRDefault="00703023">
            <w:pPr>
              <w:spacing w:after="120"/>
              <w:jc w:val="both"/>
              <w:rPr>
                <w:b/>
              </w:rPr>
            </w:pPr>
            <w:r>
              <w:t>Intern kontroll: Om SWB/SurfaceWaterBody/swChemicalStatusValue är 3 måste minst en typ av betydande påverkan väljas från uppräkningslistan (alternativ 8 – ”Unknown pressures” får väljas). Alternativet ”No significant pressure” är inte ett giltigt val.</w:t>
            </w:r>
          </w:p>
        </w:tc>
      </w:tr>
      <w:tr w:rsidR="000215C5">
        <w:tc>
          <w:tcPr>
            <w:tcW w:w="9889" w:type="dxa"/>
            <w:shd w:val="clear" w:color="auto" w:fill="auto"/>
          </w:tcPr>
          <w:p w:rsidR="000215C5" w:rsidRDefault="00703023">
            <w:pPr>
              <w:spacing w:after="120"/>
              <w:jc w:val="both"/>
              <w:rPr>
                <w:b/>
              </w:rPr>
            </w:pPr>
            <w:r>
              <w:rPr>
                <w:b/>
              </w:rPr>
              <w:t>Mallpost</w:t>
            </w:r>
            <w:r>
              <w:t>:</w:t>
            </w:r>
            <w:r>
              <w:rPr>
                <w:b/>
              </w:rPr>
              <w:t xml:space="preserve"> </w:t>
            </w:r>
            <w:r>
              <w:t>swSignificantPressureOther</w:t>
            </w:r>
          </w:p>
          <w:p w:rsidR="000215C5" w:rsidRDefault="00703023">
            <w:pPr>
              <w:tabs>
                <w:tab w:val="left" w:pos="2385"/>
              </w:tabs>
              <w:spacing w:after="120"/>
              <w:jc w:val="both"/>
              <w:rPr>
                <w:szCs w:val="24"/>
              </w:rPr>
            </w:pPr>
            <w:r>
              <w:rPr>
                <w:b/>
              </w:rPr>
              <w:t>Fälttyp/alternativ</w:t>
            </w:r>
            <w:r>
              <w:t>: String1000Type</w:t>
            </w:r>
          </w:p>
          <w:p w:rsidR="000215C5" w:rsidRDefault="00703023">
            <w:pPr>
              <w:spacing w:after="120"/>
              <w:jc w:val="both"/>
              <w:rPr>
                <w:szCs w:val="24"/>
              </w:rPr>
            </w:pPr>
            <w:r>
              <w:rPr>
                <w:b/>
              </w:rPr>
              <w:t>Egenskaper</w:t>
            </w:r>
            <w:r>
              <w:t>: maxOccurs = 1 minOccurs = 0</w:t>
            </w:r>
          </w:p>
          <w:p w:rsidR="000215C5" w:rsidRDefault="00703023">
            <w:pPr>
              <w:spacing w:after="120"/>
              <w:jc w:val="both"/>
            </w:pPr>
            <w:r>
              <w:rPr>
                <w:b/>
              </w:rPr>
              <w:t>Vägledning om hur man fyller i mallposten</w:t>
            </w:r>
            <w:r>
              <w:t>: Villkorlig. Om alternativ 7 – ”Anthropogenic pressure – Other” väljs från uppräkningslistan och rapporteras under swSignificantPressureType, ange eventuella andra typer av mänsklig påverkan som är relevanta i denna post. Denna post ska endast rapporteras om typen av påverkan inte finns med under swSignificantPressureType i uppräkningslistan.</w:t>
            </w:r>
          </w:p>
          <w:p w:rsidR="000215C5" w:rsidRDefault="00703023">
            <w:pPr>
              <w:spacing w:after="120"/>
              <w:jc w:val="both"/>
              <w:rPr>
                <w:b/>
              </w:rPr>
            </w:pPr>
            <w:r>
              <w:rPr>
                <w:b/>
              </w:rPr>
              <w:t>Kvalitetskontroller</w:t>
            </w:r>
            <w:r>
              <w:t xml:space="preserve">: Villkorlig kontroll: Rapportera om </w:t>
            </w:r>
            <w:r>
              <w:rPr>
                <w:rFonts w:ascii="Calibri" w:hAnsi="Calibri"/>
                <w:color w:val="000000"/>
                <w:sz w:val="22"/>
              </w:rPr>
              <w:t>7 – ”Anthropogenic pressure - Other”</w:t>
            </w:r>
            <w:r>
              <w:t xml:space="preserve"> väljs under swSignificantPressureType i uppräkningslistan.</w:t>
            </w:r>
          </w:p>
        </w:tc>
      </w:tr>
      <w:tr w:rsidR="000215C5">
        <w:tc>
          <w:tcPr>
            <w:tcW w:w="9889" w:type="dxa"/>
            <w:shd w:val="clear" w:color="auto" w:fill="auto"/>
          </w:tcPr>
          <w:p w:rsidR="000215C5" w:rsidRDefault="00703023">
            <w:pPr>
              <w:spacing w:after="120"/>
              <w:jc w:val="both"/>
              <w:rPr>
                <w:b/>
              </w:rPr>
            </w:pPr>
            <w:r>
              <w:rPr>
                <w:b/>
              </w:rPr>
              <w:t>Mallpost</w:t>
            </w:r>
            <w:r>
              <w:t>:</w:t>
            </w:r>
            <w:r>
              <w:rPr>
                <w:b/>
              </w:rPr>
              <w:t xml:space="preserve"> </w:t>
            </w:r>
            <w:r>
              <w:t>swSignificantImpactType</w:t>
            </w:r>
          </w:p>
          <w:p w:rsidR="000215C5" w:rsidRDefault="00703023">
            <w:pPr>
              <w:spacing w:after="120"/>
              <w:jc w:val="both"/>
            </w:pPr>
            <w:r>
              <w:rPr>
                <w:b/>
              </w:rPr>
              <w:t xml:space="preserve">Fälttyp/alternativ: </w:t>
            </w:r>
            <w:r>
              <w:t>SignificantImpactType_Enum (se bilaga 1b)</w:t>
            </w:r>
          </w:p>
          <w:p w:rsidR="000215C5" w:rsidRDefault="00703023">
            <w:pPr>
              <w:spacing w:after="120"/>
              <w:jc w:val="both"/>
            </w:pPr>
            <w:r>
              <w:rPr>
                <w:b/>
              </w:rPr>
              <w:t>Egenskaper</w:t>
            </w:r>
            <w:r>
              <w:t>: maxOccurs = unbounded minOccurs = 1</w:t>
            </w:r>
          </w:p>
          <w:p w:rsidR="000215C5" w:rsidRDefault="00703023">
            <w:pPr>
              <w:spacing w:after="120"/>
              <w:jc w:val="both"/>
              <w:rPr>
                <w:szCs w:val="24"/>
              </w:rPr>
            </w:pPr>
            <w:r>
              <w:rPr>
                <w:b/>
              </w:rPr>
              <w:t>Vägledning om hur man fyller i mallposten</w:t>
            </w:r>
            <w:r>
              <w:t>: Krävs. Ange typen eller typerna av effekter från uppräkningslistan.</w:t>
            </w:r>
          </w:p>
          <w:p w:rsidR="000215C5" w:rsidRDefault="00703023">
            <w:pPr>
              <w:spacing w:after="120"/>
              <w:jc w:val="both"/>
            </w:pPr>
            <w:r>
              <w:t>Om ytvattenförekomstens ekologiska status eller potential är sämre än god, måste minst en typ av betydande effekt eller alternativet ”</w:t>
            </w:r>
            <w:r>
              <w:rPr>
                <w:rFonts w:ascii="Calibri" w:hAnsi="Calibri"/>
                <w:color w:val="000000"/>
                <w:sz w:val="22"/>
              </w:rPr>
              <w:t>UNKN – Unknown impact type</w:t>
            </w:r>
            <w:r>
              <w:t>” rapporteras. Alternativet ”</w:t>
            </w:r>
            <w:r>
              <w:rPr>
                <w:rFonts w:ascii="Calibri" w:hAnsi="Calibri"/>
                <w:color w:val="000000"/>
                <w:sz w:val="22"/>
              </w:rPr>
              <w:t>NOSI – No significant impact</w:t>
            </w:r>
            <w:r>
              <w:t>” är inte giltigt.</w:t>
            </w:r>
          </w:p>
          <w:p w:rsidR="000215C5" w:rsidRDefault="00703023">
            <w:pPr>
              <w:spacing w:after="120"/>
              <w:jc w:val="both"/>
            </w:pPr>
            <w:r>
              <w:t>Om ytvattenförekomstens kemiska status är sämre än god, måste minst en typ av betydande effekt eller alternativet ”</w:t>
            </w:r>
            <w:r>
              <w:rPr>
                <w:rFonts w:ascii="Calibri" w:hAnsi="Calibri"/>
                <w:color w:val="000000"/>
                <w:sz w:val="22"/>
              </w:rPr>
              <w:t>UNKN – Unknown impact type</w:t>
            </w:r>
            <w:r>
              <w:t>” rapporteras. Alternativet ”</w:t>
            </w:r>
            <w:r>
              <w:rPr>
                <w:rFonts w:ascii="Calibri" w:hAnsi="Calibri"/>
                <w:color w:val="000000"/>
                <w:sz w:val="22"/>
              </w:rPr>
              <w:t>NOSI – No significant impact</w:t>
            </w:r>
            <w:r>
              <w:t>” är inte giltigt.</w:t>
            </w:r>
          </w:p>
          <w:p w:rsidR="000215C5" w:rsidRDefault="00703023">
            <w:pPr>
              <w:spacing w:after="120"/>
              <w:jc w:val="both"/>
            </w:pPr>
            <w:r>
              <w:rPr>
                <w:b/>
              </w:rPr>
              <w:t>Kvalitetskontroller</w:t>
            </w:r>
            <w:r>
              <w:t>: Intern kontroll: alternativet ”</w:t>
            </w:r>
            <w:r>
              <w:rPr>
                <w:rFonts w:ascii="Calibri" w:hAnsi="Calibri"/>
                <w:color w:val="000000"/>
                <w:sz w:val="22"/>
              </w:rPr>
              <w:t>NOSI – No significant impact</w:t>
            </w:r>
            <w:r>
              <w:t xml:space="preserve">” går inte att kombinera med andra alternativ. </w:t>
            </w:r>
          </w:p>
          <w:p w:rsidR="000215C5" w:rsidRDefault="00703023">
            <w:pPr>
              <w:spacing w:after="120"/>
              <w:jc w:val="both"/>
            </w:pPr>
            <w:r>
              <w:t>Intern kontroll: alternativet ”</w:t>
            </w:r>
            <w:r>
              <w:rPr>
                <w:rFonts w:ascii="Calibri" w:hAnsi="Calibri"/>
                <w:color w:val="000000"/>
                <w:sz w:val="22"/>
              </w:rPr>
              <w:t>NOTA – Not applicable (Territorial Waters)</w:t>
            </w:r>
            <w:r>
              <w:t xml:space="preserve">” går inte att kombinera med andra alternativ och får endast väljas om surfaceWaterBodyCategory är ”TeW” (går inte att kombinera med någon annan surfaceWaterBodyCategory). </w:t>
            </w:r>
          </w:p>
          <w:p w:rsidR="000215C5" w:rsidRDefault="00703023">
            <w:pPr>
              <w:spacing w:after="120"/>
              <w:jc w:val="both"/>
              <w:rPr>
                <w:szCs w:val="24"/>
              </w:rPr>
            </w:pPr>
            <w:r>
              <w:t>Intern kontroll: Om SWB/SWEcologicalStatus/SwEcologicalStatusOrPotentialValue är 3, 4 eller 5 måste minst en typ av betydande effekt eller alternativet ‘”</w:t>
            </w:r>
            <w:r>
              <w:rPr>
                <w:rFonts w:ascii="Calibri" w:hAnsi="Calibri"/>
                <w:color w:val="000000"/>
                <w:sz w:val="22"/>
              </w:rPr>
              <w:t>UNKN – Unknown impact type”</w:t>
            </w:r>
            <w:r>
              <w:t xml:space="preserve"> väljas från uppräkningslistan. Alternativet ”</w:t>
            </w:r>
            <w:r>
              <w:rPr>
                <w:rFonts w:ascii="Calibri" w:hAnsi="Calibri"/>
                <w:color w:val="000000"/>
                <w:sz w:val="22"/>
              </w:rPr>
              <w:t>NOSI – No significant impact</w:t>
            </w:r>
            <w:r>
              <w:t>” är inte ett giltigt val. Intern kontroll: Om SWB/SurfaceWaterBody/swChemicalStatusValue är 3 måste minst en typ av betydande effekt eller alternativet ‘”</w:t>
            </w:r>
            <w:r>
              <w:rPr>
                <w:rFonts w:ascii="Calibri" w:hAnsi="Calibri"/>
                <w:color w:val="000000"/>
                <w:sz w:val="22"/>
              </w:rPr>
              <w:t>UNKN – Unknown impact type”</w:t>
            </w:r>
            <w:r>
              <w:t xml:space="preserve"> väljas från uppräkningslistan. Alternativet ”</w:t>
            </w:r>
            <w:r>
              <w:rPr>
                <w:rFonts w:ascii="Calibri" w:hAnsi="Calibri"/>
                <w:color w:val="000000"/>
                <w:sz w:val="22"/>
              </w:rPr>
              <w:t>NOSI – No significant impact</w:t>
            </w:r>
            <w:r>
              <w:t>” är inte ett giltigt val.</w:t>
            </w:r>
          </w:p>
          <w:p w:rsidR="000215C5" w:rsidRDefault="000215C5">
            <w:pPr>
              <w:spacing w:after="120"/>
              <w:jc w:val="both"/>
            </w:pPr>
          </w:p>
        </w:tc>
      </w:tr>
      <w:tr w:rsidR="000215C5">
        <w:tc>
          <w:tcPr>
            <w:tcW w:w="9889" w:type="dxa"/>
            <w:shd w:val="clear" w:color="auto" w:fill="auto"/>
          </w:tcPr>
          <w:p w:rsidR="000215C5" w:rsidRDefault="00703023">
            <w:pPr>
              <w:spacing w:after="120"/>
              <w:jc w:val="both"/>
              <w:rPr>
                <w:b/>
              </w:rPr>
            </w:pPr>
            <w:r>
              <w:rPr>
                <w:b/>
              </w:rPr>
              <w:t>Mallpost</w:t>
            </w:r>
            <w:r>
              <w:t>:</w:t>
            </w:r>
            <w:r>
              <w:rPr>
                <w:b/>
              </w:rPr>
              <w:t xml:space="preserve"> </w:t>
            </w:r>
            <w:r>
              <w:t>swSignificantImpactOther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alternativet ”</w:t>
            </w:r>
            <w:r>
              <w:rPr>
                <w:rFonts w:ascii="Calibri" w:hAnsi="Calibri"/>
                <w:color w:val="000000"/>
                <w:sz w:val="22"/>
              </w:rPr>
              <w:t>OTHE – Other significant impact type”</w:t>
            </w:r>
            <w:r w:rsidR="00F03563">
              <w:rPr>
                <w:rFonts w:ascii="Calibri" w:hAnsi="Calibri"/>
                <w:color w:val="000000"/>
                <w:sz w:val="22"/>
              </w:rPr>
              <w:t xml:space="preserve"> </w:t>
            </w:r>
            <w:r>
              <w:t>väljs från uppräkningslistan och rapporteras under swSignificantImpactType, ange eventuella andra typer av effekter som är relevanta i denna post. Denna post ska endast rapporteras om typen av effekt inte finns med under swSignificantImpactType i uppräkningslistan.</w:t>
            </w:r>
          </w:p>
          <w:p w:rsidR="000215C5" w:rsidRDefault="00703023">
            <w:pPr>
              <w:spacing w:after="120"/>
              <w:jc w:val="both"/>
              <w:rPr>
                <w:b/>
              </w:rPr>
            </w:pPr>
            <w:r>
              <w:rPr>
                <w:b/>
              </w:rPr>
              <w:t>Kvalitetskontroller</w:t>
            </w:r>
            <w:r>
              <w:t>: Villkorlig kontroll: Rapportera om alternativet ”</w:t>
            </w:r>
            <w:r>
              <w:rPr>
                <w:rFonts w:ascii="Calibri" w:hAnsi="Calibri"/>
                <w:color w:val="000000"/>
                <w:sz w:val="22"/>
              </w:rPr>
              <w:t>OTHE– Other significant impact type”</w:t>
            </w:r>
            <w:r>
              <w:t xml:space="preserve"> väljs under swSignificantImpactType i uppräkningslistan.</w:t>
            </w:r>
          </w:p>
        </w:tc>
      </w:tr>
    </w:tbl>
    <w:p w:rsidR="000215C5" w:rsidRDefault="000215C5">
      <w:pPr>
        <w:jc w:val="both"/>
      </w:pPr>
    </w:p>
    <w:p w:rsidR="000215C5" w:rsidRDefault="00703023">
      <w:pPr>
        <w:pStyle w:val="Rubrik4"/>
      </w:pPr>
      <w:bookmarkStart w:id="128" w:name="_Ref374567359"/>
      <w:r>
        <w:t>Vägledning om innehållet i förvaltningsplanerna för avrinningsdistrikt/bakgrundsdokument</w:t>
      </w:r>
    </w:p>
    <w:p w:rsidR="000215C5" w:rsidRDefault="00703023">
      <w:pPr>
        <w:jc w:val="both"/>
      </w:pPr>
      <w:r>
        <w:t>Se mallen SWMET för den information som krävs om metoder för analys av påverkan och effekter.</w:t>
      </w:r>
    </w:p>
    <w:p w:rsidR="000215C5" w:rsidRDefault="00703023">
      <w:pPr>
        <w:pStyle w:val="Rubrik4"/>
      </w:pPr>
      <w:r>
        <w:t>Ordlista: förtydligande av begrepp och rapporteringskrav</w:t>
      </w:r>
      <w:bookmarkEnd w:id="128"/>
    </w:p>
    <w:p w:rsidR="000215C5" w:rsidRDefault="00703023">
      <w:pPr>
        <w:jc w:val="both"/>
      </w:pPr>
      <w:r>
        <w:t xml:space="preserve">Vissa medlemsstater som har ett stort antal vattenförekomster med låg påverkan kan </w:t>
      </w:r>
      <w:r>
        <w:rPr>
          <w:b/>
        </w:rPr>
        <w:t>gruppera vattenförekomster</w:t>
      </w:r>
      <w:r>
        <w:t xml:space="preserve"> för bedömningen av påverkan och status. Den information som rapporteras för vattenförekomster som tillhör en grupp är därför identisk.</w:t>
      </w:r>
    </w:p>
    <w:p w:rsidR="000215C5" w:rsidRDefault="00703023">
      <w:pPr>
        <w:jc w:val="both"/>
      </w:pPr>
      <w:r>
        <w:t>”Betydande påverkan” är påverkan som antingen separat eller i kombination med annan påverkan hindrar eller riskerar uppnåendet av miljömålen i artikel 4.1 i ramdirektivet för vatten. Målen handlar bland annat om att uppnå god status, förebygga försämringar av status, undvika betydande och ihållande uppåtgående trender i föroreningen av grundvatten och uppnå målen för vattendirektivets skyddade områden. När det gäller den andra versionen av förvaltningsplanerna innebär detta att alla vattenförekomster som inte har god status och inte förväntas uppnå god status 2015 ligger i riskzonen, och medlemsstaterna förväntas identifiera betydande påverkan för dem.</w:t>
      </w:r>
    </w:p>
    <w:p w:rsidR="000215C5" w:rsidRDefault="00703023">
      <w:pPr>
        <w:jc w:val="both"/>
      </w:pPr>
      <w:r>
        <w:t>Olika former av påverkan kan i kombination leda till att vattenförekomsten riskerar att inte uppnå vattendirektivets miljömål. Utsläpp från en punktkälla kanske inte utgör en risk i sig, men kan i kombination med ett minskat flöde påverka vattenförekomsten. I sådana fall bör båda formerna av påverkan (punktkälla och uttag) identifieras som betydande. Samma sak händer när påverkan av samma typ förekommer men av olika orsaker. Uttag för dricksvattenförsörjning och för industrier från en viss vattenförekomst kanske inte som exempel är betydande i sig, men bör i kombination med varandra identifieras som betydande.</w:t>
      </w:r>
    </w:p>
    <w:p w:rsidR="000215C5" w:rsidRDefault="00703023">
      <w:pPr>
        <w:pStyle w:val="Rubrik2"/>
        <w:jc w:val="both"/>
      </w:pPr>
      <w:bookmarkStart w:id="129" w:name="_Toc375220048"/>
      <w:bookmarkStart w:id="130" w:name="_Toc386464215"/>
      <w:bookmarkStart w:id="131" w:name="_Toc425522042"/>
      <w:bookmarkStart w:id="132" w:name="_Toc432666054"/>
      <w:bookmarkStart w:id="133" w:name="_Toc437520250"/>
      <w:r>
        <w:t>Ekologisk status och undantag</w:t>
      </w:r>
      <w:bookmarkEnd w:id="129"/>
      <w:bookmarkEnd w:id="130"/>
      <w:bookmarkEnd w:id="131"/>
      <w:bookmarkEnd w:id="132"/>
      <w:bookmarkEnd w:id="133"/>
    </w:p>
    <w:p w:rsidR="000215C5" w:rsidRDefault="00703023">
      <w:pPr>
        <w:pStyle w:val="Rubrik3"/>
      </w:pPr>
      <w:bookmarkStart w:id="134" w:name="_Toc375220049"/>
      <w:r>
        <w:t>Inledning</w:t>
      </w:r>
    </w:p>
    <w:bookmarkEnd w:id="134"/>
    <w:p w:rsidR="000215C5" w:rsidRDefault="00703023">
      <w:pPr>
        <w:jc w:val="both"/>
        <w:rPr>
          <w:szCs w:val="24"/>
        </w:rPr>
      </w:pPr>
      <w:r>
        <w:t>Vattendirektivets miljömål anges i artikel 4, som inriktas på långsiktig hållbar vattenförvaltning. Vattendirektivets allmänna mål fastställs i artikel 4.1. Målen ska uppnås för alla yt- och grundvattenförekomster, dvs. god status (för naturliga vattenförekomster) eller potential (för konstgjorda eller kraftigt modifierade vattenförekomster) till 2015. Principen är att all ytterligare försämring av vattenförekomsternas status ska undvikas. Det finns ett antal undantag från de allmänna målen som är möjliga under vissa förhållanden.</w:t>
      </w:r>
    </w:p>
    <w:p w:rsidR="000215C5" w:rsidRDefault="00703023">
      <w:pPr>
        <w:pStyle w:val="ListNumber2Level4"/>
        <w:numPr>
          <w:ilvl w:val="0"/>
          <w:numId w:val="76"/>
        </w:numPr>
        <w:jc w:val="both"/>
        <w:rPr>
          <w:szCs w:val="24"/>
        </w:rPr>
      </w:pPr>
      <w:r>
        <w:t>Enligt artikel 4.4 kan tidsfristen förlängas efter 2015.</w:t>
      </w:r>
    </w:p>
    <w:p w:rsidR="000215C5" w:rsidRDefault="00703023">
      <w:pPr>
        <w:pStyle w:val="ListNumber2Level4"/>
        <w:numPr>
          <w:ilvl w:val="0"/>
          <w:numId w:val="76"/>
        </w:numPr>
        <w:jc w:val="both"/>
        <w:rPr>
          <w:szCs w:val="24"/>
        </w:rPr>
      </w:pPr>
      <w:r>
        <w:t>Enligt artikel 4.5 får mindre stränga mål uppnås.</w:t>
      </w:r>
    </w:p>
    <w:p w:rsidR="000215C5" w:rsidRDefault="00703023">
      <w:pPr>
        <w:pStyle w:val="ListNumber2Level4"/>
        <w:numPr>
          <w:ilvl w:val="0"/>
          <w:numId w:val="76"/>
        </w:numPr>
        <w:jc w:val="both"/>
        <w:rPr>
          <w:szCs w:val="24"/>
        </w:rPr>
      </w:pPr>
      <w:r>
        <w:t>Enligt artikel 4.6 är en tillfällig försämring av vattenförekomsternas status tillåten.</w:t>
      </w:r>
    </w:p>
    <w:p w:rsidR="000215C5" w:rsidRDefault="00703023">
      <w:pPr>
        <w:pStyle w:val="ListNumber2Level4"/>
        <w:numPr>
          <w:ilvl w:val="0"/>
          <w:numId w:val="76"/>
        </w:numPr>
        <w:jc w:val="both"/>
        <w:rPr>
          <w:szCs w:val="24"/>
        </w:rPr>
      </w:pPr>
      <w:r>
        <w:t>I artikel 4.7 anges de förhållanden under vilka vattenförekomsters status får försämras eller vissa av vattendirektivets miljömål inte uppnås när det gäller nya modifieringar av ytvattenförekomsternas fysiska egenskaper. I sådana fall får en vattenförekomst försämras från hög till god status om detta är en följd av nya hållbara mänskliga utvecklingsverksamheter.</w:t>
      </w:r>
    </w:p>
    <w:p w:rsidR="000215C5" w:rsidRDefault="00703023">
      <w:pPr>
        <w:jc w:val="both"/>
        <w:rPr>
          <w:szCs w:val="24"/>
        </w:rPr>
      </w:pPr>
      <w:r>
        <w:t xml:space="preserve">Vattendirektivet utgör den allmänna ramen för undantag, men det finns utrymme för skillnader i tolkning och genomförande. Redan när direktivet började genomföras stod det klart att tillämpningen av undantag måste förklaras närmare och reglerna förtydligas. Dessa förtydliganden finns i CIS-vägledningsdokument nr 20: </w:t>
      </w:r>
      <w:r>
        <w:rPr>
          <w:i/>
        </w:rPr>
        <w:t>Exemptions to the Environmental Objectives</w:t>
      </w:r>
      <w:r>
        <w:rPr>
          <w:rStyle w:val="Fotnotsreferens"/>
        </w:rPr>
        <w:footnoteReference w:id="27"/>
      </w:r>
      <w:r>
        <w:t>, som publicerades 2009.</w:t>
      </w:r>
    </w:p>
    <w:p w:rsidR="000215C5" w:rsidRDefault="00703023">
      <w:pPr>
        <w:spacing w:after="120"/>
        <w:jc w:val="both"/>
        <w:rPr>
          <w:szCs w:val="24"/>
        </w:rPr>
      </w:pPr>
      <w:r>
        <w:t>I bilaga V till direktivet anges hur medlemsstaterna ska övervaka och redovisa en generell statusklassificering för varje vattenförekomst i alla vattenkategorier samt status för varje biologisk kvalitetsfaktor (BQE)/kvalitetsfaktor (QE) som används.</w:t>
      </w:r>
    </w:p>
    <w:p w:rsidR="000215C5" w:rsidRDefault="00703023">
      <w:pPr>
        <w:pStyle w:val="Rubrik3"/>
      </w:pPr>
      <w:r>
        <w:t>Hur kommer kommissionen och Europeiska miljöbyrån att använda den rapporterade informationen?</w:t>
      </w:r>
    </w:p>
    <w:p w:rsidR="000215C5" w:rsidRDefault="00703023">
      <w:pPr>
        <w:pStyle w:val="Brdtext"/>
        <w:jc w:val="both"/>
      </w:pPr>
      <w:r>
        <w:t xml:space="preserve">Information om vattenförekomsters status är den grundläggande indikator som visar om vattendirektivet genomförs på ett effektivt sätt. Merparten av de uppgifter och den information som rapporteras av medlemsstaterna kommer att användas för visualisering i form av kartor och diagram och för att informera allmänheten via Wise. </w:t>
      </w:r>
      <w:r w:rsidR="006E59C8" w:rsidRPr="006E59C8">
        <w:t>Uppgifterna och kartorna kommer dessutom att användas för att jämföra nuvarande status med den grundstatus som rapporterades i de</w:t>
      </w:r>
      <w:r w:rsidR="006E59C8">
        <w:t xml:space="preserve">n första förvaltningsplanen </w:t>
      </w:r>
      <w:r>
        <w:t>(t.ex. genom</w:t>
      </w:r>
      <w:r w:rsidR="006E59C8">
        <w:t xml:space="preserve"> att</w:t>
      </w:r>
      <w:r>
        <w:t xml:space="preserve"> </w:t>
      </w:r>
      <w:r w:rsidR="006E59C8" w:rsidRPr="006E59C8">
        <w:t>besvara frågan om huruvida vattenkvaliteten har förbättrats sedan åtgärdsprogrammet e</w:t>
      </w:r>
      <w:r w:rsidR="006E59C8">
        <w:t>nligt vattendirektivet inleddes</w:t>
      </w:r>
      <w:r>
        <w:t xml:space="preserve">). De uppgifter och kartor som ska lämnas är således mycket viktiga eftersom de ligger till grund för trendanalyser, utformning av politik och för bedömningen av hur effektiva de politiska åtgärderna är. </w:t>
      </w:r>
    </w:p>
    <w:p w:rsidR="000215C5" w:rsidRDefault="00703023">
      <w:pPr>
        <w:pStyle w:val="Brdtext"/>
        <w:jc w:val="both"/>
      </w:pPr>
      <w:r>
        <w:t xml:space="preserve">På EU-nivå kommer statistik och information att lämnas till Europaparlamentet. Allmänheten kommer att få tillgång till informationen via Wise. </w:t>
      </w:r>
    </w:p>
    <w:p w:rsidR="000215C5" w:rsidRDefault="00703023">
      <w:pPr>
        <w:pStyle w:val="Rubrik4"/>
      </w:pPr>
      <w:r>
        <w:t>Produkter från rapporteringen</w:t>
      </w:r>
    </w:p>
    <w:p w:rsidR="000215C5" w:rsidRDefault="00703023">
      <w:pPr>
        <w:jc w:val="both"/>
      </w:pPr>
      <w:r>
        <w:t>Obs: För alla relevanta produkter kommer information om ytvattenförekomster att presenteras per antal ytvattenförekomster, per storlek (längd eller yta) samt i procent.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1037"/>
        <w:gridCol w:w="1260"/>
        <w:gridCol w:w="1956"/>
        <w:gridCol w:w="1824"/>
        <w:gridCol w:w="1861"/>
      </w:tblGrid>
      <w:tr w:rsidR="000215C5" w:rsidTr="009A293E">
        <w:trPr>
          <w:cantSplit/>
          <w:tblHeader/>
        </w:trPr>
        <w:tc>
          <w:tcPr>
            <w:tcW w:w="455" w:type="dxa"/>
            <w:shd w:val="clear" w:color="auto" w:fill="auto"/>
          </w:tcPr>
          <w:p w:rsidR="000215C5" w:rsidRDefault="00703023">
            <w:pPr>
              <w:spacing w:after="0"/>
              <w:jc w:val="both"/>
              <w:rPr>
                <w:b/>
                <w:sz w:val="18"/>
                <w:szCs w:val="18"/>
              </w:rPr>
            </w:pPr>
            <w:r>
              <w:rPr>
                <w:b/>
                <w:sz w:val="18"/>
              </w:rPr>
              <w:t>Nb</w:t>
            </w:r>
          </w:p>
        </w:tc>
        <w:tc>
          <w:tcPr>
            <w:tcW w:w="1496" w:type="dxa"/>
            <w:shd w:val="clear" w:color="auto" w:fill="auto"/>
          </w:tcPr>
          <w:p w:rsidR="000215C5" w:rsidRDefault="00703023">
            <w:pPr>
              <w:spacing w:after="0"/>
              <w:jc w:val="both"/>
              <w:rPr>
                <w:b/>
                <w:sz w:val="18"/>
                <w:szCs w:val="18"/>
              </w:rPr>
            </w:pPr>
            <w:r>
              <w:rPr>
                <w:b/>
                <w:sz w:val="18"/>
              </w:rPr>
              <w:t>Produktens namn</w:t>
            </w:r>
          </w:p>
        </w:tc>
        <w:tc>
          <w:tcPr>
            <w:tcW w:w="1037" w:type="dxa"/>
            <w:shd w:val="clear" w:color="auto" w:fill="auto"/>
          </w:tcPr>
          <w:p w:rsidR="000215C5" w:rsidRDefault="00703023">
            <w:pPr>
              <w:spacing w:after="0"/>
              <w:jc w:val="both"/>
              <w:rPr>
                <w:b/>
                <w:sz w:val="18"/>
                <w:szCs w:val="18"/>
              </w:rPr>
            </w:pPr>
            <w:r>
              <w:rPr>
                <w:b/>
                <w:sz w:val="18"/>
              </w:rPr>
              <w:t>Produkttyp</w:t>
            </w:r>
          </w:p>
        </w:tc>
        <w:tc>
          <w:tcPr>
            <w:tcW w:w="1260" w:type="dxa"/>
            <w:shd w:val="clear" w:color="auto" w:fill="auto"/>
          </w:tcPr>
          <w:p w:rsidR="000215C5" w:rsidRDefault="00703023">
            <w:pPr>
              <w:spacing w:after="0"/>
              <w:jc w:val="both"/>
              <w:rPr>
                <w:b/>
                <w:sz w:val="18"/>
                <w:szCs w:val="18"/>
              </w:rPr>
            </w:pPr>
            <w:r>
              <w:rPr>
                <w:b/>
                <w:sz w:val="18"/>
              </w:rPr>
              <w:t>Informations</w:t>
            </w:r>
            <w:r w:rsidR="009A293E">
              <w:rPr>
                <w:b/>
                <w:sz w:val="18"/>
              </w:rPr>
              <w:t>-</w:t>
            </w:r>
            <w:r>
              <w:rPr>
                <w:b/>
                <w:sz w:val="18"/>
              </w:rPr>
              <w:t>nivå*</w:t>
            </w:r>
          </w:p>
        </w:tc>
        <w:tc>
          <w:tcPr>
            <w:tcW w:w="1956" w:type="dxa"/>
            <w:shd w:val="clear" w:color="auto" w:fill="auto"/>
          </w:tcPr>
          <w:p w:rsidR="000215C5" w:rsidRDefault="00703023">
            <w:pPr>
              <w:spacing w:after="0"/>
              <w:jc w:val="both"/>
              <w:rPr>
                <w:b/>
                <w:sz w:val="18"/>
                <w:szCs w:val="18"/>
              </w:rPr>
            </w:pPr>
            <w:r>
              <w:rPr>
                <w:b/>
                <w:sz w:val="18"/>
              </w:rPr>
              <w:t>Detaljerad information visas</w:t>
            </w:r>
          </w:p>
        </w:tc>
        <w:tc>
          <w:tcPr>
            <w:tcW w:w="1824"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861"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w:t>
            </w:r>
          </w:p>
        </w:tc>
        <w:tc>
          <w:tcPr>
            <w:tcW w:w="1496" w:type="dxa"/>
            <w:shd w:val="clear" w:color="auto" w:fill="auto"/>
          </w:tcPr>
          <w:p w:rsidR="000215C5" w:rsidRDefault="00703023">
            <w:pPr>
              <w:spacing w:after="0"/>
              <w:jc w:val="both"/>
              <w:rPr>
                <w:b/>
                <w:sz w:val="18"/>
                <w:szCs w:val="18"/>
              </w:rPr>
            </w:pPr>
            <w:r>
              <w:rPr>
                <w:b/>
                <w:sz w:val="18"/>
              </w:rPr>
              <w:t>Antal och procentandel ytvattenföre</w:t>
            </w:r>
            <w:r w:rsidR="00F03563">
              <w:rPr>
                <w:b/>
                <w:sz w:val="18"/>
              </w:rPr>
              <w:t>-</w:t>
            </w:r>
            <w:r>
              <w:rPr>
                <w:b/>
                <w:sz w:val="18"/>
              </w:rPr>
              <w:t>komster med hög eller god status samt förväntade förbättringar</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WB</w:t>
            </w:r>
          </w:p>
        </w:tc>
        <w:tc>
          <w:tcPr>
            <w:tcW w:w="1956" w:type="dxa"/>
            <w:shd w:val="clear" w:color="auto" w:fill="auto"/>
          </w:tcPr>
          <w:p w:rsidR="000215C5" w:rsidRDefault="00703023">
            <w:pPr>
              <w:spacing w:after="120"/>
              <w:jc w:val="both"/>
              <w:rPr>
                <w:sz w:val="18"/>
                <w:szCs w:val="18"/>
              </w:rPr>
            </w:pPr>
            <w:r>
              <w:rPr>
                <w:sz w:val="18"/>
              </w:rPr>
              <w:t>Antal och procentandel ytvattenförekomster med hög eller god ekologisk status eller potential samt förväntade förbättringar.</w:t>
            </w:r>
          </w:p>
          <w:p w:rsidR="000215C5" w:rsidRDefault="00703023">
            <w:pPr>
              <w:spacing w:after="0"/>
              <w:jc w:val="both"/>
              <w:rPr>
                <w:sz w:val="18"/>
                <w:szCs w:val="18"/>
              </w:rPr>
            </w:pPr>
            <w:r>
              <w:rPr>
                <w:sz w:val="18"/>
              </w:rPr>
              <w:t>Antal och procentandel ytvattenförekomster med god kemisk status samt förväntade förbättringar.</w:t>
            </w:r>
          </w:p>
        </w:tc>
        <w:tc>
          <w:tcPr>
            <w:tcW w:w="1824" w:type="dxa"/>
            <w:shd w:val="clear" w:color="auto" w:fill="auto"/>
          </w:tcPr>
          <w:p w:rsidR="000215C5" w:rsidRDefault="00703023">
            <w:pPr>
              <w:spacing w:after="0"/>
              <w:jc w:val="both"/>
              <w:rPr>
                <w:sz w:val="18"/>
                <w:szCs w:val="18"/>
              </w:rPr>
            </w:pPr>
            <w:r>
              <w:rPr>
                <w:sz w:val="18"/>
              </w:rPr>
              <w:t>Aggregering på grundval av den information som lämnas på vattenförekomstnivå.</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2</w:t>
            </w:r>
          </w:p>
        </w:tc>
        <w:tc>
          <w:tcPr>
            <w:tcW w:w="1496" w:type="dxa"/>
            <w:shd w:val="clear" w:color="auto" w:fill="auto"/>
          </w:tcPr>
          <w:p w:rsidR="000215C5" w:rsidRDefault="00703023">
            <w:pPr>
              <w:spacing w:after="0"/>
              <w:jc w:val="both"/>
              <w:rPr>
                <w:b/>
                <w:sz w:val="18"/>
                <w:szCs w:val="18"/>
              </w:rPr>
            </w:pPr>
            <w:r>
              <w:rPr>
                <w:b/>
                <w:sz w:val="18"/>
              </w:rPr>
              <w:t>Ytvattenföre</w:t>
            </w:r>
            <w:r w:rsidR="00F03563">
              <w:rPr>
                <w:b/>
                <w:sz w:val="18"/>
              </w:rPr>
              <w:t>-</w:t>
            </w:r>
            <w:r>
              <w:rPr>
                <w:b/>
                <w:sz w:val="18"/>
              </w:rPr>
              <w:t>komster med god ekologisk status samt utnyttjande av undantag</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120"/>
              <w:jc w:val="both"/>
              <w:rPr>
                <w:sz w:val="18"/>
                <w:szCs w:val="18"/>
              </w:rPr>
            </w:pPr>
            <w:r>
              <w:rPr>
                <w:sz w:val="18"/>
              </w:rPr>
              <w:t>Procentandel ytvattenförekomster som för närvarande har god eller bättre ekologisk status eller potential.</w:t>
            </w:r>
          </w:p>
          <w:p w:rsidR="000215C5" w:rsidRDefault="00703023">
            <w:pPr>
              <w:spacing w:after="120"/>
              <w:jc w:val="both"/>
              <w:rPr>
                <w:sz w:val="18"/>
                <w:szCs w:val="18"/>
              </w:rPr>
            </w:pPr>
            <w:r>
              <w:rPr>
                <w:sz w:val="18"/>
              </w:rPr>
              <w:t>Procentandel ytvattenförekomster med okänd status.</w:t>
            </w:r>
          </w:p>
          <w:p w:rsidR="000215C5" w:rsidRDefault="00703023">
            <w:pPr>
              <w:spacing w:after="0"/>
              <w:jc w:val="both"/>
              <w:rPr>
                <w:sz w:val="18"/>
                <w:szCs w:val="18"/>
              </w:rPr>
            </w:pPr>
            <w:r>
              <w:rPr>
                <w:sz w:val="18"/>
              </w:rPr>
              <w:t>Procentandel ytvattenförekomster som omfattas av undantag.</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3</w:t>
            </w:r>
          </w:p>
        </w:tc>
        <w:tc>
          <w:tcPr>
            <w:tcW w:w="1496" w:type="dxa"/>
            <w:shd w:val="clear" w:color="auto" w:fill="auto"/>
          </w:tcPr>
          <w:p w:rsidR="000215C5" w:rsidRDefault="00703023">
            <w:pPr>
              <w:spacing w:after="0"/>
              <w:jc w:val="both"/>
              <w:rPr>
                <w:b/>
                <w:sz w:val="18"/>
                <w:szCs w:val="18"/>
              </w:rPr>
            </w:pPr>
            <w:r>
              <w:rPr>
                <w:b/>
                <w:sz w:val="18"/>
              </w:rPr>
              <w:t>Procentandel ytvattenföre</w:t>
            </w:r>
            <w:r w:rsidR="00F03563">
              <w:rPr>
                <w:b/>
                <w:sz w:val="18"/>
              </w:rPr>
              <w:t>-</w:t>
            </w:r>
            <w:r>
              <w:rPr>
                <w:b/>
                <w:sz w:val="18"/>
              </w:rPr>
              <w:t>komster med sämre än god ekologisk status</w:t>
            </w:r>
          </w:p>
        </w:tc>
        <w:tc>
          <w:tcPr>
            <w:tcW w:w="1037" w:type="dxa"/>
            <w:shd w:val="clear" w:color="auto" w:fill="auto"/>
          </w:tcPr>
          <w:p w:rsidR="000215C5" w:rsidRDefault="00703023">
            <w:pPr>
              <w:spacing w:after="0"/>
              <w:jc w:val="both"/>
              <w:rPr>
                <w:sz w:val="18"/>
                <w:szCs w:val="18"/>
              </w:rPr>
            </w:pPr>
            <w:r>
              <w:rPr>
                <w:sz w:val="18"/>
              </w:rPr>
              <w:t>Karta</w:t>
            </w:r>
          </w:p>
        </w:tc>
        <w:tc>
          <w:tcPr>
            <w:tcW w:w="1260" w:type="dxa"/>
            <w:shd w:val="clear" w:color="auto" w:fill="auto"/>
          </w:tcPr>
          <w:p w:rsidR="000215C5" w:rsidRDefault="00703023">
            <w:pPr>
              <w:spacing w:after="0"/>
              <w:jc w:val="both"/>
              <w:rPr>
                <w:sz w:val="18"/>
                <w:szCs w:val="18"/>
              </w:rPr>
            </w:pPr>
            <w:r>
              <w:rPr>
                <w:sz w:val="18"/>
              </w:rPr>
              <w:t>RBD</w:t>
            </w:r>
          </w:p>
        </w:tc>
        <w:tc>
          <w:tcPr>
            <w:tcW w:w="1956" w:type="dxa"/>
            <w:shd w:val="clear" w:color="auto" w:fill="auto"/>
          </w:tcPr>
          <w:p w:rsidR="000215C5" w:rsidRDefault="00703023">
            <w:pPr>
              <w:spacing w:after="0"/>
              <w:jc w:val="both"/>
              <w:rPr>
                <w:sz w:val="18"/>
                <w:szCs w:val="18"/>
              </w:rPr>
            </w:pPr>
            <w:r>
              <w:rPr>
                <w:sz w:val="18"/>
              </w:rPr>
              <w:t>Andel klassificerade ytvattenförekomster med sämre än</w:t>
            </w:r>
          </w:p>
          <w:p w:rsidR="000215C5" w:rsidRDefault="00703023">
            <w:pPr>
              <w:spacing w:after="0"/>
              <w:jc w:val="both"/>
              <w:rPr>
                <w:sz w:val="18"/>
                <w:szCs w:val="18"/>
              </w:rPr>
            </w:pPr>
            <w:r>
              <w:rPr>
                <w:sz w:val="18"/>
              </w:rPr>
              <w:t>god ekologisk status eller potential, per kategori.</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4</w:t>
            </w:r>
          </w:p>
        </w:tc>
        <w:tc>
          <w:tcPr>
            <w:tcW w:w="1496" w:type="dxa"/>
            <w:shd w:val="clear" w:color="auto" w:fill="auto"/>
          </w:tcPr>
          <w:p w:rsidR="000215C5" w:rsidRDefault="00703023">
            <w:pPr>
              <w:spacing w:after="0"/>
              <w:jc w:val="both"/>
              <w:rPr>
                <w:sz w:val="18"/>
                <w:szCs w:val="18"/>
              </w:rPr>
            </w:pPr>
            <w:r>
              <w:rPr>
                <w:b/>
                <w:sz w:val="18"/>
              </w:rPr>
              <w:t>Procentandel ytvatten</w:t>
            </w:r>
            <w:r w:rsidR="00F03563">
              <w:rPr>
                <w:b/>
                <w:sz w:val="18"/>
              </w:rPr>
              <w:t>-</w:t>
            </w:r>
            <w:r>
              <w:rPr>
                <w:b/>
                <w:sz w:val="18"/>
              </w:rPr>
              <w:t>förekomster med okänd status</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MS/RBD</w:t>
            </w:r>
          </w:p>
        </w:tc>
        <w:tc>
          <w:tcPr>
            <w:tcW w:w="1956" w:type="dxa"/>
            <w:shd w:val="clear" w:color="auto" w:fill="auto"/>
          </w:tcPr>
          <w:p w:rsidR="000215C5" w:rsidRDefault="00703023">
            <w:pPr>
              <w:spacing w:after="0"/>
              <w:jc w:val="both"/>
              <w:rPr>
                <w:sz w:val="18"/>
                <w:szCs w:val="18"/>
              </w:rPr>
            </w:pPr>
            <w:r>
              <w:rPr>
                <w:sz w:val="18"/>
              </w:rPr>
              <w:t>Andel klassificerade ytvattenförekomster med okänd status.</w:t>
            </w:r>
          </w:p>
        </w:tc>
        <w:tc>
          <w:tcPr>
            <w:tcW w:w="1824" w:type="dxa"/>
            <w:shd w:val="clear" w:color="auto" w:fill="auto"/>
          </w:tcPr>
          <w:p w:rsidR="000215C5" w:rsidRDefault="000215C5">
            <w:pPr>
              <w:spacing w:after="0"/>
              <w:jc w:val="both"/>
              <w:rPr>
                <w:sz w:val="18"/>
                <w:szCs w:val="18"/>
              </w:rPr>
            </w:pPr>
          </w:p>
        </w:tc>
        <w:tc>
          <w:tcPr>
            <w:tcW w:w="1861" w:type="dxa"/>
            <w:shd w:val="clear" w:color="auto" w:fill="auto"/>
          </w:tcPr>
          <w:p w:rsidR="000215C5" w:rsidRDefault="00703023">
            <w:pPr>
              <w:spacing w:after="0"/>
              <w:jc w:val="both"/>
              <w:rPr>
                <w:sz w:val="18"/>
                <w:szCs w:val="18"/>
              </w:rPr>
            </w:pPr>
            <w:r>
              <w:rPr>
                <w:sz w:val="18"/>
              </w:rPr>
              <w:t>Nej</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5</w:t>
            </w:r>
          </w:p>
        </w:tc>
        <w:tc>
          <w:tcPr>
            <w:tcW w:w="1496" w:type="dxa"/>
            <w:shd w:val="clear" w:color="auto" w:fill="auto"/>
          </w:tcPr>
          <w:p w:rsidR="000215C5" w:rsidRDefault="00703023">
            <w:pPr>
              <w:spacing w:after="0"/>
              <w:jc w:val="both"/>
              <w:rPr>
                <w:b/>
                <w:sz w:val="18"/>
                <w:szCs w:val="18"/>
              </w:rPr>
            </w:pPr>
            <w:r>
              <w:rPr>
                <w:b/>
                <w:sz w:val="18"/>
              </w:rPr>
              <w:t>Övervakade föroreningar som är specifika för avrinnings</w:t>
            </w:r>
            <w:r w:rsidR="00F03563">
              <w:rPr>
                <w:b/>
                <w:sz w:val="18"/>
              </w:rPr>
              <w:t>-</w:t>
            </w:r>
            <w:r>
              <w:rPr>
                <w:b/>
                <w:sz w:val="18"/>
              </w:rPr>
              <w:t>distriktet (RBSP) samt RBSP som leder till att god ekologisk status inte uppnås, med kvalitets</w:t>
            </w:r>
            <w:r w:rsidR="00F03563">
              <w:rPr>
                <w:b/>
                <w:sz w:val="18"/>
              </w:rPr>
              <w:t>-</w:t>
            </w:r>
            <w:r>
              <w:rPr>
                <w:b/>
                <w:sz w:val="18"/>
              </w:rPr>
              <w:t>indikatorer</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Övervakade RBSP samt RBSP som leder till att god ekologisk status inte uppnås, med kvalitetsindikatorer.</w:t>
            </w:r>
          </w:p>
        </w:tc>
        <w:tc>
          <w:tcPr>
            <w:tcW w:w="1824" w:type="dxa"/>
            <w:shd w:val="clear" w:color="auto" w:fill="auto"/>
          </w:tcPr>
          <w:p w:rsidR="000215C5" w:rsidRDefault="00703023">
            <w:pPr>
              <w:spacing w:after="0"/>
              <w:jc w:val="both"/>
              <w:rPr>
                <w:sz w:val="18"/>
                <w:szCs w:val="18"/>
              </w:rPr>
            </w:pPr>
            <w:r>
              <w:rPr>
                <w:sz w:val="18"/>
              </w:rPr>
              <w:t>Aggregering av information som rapporteras för avrinningsdistriktet.</w:t>
            </w:r>
          </w:p>
        </w:tc>
        <w:tc>
          <w:tcPr>
            <w:tcW w:w="1861" w:type="dxa"/>
            <w:shd w:val="clear" w:color="auto" w:fill="auto"/>
          </w:tcPr>
          <w:p w:rsidR="000215C5" w:rsidRDefault="00703023">
            <w:pPr>
              <w:spacing w:after="0"/>
              <w:jc w:val="both"/>
              <w:rPr>
                <w:sz w:val="18"/>
                <w:szCs w:val="18"/>
              </w:rPr>
            </w:pPr>
            <w:r>
              <w:rPr>
                <w:sz w:val="18"/>
              </w:rPr>
              <w:t>Ej möjligt att ta fram (den nödvändiga informationen ingick inte i rapporteringskraven).</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6</w:t>
            </w:r>
          </w:p>
        </w:tc>
        <w:tc>
          <w:tcPr>
            <w:tcW w:w="1496" w:type="dxa"/>
            <w:shd w:val="clear" w:color="auto" w:fill="auto"/>
          </w:tcPr>
          <w:p w:rsidR="000215C5" w:rsidRDefault="00703023">
            <w:pPr>
              <w:spacing w:after="0"/>
              <w:jc w:val="both"/>
              <w:rPr>
                <w:b/>
                <w:sz w:val="18"/>
                <w:szCs w:val="18"/>
              </w:rPr>
            </w:pPr>
            <w:r>
              <w:rPr>
                <w:b/>
                <w:sz w:val="18"/>
              </w:rPr>
              <w:t>Procentandel som inte uppnår god ekologisk status där orsaken kan hänföras till RBSP</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Procentandel som inte uppnår god ekologisk status där orsaken kan hänföras till RBSP.</w:t>
            </w:r>
          </w:p>
        </w:tc>
        <w:tc>
          <w:tcPr>
            <w:tcW w:w="1824" w:type="dxa"/>
            <w:shd w:val="clear" w:color="auto" w:fill="auto"/>
          </w:tcPr>
          <w:p w:rsidR="000215C5" w:rsidRDefault="00703023">
            <w:pPr>
              <w:spacing w:after="0"/>
              <w:jc w:val="both"/>
              <w:rPr>
                <w:sz w:val="18"/>
                <w:szCs w:val="18"/>
              </w:rPr>
            </w:pPr>
            <w:r>
              <w:rPr>
                <w:sz w:val="18"/>
              </w:rPr>
              <w:t>Aggregering av information som rapporteras på vattenförekomstnivå.</w:t>
            </w:r>
          </w:p>
        </w:tc>
        <w:tc>
          <w:tcPr>
            <w:tcW w:w="1861" w:type="dxa"/>
            <w:shd w:val="clear" w:color="auto" w:fill="auto"/>
          </w:tcPr>
          <w:p w:rsidR="000215C5" w:rsidRDefault="00703023">
            <w:pPr>
              <w:spacing w:after="0"/>
              <w:jc w:val="both"/>
              <w:rPr>
                <w:sz w:val="18"/>
                <w:szCs w:val="18"/>
              </w:rPr>
            </w:pPr>
            <w:r>
              <w:rPr>
                <w:sz w:val="18"/>
              </w:rPr>
              <w:t>Ej möjligt (den nödvändiga informationen ingick inte i rapporteringskraven).</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7</w:t>
            </w:r>
          </w:p>
        </w:tc>
        <w:tc>
          <w:tcPr>
            <w:tcW w:w="1496" w:type="dxa"/>
            <w:shd w:val="clear" w:color="auto" w:fill="auto"/>
          </w:tcPr>
          <w:p w:rsidR="000215C5" w:rsidRDefault="00703023">
            <w:pPr>
              <w:spacing w:after="0"/>
              <w:jc w:val="both"/>
              <w:rPr>
                <w:b/>
                <w:sz w:val="18"/>
                <w:szCs w:val="18"/>
              </w:rPr>
            </w:pPr>
            <w:r>
              <w:rPr>
                <w:b/>
                <w:sz w:val="18"/>
              </w:rPr>
              <w:t>Aggregerings</w:t>
            </w:r>
            <w:r w:rsidR="00F03563">
              <w:rPr>
                <w:b/>
                <w:sz w:val="18"/>
              </w:rPr>
              <w:t>-</w:t>
            </w:r>
            <w:r>
              <w:rPr>
                <w:b/>
                <w:sz w:val="18"/>
              </w:rPr>
              <w:t>tabeller Ekologisk status hos ytvatten</w:t>
            </w:r>
            <w:r w:rsidR="00F03563">
              <w:rPr>
                <w:b/>
                <w:sz w:val="18"/>
              </w:rPr>
              <w:t>-</w:t>
            </w:r>
            <w:r>
              <w:rPr>
                <w:b/>
                <w:sz w:val="18"/>
              </w:rPr>
              <w:t xml:space="preserve">förekomster </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RBD/SU</w:t>
            </w:r>
          </w:p>
        </w:tc>
        <w:tc>
          <w:tcPr>
            <w:tcW w:w="1956" w:type="dxa"/>
            <w:shd w:val="clear" w:color="auto" w:fill="auto"/>
          </w:tcPr>
          <w:p w:rsidR="000215C5" w:rsidRDefault="00703023">
            <w:pPr>
              <w:spacing w:after="0"/>
              <w:jc w:val="both"/>
              <w:rPr>
                <w:sz w:val="18"/>
                <w:szCs w:val="18"/>
              </w:rPr>
            </w:pPr>
            <w:r>
              <w:rPr>
                <w:sz w:val="18"/>
              </w:rPr>
              <w:t>Antal och storlek (längd/yta) för ytvattenförekomster per klass av ekologisk status eller potential, per kategori.</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8</w:t>
            </w:r>
          </w:p>
        </w:tc>
        <w:tc>
          <w:tcPr>
            <w:tcW w:w="1496" w:type="dxa"/>
            <w:shd w:val="clear" w:color="auto" w:fill="auto"/>
          </w:tcPr>
          <w:p w:rsidR="000215C5" w:rsidRDefault="00703023">
            <w:pPr>
              <w:spacing w:after="0"/>
              <w:jc w:val="both"/>
              <w:rPr>
                <w:b/>
                <w:sz w:val="18"/>
                <w:szCs w:val="18"/>
              </w:rPr>
            </w:pPr>
            <w:r>
              <w:rPr>
                <w:b/>
                <w:sz w:val="18"/>
              </w:rPr>
              <w:t>Fördelning av ekologisk status eller potential hos klassificerade floder, sjöar, vatten i övergångszoner och kustvatten</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w:t>
            </w:r>
          </w:p>
        </w:tc>
        <w:tc>
          <w:tcPr>
            <w:tcW w:w="1956" w:type="dxa"/>
            <w:shd w:val="clear" w:color="auto" w:fill="auto"/>
          </w:tcPr>
          <w:p w:rsidR="000215C5" w:rsidRDefault="00703023">
            <w:pPr>
              <w:spacing w:after="0"/>
              <w:jc w:val="both"/>
              <w:rPr>
                <w:sz w:val="18"/>
                <w:szCs w:val="18"/>
              </w:rPr>
            </w:pPr>
            <w:r>
              <w:rPr>
                <w:sz w:val="18"/>
              </w:rPr>
              <w:t>Procentandel vattenförekomster per klass av ekologisk status eller potential, per kategori.</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9</w:t>
            </w:r>
          </w:p>
        </w:tc>
        <w:tc>
          <w:tcPr>
            <w:tcW w:w="1496" w:type="dxa"/>
            <w:shd w:val="clear" w:color="auto" w:fill="auto"/>
          </w:tcPr>
          <w:p w:rsidR="000215C5" w:rsidRDefault="00703023">
            <w:pPr>
              <w:spacing w:after="0"/>
              <w:jc w:val="both"/>
              <w:rPr>
                <w:b/>
                <w:sz w:val="18"/>
                <w:szCs w:val="18"/>
              </w:rPr>
            </w:pPr>
            <w:r>
              <w:rPr>
                <w:b/>
                <w:sz w:val="18"/>
              </w:rPr>
              <w:t>Ekologisk status eller potential hos klassificerade floder</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Procentandel floder per klass av ekologisk status eller potential.</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10</w:t>
            </w:r>
          </w:p>
        </w:tc>
        <w:tc>
          <w:tcPr>
            <w:tcW w:w="1496" w:type="dxa"/>
            <w:shd w:val="clear" w:color="auto" w:fill="auto"/>
          </w:tcPr>
          <w:p w:rsidR="000215C5" w:rsidRDefault="00703023">
            <w:pPr>
              <w:spacing w:after="0"/>
              <w:jc w:val="both"/>
              <w:rPr>
                <w:b/>
                <w:sz w:val="18"/>
                <w:szCs w:val="18"/>
              </w:rPr>
            </w:pPr>
            <w:r>
              <w:rPr>
                <w:b/>
                <w:sz w:val="18"/>
              </w:rPr>
              <w:t>Ekologisk status eller potential hos klassificerade sjöar</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Procentandel sjöar per klass av ekologisk status eller potential.</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11</w:t>
            </w:r>
          </w:p>
        </w:tc>
        <w:tc>
          <w:tcPr>
            <w:tcW w:w="1496" w:type="dxa"/>
            <w:shd w:val="clear" w:color="auto" w:fill="auto"/>
          </w:tcPr>
          <w:p w:rsidR="000215C5" w:rsidRDefault="00703023">
            <w:pPr>
              <w:spacing w:after="0"/>
              <w:jc w:val="both"/>
              <w:rPr>
                <w:b/>
                <w:sz w:val="18"/>
                <w:szCs w:val="18"/>
              </w:rPr>
            </w:pPr>
            <w:r>
              <w:rPr>
                <w:b/>
                <w:sz w:val="18"/>
              </w:rPr>
              <w:t>Ekologisk status eller potential hos klassificerade vatten i övergångszoner och kustvatten</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Procentandel vatten övergångszoner och kustvatten per klass av ekologisk status eller potential.</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12</w:t>
            </w:r>
          </w:p>
        </w:tc>
        <w:tc>
          <w:tcPr>
            <w:tcW w:w="1496" w:type="dxa"/>
            <w:shd w:val="clear" w:color="auto" w:fill="auto"/>
          </w:tcPr>
          <w:p w:rsidR="000215C5" w:rsidRDefault="00703023">
            <w:pPr>
              <w:spacing w:after="0"/>
              <w:jc w:val="both"/>
              <w:rPr>
                <w:b/>
                <w:sz w:val="18"/>
                <w:szCs w:val="18"/>
              </w:rPr>
            </w:pPr>
            <w:r>
              <w:rPr>
                <w:b/>
                <w:sz w:val="18"/>
              </w:rPr>
              <w:t>Ekologisk status/potential hos klassificerade floder enligt befolkningstäthet och som procentandel av den odlingsbara marken i avrinnings</w:t>
            </w:r>
            <w:r w:rsidR="00F03563">
              <w:rPr>
                <w:b/>
                <w:sz w:val="18"/>
              </w:rPr>
              <w:t>-</w:t>
            </w:r>
            <w:r>
              <w:rPr>
                <w:b/>
                <w:sz w:val="18"/>
              </w:rPr>
              <w:t>distriktet</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w:t>
            </w:r>
          </w:p>
        </w:tc>
        <w:tc>
          <w:tcPr>
            <w:tcW w:w="1956" w:type="dxa"/>
            <w:shd w:val="clear" w:color="auto" w:fill="auto"/>
          </w:tcPr>
          <w:p w:rsidR="000215C5" w:rsidRDefault="00703023">
            <w:pPr>
              <w:spacing w:after="0"/>
              <w:jc w:val="both"/>
              <w:rPr>
                <w:sz w:val="18"/>
                <w:szCs w:val="18"/>
              </w:rPr>
            </w:pPr>
            <w:r>
              <w:rPr>
                <w:sz w:val="18"/>
              </w:rPr>
              <w:t>Avrinningsdistrikt grupperade enligt befolkningstäthet och procentandel odlingsbar mark (fem grupper var). Ekologisk status eller potential hos alla floder i de aggregerade grupperna. Andel redovisade per klass.</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 kompletterad med information om befolkningstäthet och markanvändning i avrinningsdistrikten – vattenförekomster med okänd status ingår inte.</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13</w:t>
            </w:r>
          </w:p>
        </w:tc>
        <w:tc>
          <w:tcPr>
            <w:tcW w:w="1496" w:type="dxa"/>
            <w:shd w:val="clear" w:color="auto" w:fill="auto"/>
          </w:tcPr>
          <w:p w:rsidR="000215C5" w:rsidRDefault="00703023">
            <w:pPr>
              <w:spacing w:after="0"/>
              <w:jc w:val="both"/>
              <w:rPr>
                <w:b/>
                <w:sz w:val="18"/>
                <w:szCs w:val="18"/>
              </w:rPr>
            </w:pPr>
            <w:r>
              <w:rPr>
                <w:b/>
                <w:sz w:val="18"/>
              </w:rPr>
              <w:t xml:space="preserve">Ekologisk status/potential hos klassificerade floder enligt befolkningstäthet och som procentandel av odlingsbar mark </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w:t>
            </w:r>
          </w:p>
        </w:tc>
        <w:tc>
          <w:tcPr>
            <w:tcW w:w="1956" w:type="dxa"/>
            <w:shd w:val="clear" w:color="auto" w:fill="auto"/>
          </w:tcPr>
          <w:p w:rsidR="000215C5" w:rsidRDefault="00703023">
            <w:pPr>
              <w:spacing w:after="0"/>
              <w:jc w:val="both"/>
              <w:rPr>
                <w:sz w:val="18"/>
                <w:szCs w:val="18"/>
              </w:rPr>
            </w:pPr>
            <w:r>
              <w:rPr>
                <w:sz w:val="18"/>
              </w:rPr>
              <w:t>Avrinningsdistrikten har grupperats enligt befolkningstäthet och procentandel odlingsbar mark (fem grupper var). Ekologisk status eller potential hos alla floder i de aggregerade grupperna. Andel redovisade per klass.</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 kompletterad med information om befolkningstäthet och markanvändning per vattenförekomst.</w:t>
            </w:r>
          </w:p>
        </w:tc>
        <w:tc>
          <w:tcPr>
            <w:tcW w:w="1861" w:type="dxa"/>
            <w:shd w:val="clear" w:color="auto" w:fill="auto"/>
          </w:tcPr>
          <w:p w:rsidR="000215C5" w:rsidRDefault="00703023">
            <w:pPr>
              <w:spacing w:after="0"/>
              <w:jc w:val="both"/>
              <w:rPr>
                <w:sz w:val="18"/>
                <w:szCs w:val="18"/>
              </w:rPr>
            </w:pPr>
            <w:r>
              <w:rPr>
                <w:sz w:val="18"/>
              </w:rPr>
              <w:t>Ej möjligt (det fanns ingen information om befolkningstäthet och markanvändning på vattenförekomstnivå).</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14</w:t>
            </w:r>
          </w:p>
        </w:tc>
        <w:tc>
          <w:tcPr>
            <w:tcW w:w="1496" w:type="dxa"/>
            <w:shd w:val="clear" w:color="auto" w:fill="auto"/>
          </w:tcPr>
          <w:p w:rsidR="000215C5" w:rsidRDefault="00703023">
            <w:pPr>
              <w:spacing w:after="0"/>
              <w:jc w:val="both"/>
              <w:rPr>
                <w:b/>
                <w:sz w:val="18"/>
                <w:szCs w:val="18"/>
              </w:rPr>
            </w:pPr>
            <w:r>
              <w:rPr>
                <w:b/>
                <w:sz w:val="18"/>
              </w:rPr>
              <w:t>Aggregerings</w:t>
            </w:r>
            <w:r w:rsidR="00F03563">
              <w:rPr>
                <w:b/>
                <w:sz w:val="18"/>
              </w:rPr>
              <w:t>-</w:t>
            </w:r>
            <w:r>
              <w:rPr>
                <w:b/>
                <w:sz w:val="18"/>
              </w:rPr>
              <w:t>tabeller Ekologisk och kemisk status hos ytvatten</w:t>
            </w:r>
            <w:r w:rsidR="009A293E">
              <w:rPr>
                <w:b/>
                <w:sz w:val="18"/>
              </w:rPr>
              <w:t>-</w:t>
            </w:r>
            <w:r>
              <w:rPr>
                <w:b/>
                <w:sz w:val="18"/>
              </w:rPr>
              <w:t xml:space="preserve">förekomster </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w:t>
            </w:r>
          </w:p>
          <w:p w:rsidR="000215C5" w:rsidRDefault="00703023">
            <w:pPr>
              <w:spacing w:after="0"/>
              <w:jc w:val="both"/>
              <w:rPr>
                <w:sz w:val="18"/>
                <w:szCs w:val="18"/>
              </w:rPr>
            </w:pPr>
            <w:r>
              <w:rPr>
                <w:sz w:val="18"/>
              </w:rPr>
              <w:t>SU</w:t>
            </w:r>
          </w:p>
        </w:tc>
        <w:tc>
          <w:tcPr>
            <w:tcW w:w="1956" w:type="dxa"/>
            <w:shd w:val="clear" w:color="auto" w:fill="auto"/>
          </w:tcPr>
          <w:p w:rsidR="000215C5" w:rsidRDefault="00703023">
            <w:pPr>
              <w:spacing w:after="0"/>
              <w:jc w:val="both"/>
              <w:rPr>
                <w:sz w:val="18"/>
                <w:szCs w:val="18"/>
              </w:rPr>
            </w:pPr>
            <w:r>
              <w:rPr>
                <w:sz w:val="18"/>
              </w:rPr>
              <w:t>Antal och storlek (längd/yta) för kemisk status hos ytvattenförekomster, per kategori.</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15</w:t>
            </w:r>
          </w:p>
        </w:tc>
        <w:tc>
          <w:tcPr>
            <w:tcW w:w="1496" w:type="dxa"/>
            <w:shd w:val="clear" w:color="auto" w:fill="auto"/>
          </w:tcPr>
          <w:p w:rsidR="000215C5" w:rsidRDefault="00703023">
            <w:pPr>
              <w:spacing w:after="0"/>
              <w:jc w:val="both"/>
              <w:rPr>
                <w:b/>
                <w:sz w:val="18"/>
                <w:szCs w:val="18"/>
              </w:rPr>
            </w:pPr>
            <w:r>
              <w:rPr>
                <w:b/>
                <w:sz w:val="18"/>
              </w:rPr>
              <w:t>Ekologisk status/potential hos klassificerade ytvatten</w:t>
            </w:r>
            <w:r w:rsidR="009A293E">
              <w:rPr>
                <w:b/>
                <w:sz w:val="18"/>
              </w:rPr>
              <w:t>-</w:t>
            </w:r>
            <w:r>
              <w:rPr>
                <w:b/>
                <w:sz w:val="18"/>
              </w:rPr>
              <w:t xml:space="preserve">förekomster enligt breda vattentyper </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EU/MS/RBD</w:t>
            </w:r>
          </w:p>
        </w:tc>
        <w:tc>
          <w:tcPr>
            <w:tcW w:w="1956" w:type="dxa"/>
            <w:shd w:val="clear" w:color="auto" w:fill="auto"/>
          </w:tcPr>
          <w:p w:rsidR="000215C5" w:rsidRDefault="00703023">
            <w:pPr>
              <w:spacing w:after="0"/>
              <w:jc w:val="both"/>
              <w:rPr>
                <w:sz w:val="18"/>
                <w:szCs w:val="18"/>
              </w:rPr>
            </w:pPr>
            <w:r>
              <w:rPr>
                <w:sz w:val="18"/>
              </w:rPr>
              <w:t>Ytvattenförekomsterna har grupperats enligt breda vattentyper. Ekologisk status eller potential hos alla floder i de aggregerade grupperna. Andel redovisade per klass.</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 kompletterad med information om befolkningstäthet och markanvändning per vattenförekomst.</w:t>
            </w:r>
          </w:p>
        </w:tc>
        <w:tc>
          <w:tcPr>
            <w:tcW w:w="1861" w:type="dxa"/>
            <w:shd w:val="clear" w:color="auto" w:fill="auto"/>
          </w:tcPr>
          <w:p w:rsidR="000215C5" w:rsidRDefault="00703023">
            <w:pPr>
              <w:spacing w:after="0"/>
              <w:jc w:val="both"/>
              <w:rPr>
                <w:sz w:val="18"/>
                <w:szCs w:val="18"/>
              </w:rPr>
            </w:pPr>
            <w:r>
              <w:rPr>
                <w:sz w:val="18"/>
              </w:rPr>
              <w:t>Ej möjligt (för många nationella typer och ingen detaljerad information om typologi tillgänglig).</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16</w:t>
            </w:r>
          </w:p>
        </w:tc>
        <w:tc>
          <w:tcPr>
            <w:tcW w:w="1496" w:type="dxa"/>
            <w:shd w:val="clear" w:color="auto" w:fill="auto"/>
          </w:tcPr>
          <w:p w:rsidR="000215C5" w:rsidRDefault="00703023">
            <w:pPr>
              <w:spacing w:after="0"/>
              <w:jc w:val="both"/>
              <w:rPr>
                <w:b/>
                <w:sz w:val="18"/>
                <w:szCs w:val="18"/>
              </w:rPr>
            </w:pPr>
            <w:r>
              <w:rPr>
                <w:b/>
                <w:sz w:val="18"/>
              </w:rPr>
              <w:t>Trend för medianhalten av a) totalt ammonium, b) totalt fosfor och c) nitrat hos floder, grupperade per klass av ekologisk status/potential</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w:t>
            </w:r>
          </w:p>
        </w:tc>
        <w:tc>
          <w:tcPr>
            <w:tcW w:w="1956" w:type="dxa"/>
            <w:shd w:val="clear" w:color="auto" w:fill="auto"/>
          </w:tcPr>
          <w:p w:rsidR="000215C5" w:rsidRDefault="00703023">
            <w:pPr>
              <w:spacing w:after="0"/>
              <w:jc w:val="both"/>
              <w:rPr>
                <w:sz w:val="18"/>
                <w:szCs w:val="18"/>
              </w:rPr>
            </w:pPr>
            <w:r>
              <w:rPr>
                <w:sz w:val="18"/>
              </w:rPr>
              <w:t>Vattendirektivets uppgifter om vattenförekomster kopplade till Wise-SoEs långvariga dataserier om vattenkvaliteten i floder för (för a) totala halter av ammonium, b) totala halter av fosfor och c) nitrat). Trender hos vattenkvaliteten redovisade för varje klass, extrapolerat till 2027 för att visa om vattenförekomster med måttlig till otillfredsställande ekologisk status eller potential närmar sig hög till god ekologisk status eller potential.</w:t>
            </w:r>
          </w:p>
        </w:tc>
        <w:tc>
          <w:tcPr>
            <w:tcW w:w="1824" w:type="dxa"/>
            <w:shd w:val="clear" w:color="auto" w:fill="auto"/>
          </w:tcPr>
          <w:p w:rsidR="000215C5" w:rsidRDefault="00703023">
            <w:pPr>
              <w:spacing w:after="0"/>
              <w:jc w:val="both"/>
              <w:rPr>
                <w:sz w:val="18"/>
                <w:szCs w:val="18"/>
              </w:rPr>
            </w:pPr>
            <w:r>
              <w:rPr>
                <w:sz w:val="18"/>
              </w:rPr>
              <w:t xml:space="preserve">Aggregering på grundval av den information som rapporteras på vattenförekomstnivå, kombinerad med information om flodvattenkvalitet från Wise-SoE-databasen. </w:t>
            </w:r>
          </w:p>
        </w:tc>
        <w:tc>
          <w:tcPr>
            <w:tcW w:w="1861" w:type="dxa"/>
            <w:shd w:val="clear" w:color="auto" w:fill="auto"/>
          </w:tcPr>
          <w:p w:rsidR="000215C5" w:rsidRDefault="00703023">
            <w:pPr>
              <w:spacing w:after="0"/>
              <w:jc w:val="both"/>
              <w:rPr>
                <w:sz w:val="18"/>
                <w:szCs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17</w:t>
            </w:r>
          </w:p>
        </w:tc>
        <w:tc>
          <w:tcPr>
            <w:tcW w:w="1496" w:type="dxa"/>
            <w:shd w:val="clear" w:color="auto" w:fill="auto"/>
          </w:tcPr>
          <w:p w:rsidR="000215C5" w:rsidRDefault="00703023">
            <w:pPr>
              <w:spacing w:after="0"/>
              <w:jc w:val="both"/>
              <w:rPr>
                <w:b/>
                <w:sz w:val="18"/>
                <w:szCs w:val="18"/>
              </w:rPr>
            </w:pPr>
            <w:r>
              <w:rPr>
                <w:b/>
                <w:sz w:val="18"/>
              </w:rPr>
              <w:t>Framsteg mot att uppnå god status sedan den första förvaltnings</w:t>
            </w:r>
            <w:r w:rsidR="009A293E">
              <w:rPr>
                <w:b/>
                <w:sz w:val="18"/>
              </w:rPr>
              <w:t>-</w:t>
            </w:r>
            <w:r>
              <w:rPr>
                <w:b/>
                <w:sz w:val="18"/>
              </w:rPr>
              <w:t>planen</w:t>
            </w:r>
          </w:p>
        </w:tc>
        <w:tc>
          <w:tcPr>
            <w:tcW w:w="1037" w:type="dxa"/>
            <w:shd w:val="clear" w:color="auto" w:fill="auto"/>
          </w:tcPr>
          <w:p w:rsidR="000215C5" w:rsidRDefault="00703023">
            <w:pPr>
              <w:spacing w:after="0"/>
              <w:jc w:val="both"/>
              <w:rPr>
                <w:sz w:val="18"/>
                <w:szCs w:val="18"/>
              </w:rPr>
            </w:pPr>
            <w:r>
              <w:rPr>
                <w:sz w:val="18"/>
              </w:rPr>
              <w:t>Karta/diagram</w:t>
            </w:r>
          </w:p>
        </w:tc>
        <w:tc>
          <w:tcPr>
            <w:tcW w:w="1260" w:type="dxa"/>
            <w:shd w:val="clear" w:color="auto" w:fill="auto"/>
          </w:tcPr>
          <w:p w:rsidR="000215C5" w:rsidRDefault="00703023">
            <w:pPr>
              <w:spacing w:after="0"/>
              <w:jc w:val="both"/>
              <w:rPr>
                <w:sz w:val="18"/>
                <w:szCs w:val="18"/>
              </w:rPr>
            </w:pPr>
            <w:r>
              <w:rPr>
                <w:sz w:val="18"/>
              </w:rPr>
              <w:t>MS/ RBD/SU</w:t>
            </w:r>
          </w:p>
        </w:tc>
        <w:tc>
          <w:tcPr>
            <w:tcW w:w="1956" w:type="dxa"/>
            <w:shd w:val="clear" w:color="auto" w:fill="auto"/>
          </w:tcPr>
          <w:p w:rsidR="000215C5" w:rsidRDefault="00703023">
            <w:pPr>
              <w:spacing w:after="0"/>
              <w:jc w:val="both"/>
              <w:rPr>
                <w:sz w:val="18"/>
                <w:szCs w:val="18"/>
              </w:rPr>
            </w:pPr>
            <w:r>
              <w:rPr>
                <w:sz w:val="18"/>
              </w:rPr>
              <w:t>Procentandel vattenförekomster som har uppnått god ekologisk status eller potential sedan den första förvaltningsplanen.</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861" w:type="dxa"/>
            <w:shd w:val="clear" w:color="auto" w:fill="auto"/>
          </w:tcPr>
          <w:p w:rsidR="000215C5" w:rsidRDefault="00703023">
            <w:pPr>
              <w:spacing w:after="0"/>
              <w:jc w:val="both"/>
              <w:rPr>
                <w:sz w:val="18"/>
                <w:szCs w:val="18"/>
              </w:rPr>
            </w:pPr>
            <w:r>
              <w:rPr>
                <w:sz w:val="18"/>
              </w:rPr>
              <w:t>Ej relevant för rapporteringen 2010.</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18</w:t>
            </w:r>
          </w:p>
        </w:tc>
        <w:tc>
          <w:tcPr>
            <w:tcW w:w="1496" w:type="dxa"/>
            <w:shd w:val="clear" w:color="auto" w:fill="auto"/>
          </w:tcPr>
          <w:p w:rsidR="000215C5" w:rsidRDefault="00703023">
            <w:pPr>
              <w:spacing w:after="0"/>
              <w:jc w:val="both"/>
              <w:rPr>
                <w:b/>
                <w:sz w:val="18"/>
                <w:szCs w:val="18"/>
              </w:rPr>
            </w:pPr>
            <w:r>
              <w:rPr>
                <w:b/>
                <w:sz w:val="18"/>
              </w:rPr>
              <w:t>Framsteg mot att uppnå god status sedan den första förvaltnings</w:t>
            </w:r>
            <w:r w:rsidR="009A293E">
              <w:rPr>
                <w:b/>
                <w:sz w:val="18"/>
              </w:rPr>
              <w:t>-</w:t>
            </w:r>
            <w:r>
              <w:rPr>
                <w:b/>
                <w:sz w:val="18"/>
              </w:rPr>
              <w:t>planen, per kvalitetsfaktor</w:t>
            </w:r>
          </w:p>
        </w:tc>
        <w:tc>
          <w:tcPr>
            <w:tcW w:w="1037" w:type="dxa"/>
            <w:shd w:val="clear" w:color="auto" w:fill="auto"/>
          </w:tcPr>
          <w:p w:rsidR="000215C5" w:rsidRDefault="00703023">
            <w:pPr>
              <w:spacing w:after="0"/>
              <w:jc w:val="both"/>
              <w:rPr>
                <w:sz w:val="18"/>
                <w:szCs w:val="18"/>
              </w:rPr>
            </w:pPr>
            <w:r>
              <w:rPr>
                <w:sz w:val="18"/>
              </w:rPr>
              <w:t>Karta/diagram</w:t>
            </w:r>
          </w:p>
        </w:tc>
        <w:tc>
          <w:tcPr>
            <w:tcW w:w="1260" w:type="dxa"/>
            <w:shd w:val="clear" w:color="auto" w:fill="auto"/>
          </w:tcPr>
          <w:p w:rsidR="000215C5" w:rsidRDefault="00703023">
            <w:pPr>
              <w:spacing w:after="0"/>
              <w:jc w:val="both"/>
              <w:rPr>
                <w:sz w:val="18"/>
                <w:szCs w:val="18"/>
              </w:rPr>
            </w:pPr>
            <w:r>
              <w:rPr>
                <w:sz w:val="18"/>
              </w:rPr>
              <w:t>MS/ RBD/</w:t>
            </w:r>
          </w:p>
          <w:p w:rsidR="000215C5" w:rsidRDefault="00703023">
            <w:pPr>
              <w:spacing w:after="0"/>
              <w:jc w:val="both"/>
              <w:rPr>
                <w:sz w:val="18"/>
                <w:szCs w:val="18"/>
              </w:rPr>
            </w:pPr>
            <w:r>
              <w:rPr>
                <w:sz w:val="18"/>
              </w:rPr>
              <w:t>SU</w:t>
            </w:r>
          </w:p>
        </w:tc>
        <w:tc>
          <w:tcPr>
            <w:tcW w:w="1956" w:type="dxa"/>
            <w:shd w:val="clear" w:color="auto" w:fill="auto"/>
          </w:tcPr>
          <w:p w:rsidR="000215C5" w:rsidRDefault="00703023">
            <w:pPr>
              <w:spacing w:after="0"/>
              <w:jc w:val="both"/>
              <w:rPr>
                <w:sz w:val="18"/>
                <w:szCs w:val="18"/>
              </w:rPr>
            </w:pPr>
            <w:r>
              <w:rPr>
                <w:sz w:val="18"/>
              </w:rPr>
              <w:t>Procentandel ytvattenförekomster med förbättrad ekologisk status eller potential sedan den första förvaltningsplanen, per kvalitetsfaktor.</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861" w:type="dxa"/>
            <w:shd w:val="clear" w:color="auto" w:fill="auto"/>
          </w:tcPr>
          <w:p w:rsidR="000215C5" w:rsidRDefault="00703023">
            <w:pPr>
              <w:spacing w:after="0"/>
              <w:jc w:val="both"/>
              <w:rPr>
                <w:sz w:val="18"/>
                <w:szCs w:val="18"/>
              </w:rPr>
            </w:pPr>
            <w:r>
              <w:rPr>
                <w:sz w:val="18"/>
              </w:rPr>
              <w:t>Ej relevant för rapporteringen 2010.</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19</w:t>
            </w:r>
          </w:p>
        </w:tc>
        <w:tc>
          <w:tcPr>
            <w:tcW w:w="1496" w:type="dxa"/>
            <w:shd w:val="clear" w:color="auto" w:fill="auto"/>
          </w:tcPr>
          <w:p w:rsidR="000215C5" w:rsidRDefault="00703023">
            <w:pPr>
              <w:spacing w:after="0"/>
              <w:jc w:val="both"/>
              <w:rPr>
                <w:b/>
                <w:sz w:val="18"/>
                <w:szCs w:val="18"/>
              </w:rPr>
            </w:pPr>
            <w:r>
              <w:rPr>
                <w:b/>
                <w:sz w:val="18"/>
              </w:rPr>
              <w:t>Orsaker till undantagen enligt artikel 4.4 i vattendirektivet</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Undantag som rapporterats av medlemsstaterna för att förlänga tidsfristen för uppnående av god status efter 2015 samt angivna orsaker (naturliga förhållanden, teknisk genomförbarhet, oproportionerliga kostnader eller en kombination av dessa orsaker).</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861" w:type="dxa"/>
            <w:shd w:val="clear" w:color="auto" w:fill="auto"/>
          </w:tcPr>
          <w:p w:rsidR="000215C5" w:rsidRDefault="00703023">
            <w:pPr>
              <w:spacing w:after="0"/>
              <w:jc w:val="both"/>
              <w:rPr>
                <w:sz w:val="18"/>
              </w:rPr>
            </w:pPr>
            <w:r>
              <w:rPr>
                <w:sz w:val="18"/>
              </w:rPr>
              <w:t>Ja</w:t>
            </w:r>
          </w:p>
        </w:tc>
      </w:tr>
      <w:tr w:rsidR="000215C5" w:rsidTr="009A293E">
        <w:trPr>
          <w:cantSplit/>
        </w:trPr>
        <w:tc>
          <w:tcPr>
            <w:tcW w:w="455" w:type="dxa"/>
            <w:shd w:val="clear" w:color="auto" w:fill="auto"/>
          </w:tcPr>
          <w:p w:rsidR="000215C5" w:rsidRDefault="00703023">
            <w:pPr>
              <w:spacing w:after="0"/>
              <w:jc w:val="both"/>
              <w:rPr>
                <w:sz w:val="18"/>
                <w:szCs w:val="18"/>
              </w:rPr>
            </w:pPr>
            <w:r>
              <w:rPr>
                <w:sz w:val="18"/>
              </w:rPr>
              <w:t>20</w:t>
            </w:r>
          </w:p>
        </w:tc>
        <w:tc>
          <w:tcPr>
            <w:tcW w:w="1496" w:type="dxa"/>
            <w:shd w:val="clear" w:color="auto" w:fill="auto"/>
          </w:tcPr>
          <w:p w:rsidR="000215C5" w:rsidRDefault="00703023">
            <w:pPr>
              <w:spacing w:after="0"/>
              <w:jc w:val="both"/>
              <w:rPr>
                <w:b/>
                <w:sz w:val="18"/>
                <w:szCs w:val="18"/>
              </w:rPr>
            </w:pPr>
            <w:r>
              <w:rPr>
                <w:b/>
                <w:sz w:val="18"/>
              </w:rPr>
              <w:t>Procentandel ytvattenföre</w:t>
            </w:r>
            <w:r w:rsidR="00F03563">
              <w:rPr>
                <w:b/>
                <w:sz w:val="18"/>
              </w:rPr>
              <w:t xml:space="preserve"> </w:t>
            </w:r>
            <w:r>
              <w:rPr>
                <w:b/>
                <w:sz w:val="18"/>
              </w:rPr>
              <w:t>komster med god ekologisk status 2015</w:t>
            </w:r>
          </w:p>
        </w:tc>
        <w:tc>
          <w:tcPr>
            <w:tcW w:w="1037" w:type="dxa"/>
            <w:shd w:val="clear" w:color="auto" w:fill="auto"/>
          </w:tcPr>
          <w:p w:rsidR="000215C5" w:rsidRDefault="00703023">
            <w:pPr>
              <w:spacing w:after="0"/>
              <w:jc w:val="both"/>
              <w:rPr>
                <w:sz w:val="18"/>
                <w:szCs w:val="18"/>
              </w:rPr>
            </w:pPr>
            <w:r>
              <w:rPr>
                <w:sz w:val="18"/>
              </w:rPr>
              <w:t>Karta/</w:t>
            </w:r>
            <w:r w:rsidR="00F03563">
              <w:rPr>
                <w:sz w:val="18"/>
              </w:rPr>
              <w:t xml:space="preserve"> </w:t>
            </w:r>
            <w:r>
              <w:rPr>
                <w:sz w:val="18"/>
              </w:rPr>
              <w:t>diagram/</w:t>
            </w:r>
            <w:r w:rsidR="00F03563">
              <w:rPr>
                <w:sz w:val="18"/>
              </w:rPr>
              <w:t xml:space="preserve"> </w:t>
            </w:r>
            <w:r>
              <w:rPr>
                <w:sz w:val="18"/>
              </w:rPr>
              <w:t>tabell</w:t>
            </w:r>
          </w:p>
        </w:tc>
        <w:tc>
          <w:tcPr>
            <w:tcW w:w="1260" w:type="dxa"/>
            <w:shd w:val="clear" w:color="auto" w:fill="auto"/>
          </w:tcPr>
          <w:p w:rsidR="000215C5" w:rsidRDefault="00703023">
            <w:pPr>
              <w:spacing w:after="0"/>
              <w:jc w:val="both"/>
              <w:rPr>
                <w:sz w:val="18"/>
                <w:szCs w:val="18"/>
              </w:rPr>
            </w:pPr>
            <w:r>
              <w:rPr>
                <w:sz w:val="18"/>
              </w:rPr>
              <w:t>EU/MS/RBD/</w:t>
            </w:r>
            <w:r w:rsidR="00F03563">
              <w:rPr>
                <w:sz w:val="18"/>
              </w:rPr>
              <w:t xml:space="preserve"> </w:t>
            </w:r>
            <w:r>
              <w:rPr>
                <w:sz w:val="18"/>
              </w:rPr>
              <w:t>SU</w:t>
            </w:r>
          </w:p>
        </w:tc>
        <w:tc>
          <w:tcPr>
            <w:tcW w:w="1956" w:type="dxa"/>
            <w:shd w:val="clear" w:color="auto" w:fill="auto"/>
          </w:tcPr>
          <w:p w:rsidR="000215C5" w:rsidRDefault="00703023">
            <w:pPr>
              <w:spacing w:after="0"/>
              <w:jc w:val="both"/>
              <w:rPr>
                <w:sz w:val="18"/>
                <w:szCs w:val="18"/>
              </w:rPr>
            </w:pPr>
            <w:r>
              <w:rPr>
                <w:sz w:val="18"/>
              </w:rPr>
              <w:t>Procentandel ytvattenförekomster med god ekologisk status eller potential 2015, aggregerat för samtliga ytvatten, per kategori.</w:t>
            </w:r>
          </w:p>
        </w:tc>
        <w:tc>
          <w:tcPr>
            <w:tcW w:w="182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861" w:type="dxa"/>
            <w:shd w:val="clear" w:color="auto" w:fill="auto"/>
          </w:tcPr>
          <w:p w:rsidR="000215C5" w:rsidRDefault="00703023">
            <w:pPr>
              <w:spacing w:after="0"/>
              <w:jc w:val="both"/>
              <w:rPr>
                <w:sz w:val="18"/>
                <w:szCs w:val="18"/>
              </w:rPr>
            </w:pPr>
            <w:r>
              <w:rPr>
                <w:sz w:val="18"/>
              </w:rPr>
              <w:t>Nej</w:t>
            </w:r>
          </w:p>
        </w:tc>
      </w:tr>
    </w:tbl>
    <w:p w:rsidR="000215C5" w:rsidRDefault="00703023">
      <w:pPr>
        <w:spacing w:before="240"/>
        <w:jc w:val="both"/>
        <w:rPr>
          <w:sz w:val="20"/>
        </w:rPr>
      </w:pPr>
      <w:r>
        <w:rPr>
          <w:b/>
          <w:sz w:val="20"/>
        </w:rPr>
        <w:t>Anmärkningar:</w:t>
      </w:r>
      <w:r>
        <w:rPr>
          <w:sz w:val="20"/>
        </w:rPr>
        <w:t xml:space="preserve"> * Informationsnivå: EU = europeisk nivå, MS = nationell nivå, medlemsstatsnivå, RBD = avrinningsdistrikt, SU = delavrinningsdistrikt, WB = vattenförekomst.</w:t>
      </w:r>
    </w:p>
    <w:p w:rsidR="000215C5" w:rsidRDefault="00703023">
      <w:pPr>
        <w:pStyle w:val="Rubrik3"/>
      </w:pPr>
      <w:bookmarkStart w:id="135" w:name="_Toc375220050"/>
      <w:r>
        <w:t>Innehåll i rapporteringen 2016</w:t>
      </w:r>
      <w:bookmarkEnd w:id="135"/>
    </w:p>
    <w:p w:rsidR="000215C5" w:rsidRDefault="00703023">
      <w:pPr>
        <w:pStyle w:val="Rubrik4"/>
      </w:pPr>
      <w:r>
        <w:t>Skiss över mallarna</w:t>
      </w:r>
    </w:p>
    <w:p w:rsidR="000215C5" w:rsidRDefault="00703023">
      <w:pPr>
        <w:jc w:val="both"/>
      </w:pPr>
      <w:r>
        <w:t>Se bilaga 10.2.</w:t>
      </w:r>
    </w:p>
    <w:p w:rsidR="000215C5" w:rsidRDefault="00703023">
      <w:pPr>
        <w:pStyle w:val="Rubrik4"/>
      </w:pPr>
      <w:bookmarkStart w:id="136" w:name="_Ref382297513"/>
      <w:r>
        <w:t>Information och uppgifter som ska rapporteras med hjälp av mallarna</w:t>
      </w:r>
      <w:bookmarkEnd w:id="136"/>
    </w:p>
    <w:p w:rsidR="000215C5" w:rsidRDefault="00703023">
      <w:pPr>
        <w:pStyle w:val="Brdtext"/>
        <w:jc w:val="both"/>
        <w:rPr>
          <w:b/>
        </w:rPr>
      </w:pPr>
      <w:r>
        <w:rPr>
          <w:b/>
        </w:rPr>
        <w:t>Allmän vägledning om kvalitetsfaktorer</w:t>
      </w:r>
    </w:p>
    <w:p w:rsidR="000215C5" w:rsidRDefault="00703023">
      <w:pPr>
        <w:pStyle w:val="Brdtext"/>
        <w:jc w:val="both"/>
      </w:pPr>
      <w:r>
        <w:t>Rapportering om statusbedömningen av kvalitetsfaktorer (QE) förväntas inte bara när övervakningsresultat finns tillgängliga för specifika vattenförekomster, utan för alla vattenförekomster som det finns information om (t.ex. genom gruppering eller extrapolering). Ett statusvärde bör därför ges för varje relevant kvalitetsfaktor som har bedömts för vattenförekomsten och därefter använts för att klassificera vattenförekomstens ekologiska status eller potential.</w:t>
      </w:r>
    </w:p>
    <w:p w:rsidR="000215C5" w:rsidRDefault="00703023">
      <w:pPr>
        <w:pStyle w:val="Brdtext"/>
        <w:jc w:val="both"/>
      </w:pPr>
      <w:r>
        <w:t xml:space="preserve">Om kvalitetsfaktorns status inte rapporteras förutsätts det att den inte har använts i klassificeringen av vattenförekomstens ekologiska status. </w:t>
      </w:r>
    </w:p>
    <w:p w:rsidR="000215C5" w:rsidRDefault="00703023">
      <w:pPr>
        <w:jc w:val="both"/>
      </w:pPr>
      <w:r>
        <w:t>Information om ytvattenförekomsters ekologiska status ska rapporteras på ytvattenförekomstnivå enligt mallen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 SWB (fortsättning)</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szCs w:val="24"/>
              </w:rPr>
            </w:pPr>
            <w:r>
              <w:rPr>
                <w:b/>
                <w:i/>
              </w:rPr>
              <w:t>Klass: SurfaceWaterBody (fortsättning)</w:t>
            </w:r>
          </w:p>
          <w:p w:rsidR="000215C5" w:rsidRDefault="00703023">
            <w:pPr>
              <w:spacing w:after="120"/>
              <w:jc w:val="both"/>
              <w:rPr>
                <w:b/>
                <w:i/>
                <w:szCs w:val="24"/>
              </w:rPr>
            </w:pPr>
            <w:r>
              <w:rPr>
                <w:b/>
                <w:i/>
              </w:rPr>
              <w:t xml:space="preserve">Egenskaper: </w:t>
            </w:r>
            <w:r>
              <w:rPr>
                <w:i/>
              </w:rPr>
              <w:t>maxOccur: unbounded minOccur: 1</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swEcologicalStatusOrPotentialValue</w:t>
            </w:r>
          </w:p>
          <w:p w:rsidR="000215C5" w:rsidRDefault="00703023">
            <w:pPr>
              <w:spacing w:after="120"/>
              <w:jc w:val="both"/>
              <w:rPr>
                <w:szCs w:val="24"/>
              </w:rPr>
            </w:pPr>
            <w:r>
              <w:rPr>
                <w:b/>
              </w:rPr>
              <w:t xml:space="preserve">Fälttyp/alternativ: </w:t>
            </w:r>
            <w:r>
              <w:t>EcologicalStatusCode_Enum: 1, 2, 3, 4, 5, Unknown, Not applicable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ytvattenförekomstens ekologiska status eller potential baserat på den status ytvattenförekomsten fått i den senaste bedömningen.</w:t>
            </w:r>
          </w:p>
          <w:p w:rsidR="000215C5" w:rsidRDefault="00703023">
            <w:pPr>
              <w:spacing w:after="120"/>
              <w:jc w:val="both"/>
              <w:rPr>
                <w:szCs w:val="24"/>
              </w:rPr>
            </w:pPr>
            <w:r>
              <w:t>1 = Hög status eller maximal potential.</w:t>
            </w:r>
          </w:p>
          <w:p w:rsidR="000215C5" w:rsidRDefault="00703023">
            <w:pPr>
              <w:spacing w:after="120"/>
              <w:jc w:val="both"/>
              <w:rPr>
                <w:szCs w:val="24"/>
              </w:rPr>
            </w:pPr>
            <w:r>
              <w:t>2 = God status eller potential.</w:t>
            </w:r>
          </w:p>
          <w:p w:rsidR="000215C5" w:rsidRDefault="00703023">
            <w:pPr>
              <w:spacing w:after="120"/>
              <w:jc w:val="both"/>
              <w:rPr>
                <w:szCs w:val="24"/>
              </w:rPr>
            </w:pPr>
            <w:r>
              <w:t>3 = Måttlig status eller potential.</w:t>
            </w:r>
          </w:p>
          <w:p w:rsidR="000215C5" w:rsidRDefault="00703023">
            <w:pPr>
              <w:spacing w:after="120"/>
              <w:jc w:val="both"/>
              <w:rPr>
                <w:szCs w:val="24"/>
              </w:rPr>
            </w:pPr>
            <w:r>
              <w:t>4 = Otillfredsställande status eller potential.</w:t>
            </w:r>
          </w:p>
          <w:p w:rsidR="000215C5" w:rsidRDefault="00703023">
            <w:pPr>
              <w:spacing w:after="120"/>
              <w:jc w:val="both"/>
              <w:rPr>
                <w:szCs w:val="24"/>
              </w:rPr>
            </w:pPr>
            <w:r>
              <w:t>5 = Dålig status eller potential.</w:t>
            </w:r>
          </w:p>
          <w:p w:rsidR="000215C5" w:rsidRDefault="00703023">
            <w:pPr>
              <w:spacing w:after="120"/>
              <w:jc w:val="both"/>
              <w:rPr>
                <w:szCs w:val="24"/>
              </w:rPr>
            </w:pPr>
            <w:r>
              <w:t>”Unknown” = Okänd status eller potential.</w:t>
            </w:r>
          </w:p>
          <w:p w:rsidR="000215C5" w:rsidRDefault="00703023">
            <w:pPr>
              <w:spacing w:after="120"/>
              <w:jc w:val="both"/>
              <w:rPr>
                <w:szCs w:val="24"/>
              </w:rPr>
            </w:pPr>
            <w:r>
              <w:t>”Not applicable” = Ej tillämpligt (endast för territorialvatten).</w:t>
            </w:r>
          </w:p>
          <w:p w:rsidR="000215C5" w:rsidRDefault="00703023">
            <w:pPr>
              <w:spacing w:after="120"/>
              <w:jc w:val="both"/>
              <w:rPr>
                <w:b/>
                <w:szCs w:val="24"/>
              </w:rPr>
            </w:pPr>
            <w:r>
              <w:rPr>
                <w:b/>
              </w:rPr>
              <w:t>Kvalitetskontroller</w:t>
            </w:r>
            <w:r>
              <w:t>: Intern kontroll: om surfaceWaterBodyCategory är ”TeW” måste ”Not applicable” väljas.</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swEcologicalAssessmentYear</w:t>
            </w:r>
          </w:p>
          <w:p w:rsidR="000215C5" w:rsidRDefault="00703023">
            <w:pPr>
              <w:spacing w:after="120"/>
              <w:jc w:val="both"/>
              <w:rPr>
                <w:szCs w:val="24"/>
              </w:rPr>
            </w:pPr>
            <w:r>
              <w:rPr>
                <w:b/>
              </w:rPr>
              <w:t xml:space="preserve">Fälttyp/alternativ: </w:t>
            </w:r>
            <w:r>
              <w:t xml:space="preserve">YearRangeType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det år som bedömningen av status eller potential baseras på. Det kan vara det år då ytvattenförekomsten övervakades. Vid gruppering kan det vara det år då övervakning genomfördes av ytvattenförekomster i en grupp som används för att extrapolera resultat till ytvattenförekomster inom samma grupp som inte övervakas. En period får anges (t.ex. 2011–2013).</w:t>
            </w:r>
          </w:p>
          <w:p w:rsidR="000215C5" w:rsidRDefault="00703023">
            <w:pPr>
              <w:spacing w:after="120"/>
              <w:jc w:val="both"/>
              <w:rPr>
                <w:b/>
                <w:szCs w:val="24"/>
              </w:rPr>
            </w:pPr>
            <w:r>
              <w:rPr>
                <w:b/>
              </w:rPr>
              <w:t>Kvalitetskontroller</w:t>
            </w:r>
            <w:r>
              <w:t>: Intern kontroll: om surfaceWaterBodyCategory är ”TeW” måste ”0000” rapporteras.</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 swEcologicalAssessmentConfidence</w:t>
            </w:r>
          </w:p>
          <w:p w:rsidR="000215C5" w:rsidRDefault="00703023">
            <w:pPr>
              <w:spacing w:after="120"/>
              <w:jc w:val="both"/>
              <w:rPr>
                <w:szCs w:val="24"/>
              </w:rPr>
            </w:pPr>
            <w:r>
              <w:rPr>
                <w:b/>
              </w:rPr>
              <w:t xml:space="preserve">Fälttyp/alternativ: </w:t>
            </w:r>
            <w:r>
              <w:t>Confidence_Enum: 0, 1, 2, 3</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förtroendet för tilldelad ekologisk status eller potential.</w:t>
            </w:r>
          </w:p>
          <w:p w:rsidR="000215C5" w:rsidRDefault="00703023">
            <w:pPr>
              <w:spacing w:after="120"/>
              <w:jc w:val="both"/>
              <w:rPr>
                <w:szCs w:val="24"/>
              </w:rPr>
            </w:pPr>
            <w:r>
              <w:t>0 = Ingen information.</w:t>
            </w:r>
          </w:p>
          <w:p w:rsidR="000215C5" w:rsidRDefault="00703023">
            <w:pPr>
              <w:spacing w:after="120"/>
              <w:jc w:val="both"/>
              <w:rPr>
                <w:szCs w:val="24"/>
              </w:rPr>
            </w:pPr>
            <w:r>
              <w:t>1 = Lågt förtroende.</w:t>
            </w:r>
          </w:p>
          <w:p w:rsidR="000215C5" w:rsidRDefault="00703023">
            <w:pPr>
              <w:spacing w:after="120"/>
              <w:jc w:val="both"/>
              <w:rPr>
                <w:szCs w:val="24"/>
              </w:rPr>
            </w:pPr>
            <w:r>
              <w:t>2 = Medelhögt förtroende.</w:t>
            </w:r>
          </w:p>
          <w:p w:rsidR="000215C5" w:rsidRDefault="00703023">
            <w:pPr>
              <w:spacing w:after="120"/>
              <w:jc w:val="both"/>
              <w:rPr>
                <w:szCs w:val="24"/>
              </w:rPr>
            </w:pPr>
            <w:r>
              <w:t>3 = Högt förtroende.</w:t>
            </w:r>
          </w:p>
          <w:p w:rsidR="000215C5" w:rsidRDefault="00703023">
            <w:pPr>
              <w:spacing w:after="120"/>
              <w:jc w:val="both"/>
              <w:rPr>
                <w:szCs w:val="24"/>
              </w:rPr>
            </w:pPr>
            <w:r>
              <w:t>De kriterier som används av medlemsstaterna för att bedöma förtroende varierar betydligt, men följande kan tjäna som allmän vägledning: Low = inga övervaknin</w:t>
            </w:r>
            <w:r w:rsidR="00661070">
              <w:t>gsuppgifter, Medium = stöder QE</w:t>
            </w:r>
            <w:r w:rsidR="00661070">
              <w:noBreakHyphen/>
            </w:r>
            <w:r>
              <w:t>uppgifter och/eller begränsade uppgifter om en BQE; High = goda uppgifter för minst en BQE och den mest relevanta stödjande QE.</w:t>
            </w:r>
          </w:p>
          <w:p w:rsidR="000215C5" w:rsidRDefault="00703023">
            <w:pPr>
              <w:spacing w:after="120"/>
              <w:jc w:val="both"/>
              <w:rPr>
                <w:szCs w:val="24"/>
              </w:rPr>
            </w:pPr>
            <w:r>
              <w:t>Om surfaceWaterBodyCategory är ”TeW” ska ”0” väljas och tolkas som ”Not applicable”.</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swEcologicalStatusOrPotentialExpectedGoodIn2015</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ytvattenförekomsten i fråga förväntas uppnå god (eller bättre) ekologisk status eller potential till årsslutet 2015.</w:t>
            </w:r>
          </w:p>
          <w:p w:rsidR="000215C5" w:rsidRDefault="00703023">
            <w:pPr>
              <w:spacing w:after="120"/>
              <w:jc w:val="both"/>
              <w:rPr>
                <w:szCs w:val="24"/>
              </w:rPr>
            </w:pPr>
            <w:r>
              <w:t xml:space="preserve">Dessa uppgifter kan skilja sig från de uppgifter som rapporteras under swEcologicalStatusOrPotentialValue, eftersom statusbedömningen i den andra versionen av förvaltningsplanerna sannolikt baseras på uppgifter från övervakningsperioden 2010–2014 med tanke på att den andra versionen av förvaltningsplanerna kommer att utarbetas under 2014 för offentligt samråd. Den status som anges i den andra versionen av förvaltningsplanerna återspeglar därför inte nödvändigtvis förväntad status 2015. En tydlig förklaring av bedömningsmetoden ska ges i förvaltningsplanen eller i bakgrundsdokumenten (hänvisning rapporteras under klassificeringsmetoder (se avsnitt </w:t>
            </w:r>
            <w:r>
              <w:fldChar w:fldCharType="begin"/>
            </w:r>
            <w:r>
              <w:instrText xml:space="preserve"> REF _Ref385315934 \r \h  \* MERGEFORMAT </w:instrText>
            </w:r>
            <w:r>
              <w:fldChar w:fldCharType="separate"/>
            </w:r>
            <w:r>
              <w:rPr>
                <w:szCs w:val="24"/>
              </w:rPr>
              <w:t>7.3</w:t>
            </w:r>
            <w:r>
              <w:fldChar w:fldCharType="end"/>
            </w:r>
            <w:r>
              <w:t>)).</w:t>
            </w:r>
          </w:p>
          <w:p w:rsidR="000215C5" w:rsidRDefault="00703023">
            <w:pPr>
              <w:spacing w:after="120"/>
              <w:jc w:val="both"/>
              <w:rPr>
                <w:szCs w:val="24"/>
              </w:rPr>
            </w:pPr>
            <w:r>
              <w:t>Vid tillämpning av undantag för ekologisk status enligt artikel 4.4 eller 4.5 ska alternativet ”No” väljas.</w:t>
            </w:r>
          </w:p>
          <w:p w:rsidR="000215C5" w:rsidRDefault="00703023">
            <w:pPr>
              <w:spacing w:after="120"/>
              <w:jc w:val="both"/>
              <w:rPr>
                <w:szCs w:val="24"/>
              </w:rPr>
            </w:pPr>
            <w:r>
              <w:t>”Not applicable” är endast giltigt om SurfaceWaterCategory är ”TeW”.</w:t>
            </w:r>
          </w:p>
          <w:p w:rsidR="000215C5" w:rsidRDefault="00703023">
            <w:pPr>
              <w:tabs>
                <w:tab w:val="left" w:pos="4113"/>
              </w:tabs>
              <w:spacing w:after="120"/>
              <w:jc w:val="both"/>
              <w:rPr>
                <w:szCs w:val="24"/>
              </w:rPr>
            </w:pPr>
            <w:r>
              <w:rPr>
                <w:b/>
              </w:rPr>
              <w:t>Kvalitetskontroller</w:t>
            </w:r>
            <w:r>
              <w:t xml:space="preserve">: Intern kontroll: Om swEcologicalExemptionType är ”Article 4(4)…” eller ”Article 4(5)…” måste alternativet ”No” väljas från uppräkningslistan. Inget annat alternativ är giltigt i detta fall. </w:t>
            </w:r>
          </w:p>
          <w:p w:rsidR="000215C5" w:rsidRDefault="00703023">
            <w:pPr>
              <w:tabs>
                <w:tab w:val="left" w:pos="4113"/>
              </w:tabs>
              <w:spacing w:after="120"/>
              <w:jc w:val="both"/>
              <w:rPr>
                <w:b/>
                <w:szCs w:val="24"/>
              </w:rPr>
            </w:pPr>
            <w:r>
              <w:t>Intern kontroll: om surfaceWaterBodyCategory är ”TeW” måste ”Not applicable” väljas.</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w:t>
            </w:r>
            <w:r>
              <w:rPr>
                <w:b/>
              </w:rPr>
              <w:t xml:space="preserve"> </w:t>
            </w:r>
            <w:r>
              <w:t>swEcologicalStatusOrPotentialExpectedAchievementDate</w:t>
            </w:r>
          </w:p>
          <w:p w:rsidR="000215C5" w:rsidRDefault="00703023">
            <w:pPr>
              <w:spacing w:after="120"/>
              <w:jc w:val="both"/>
              <w:rPr>
                <w:szCs w:val="24"/>
              </w:rPr>
            </w:pPr>
            <w:r>
              <w:rPr>
                <w:b/>
              </w:rPr>
              <w:t xml:space="preserve">Fälttyp/alternativ: </w:t>
            </w:r>
            <w:r>
              <w:t>GoodStatus_Enum:</w:t>
            </w:r>
          </w:p>
          <w:p w:rsidR="000215C5" w:rsidRPr="006E59C8" w:rsidRDefault="00703023">
            <w:pPr>
              <w:spacing w:after="120"/>
              <w:jc w:val="both"/>
              <w:rPr>
                <w:szCs w:val="24"/>
                <w:lang w:val="en-GB"/>
              </w:rPr>
            </w:pPr>
            <w:r w:rsidRPr="006E59C8">
              <w:rPr>
                <w:lang w:val="en-GB"/>
              </w:rPr>
              <w:t>2016–2021</w:t>
            </w:r>
          </w:p>
          <w:p w:rsidR="000215C5" w:rsidRPr="006E59C8" w:rsidRDefault="00703023">
            <w:pPr>
              <w:spacing w:after="120"/>
              <w:jc w:val="both"/>
              <w:rPr>
                <w:szCs w:val="24"/>
                <w:lang w:val="en-GB"/>
              </w:rPr>
            </w:pPr>
            <w:r w:rsidRPr="006E59C8">
              <w:rPr>
                <w:lang w:val="en-GB"/>
              </w:rPr>
              <w:t>2022–2027</w:t>
            </w:r>
          </w:p>
          <w:p w:rsidR="000215C5" w:rsidRPr="006E59C8" w:rsidRDefault="00703023">
            <w:pPr>
              <w:spacing w:after="120"/>
              <w:jc w:val="both"/>
              <w:rPr>
                <w:szCs w:val="24"/>
                <w:lang w:val="en-GB"/>
              </w:rPr>
            </w:pPr>
            <w:r w:rsidRPr="006E59C8">
              <w:rPr>
                <w:lang w:val="en-GB"/>
              </w:rPr>
              <w:t>Beyond 2027</w:t>
            </w:r>
          </w:p>
          <w:p w:rsidR="000215C5" w:rsidRPr="006E59C8" w:rsidRDefault="00703023">
            <w:pPr>
              <w:spacing w:after="120"/>
              <w:jc w:val="both"/>
              <w:rPr>
                <w:szCs w:val="24"/>
                <w:lang w:val="en-GB"/>
              </w:rPr>
            </w:pPr>
            <w:r w:rsidRPr="006E59C8">
              <w:rPr>
                <w:lang w:val="en-GB"/>
              </w:rPr>
              <w:t>Unknown</w:t>
            </w:r>
          </w:p>
          <w:p w:rsidR="000215C5" w:rsidRPr="006E59C8" w:rsidRDefault="00703023">
            <w:pPr>
              <w:spacing w:after="120"/>
              <w:jc w:val="both"/>
              <w:rPr>
                <w:szCs w:val="24"/>
                <w:lang w:val="en-GB"/>
              </w:rPr>
            </w:pPr>
            <w:r w:rsidRPr="006E59C8">
              <w:rPr>
                <w:lang w:val="en-GB"/>
              </w:rPr>
              <w:t>Less stringent objectives already achieved</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xml:space="preserve">: Villkorlig. Om god ekologisk status eller potential INTE kommer att uppnås till 2015 (swEcologicalStatusOrPotentialExpectedGoodIn2015 is No) ska det datum då god ekologisk status förväntas uppnås fullständigt rapporteras. En tydlig förklaring av bedömningsmetoden ska ges i förvaltningsplanen eller i bakgrundsdokumenten (hänvisning rapporteras under klassificeringsmetoder). Om god ekologisk status eller potential inte kommer att uppnås till 2015 bör undantag tillämpas. Rapportera det datum då god ekologisk status eller potential förväntas uppnås fullständigt, inte datum för individuella undantag. Tänk dock på följande: </w:t>
            </w:r>
          </w:p>
          <w:p w:rsidR="000215C5" w:rsidRDefault="00703023">
            <w:pPr>
              <w:spacing w:after="120"/>
              <w:jc w:val="both"/>
              <w:rPr>
                <w:szCs w:val="24"/>
              </w:rPr>
            </w:pPr>
            <w:r>
              <w:t>Undantag enligt artikel 4.4 rör förlängning av tidsfrister. Enligt artikel 4.4 c i vattendirektivet är det endast möjligt att förlänga tidsfristen för uppnåendet av målen till efter 2027 på grund av naturliga förhållanden.</w:t>
            </w:r>
          </w:p>
          <w:p w:rsidR="000215C5" w:rsidRDefault="00703023">
            <w:pPr>
              <w:spacing w:after="120"/>
              <w:jc w:val="both"/>
              <w:rPr>
                <w:szCs w:val="24"/>
              </w:rPr>
            </w:pPr>
            <w:r>
              <w:t xml:space="preserve">Om undantagen enligt artikel 4.5 gäller ska det datum då det mindre stränga målet uppnås rapporteras. Om det mindre stränga målet redan har uppnåtts ska ”Less stringent objectives already achieved” väljas. Om god ekologisk status eller potential kommer att uppnås till 2015 (swEcologicalStatusOrPotentialExpectedGoodIn2015 is Yes) ska denna post inte rapporteras. </w:t>
            </w:r>
          </w:p>
          <w:p w:rsidR="000215C5" w:rsidRDefault="00703023">
            <w:pPr>
              <w:spacing w:after="120"/>
              <w:jc w:val="both"/>
              <w:rPr>
                <w:szCs w:val="24"/>
              </w:rPr>
            </w:pPr>
            <w:r>
              <w:t>Denna post ska inte rapporteras om surfaceWaterBodyCategory är ”TeW” (territorialvatten).</w:t>
            </w:r>
          </w:p>
          <w:p w:rsidR="000215C5" w:rsidRDefault="00703023">
            <w:pPr>
              <w:spacing w:after="120"/>
              <w:jc w:val="both"/>
              <w:rPr>
                <w:szCs w:val="24"/>
              </w:rPr>
            </w:pPr>
            <w:r>
              <w:rPr>
                <w:b/>
              </w:rPr>
              <w:t>Kvalitetskontroller</w:t>
            </w:r>
            <w:r>
              <w:t>: Villkorlig kontroll: Rapportera om swEcologicalStatusOrPotentialExpectedGoodIn2015 är ”No”. Intern kontroll: ”Less stringent objectives already achieved” är endast en giltig post om ”Article 4(5)…” rapporteras under swEcologicalExemptionType.</w:t>
            </w:r>
          </w:p>
        </w:tc>
      </w:tr>
    </w:tbl>
    <w:p w:rsidR="000215C5" w:rsidRDefault="000215C5">
      <w:pPr>
        <w:spacing w:after="120"/>
        <w:jc w:val="both"/>
        <w:rPr>
          <w:b/>
          <w:szCs w:val="24"/>
        </w:rPr>
      </w:pPr>
    </w:p>
    <w:p w:rsidR="000215C5" w:rsidRDefault="00703023">
      <w:pPr>
        <w:spacing w:after="120"/>
        <w:jc w:val="both"/>
        <w:rPr>
          <w:szCs w:val="24"/>
        </w:rPr>
      </w:pPr>
      <w:r>
        <w:t>Följande klass (underkategori till SurfaceWaterBody) används för att rapportera RBSP vars status eller potential är sämre än god: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 SWB (fortsättning)</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szCs w:val="24"/>
              </w:rPr>
            </w:pPr>
            <w:r>
              <w:rPr>
                <w:b/>
                <w:i/>
              </w:rPr>
              <w:t>Klass: FailingRBSP</w:t>
            </w:r>
          </w:p>
          <w:p w:rsidR="000215C5" w:rsidRDefault="00703023">
            <w:pPr>
              <w:spacing w:after="120"/>
              <w:jc w:val="both"/>
              <w:rPr>
                <w:b/>
                <w:i/>
                <w:szCs w:val="24"/>
              </w:rPr>
            </w:pPr>
            <w:r>
              <w:rPr>
                <w:b/>
                <w:i/>
              </w:rPr>
              <w:t xml:space="preserve">Egenskaper: </w:t>
            </w:r>
            <w:r>
              <w:rPr>
                <w:i/>
              </w:rPr>
              <w:t>maxOccur: unbounded minOccur: 0</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w:t>
            </w:r>
            <w:r>
              <w:rPr>
                <w:b/>
              </w:rPr>
              <w:t xml:space="preserve"> </w:t>
            </w:r>
            <w:r>
              <w:t>swFailingRBSP</w:t>
            </w:r>
          </w:p>
          <w:p w:rsidR="000215C5" w:rsidRDefault="00703023">
            <w:pPr>
              <w:spacing w:after="120"/>
              <w:jc w:val="both"/>
              <w:rPr>
                <w:szCs w:val="24"/>
              </w:rPr>
            </w:pPr>
            <w:r>
              <w:rPr>
                <w:b/>
              </w:rPr>
              <w:t xml:space="preserve">Fälttyp/alternativ: </w:t>
            </w:r>
            <w:r>
              <w:t xml:space="preserve">RBSP_Enum (se bilaga 8b) </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w:t>
            </w:r>
            <w:r>
              <w:rPr>
                <w:rStyle w:val="Fotnotsreferens"/>
              </w:rPr>
              <w:footnoteReference w:id="28"/>
            </w:r>
            <w:r>
              <w:t xml:space="preserve">. Om statusen eller potentialen hos QE 3-3 River Basin Specific Pollutants är sämre än god (enligt vad som rapporterats i klassen QualityElement, se nedan), välj koden för och namnet på det särskilt förorenande ämnet för avrinningsdistrikt (RBSP). </w:t>
            </w:r>
          </w:p>
          <w:p w:rsidR="000215C5" w:rsidRDefault="00703023">
            <w:pPr>
              <w:spacing w:after="120"/>
              <w:jc w:val="both"/>
              <w:rPr>
                <w:szCs w:val="24"/>
              </w:rPr>
            </w:pPr>
            <w:r>
              <w:t xml:space="preserve">De RBSP som väljs från uppräkningslistan måste ingå i metodmallen (SWMET/SWRBSP/rbsp), där uppgifter om samtliga RBSP:s goda till måttliga kvalitetsfaktorer rapporteras. Det innebär att de RBSP som rapporteras i denna post är de som inte uppnår sina relevanta goda till måttliga kvalitetsfaktorer i denna ytvattenförekomst. </w:t>
            </w:r>
          </w:p>
          <w:p w:rsidR="000215C5" w:rsidRDefault="00703023">
            <w:pPr>
              <w:spacing w:after="120"/>
              <w:jc w:val="both"/>
              <w:rPr>
                <w:szCs w:val="24"/>
              </w:rPr>
            </w:pPr>
            <w:r>
              <w:rPr>
                <w:b/>
              </w:rPr>
              <w:t>Kvalitetskontroller</w:t>
            </w:r>
            <w:r>
              <w:t xml:space="preserve">: Villkorlig kontroll: Rapportera om qualityElementX = ”QE33RiverBasinSpecificPollutants” och qexStatusOrPotentialValue = ”3”. </w:t>
            </w:r>
          </w:p>
          <w:p w:rsidR="000215C5" w:rsidRDefault="00703023">
            <w:pPr>
              <w:spacing w:after="120"/>
              <w:jc w:val="both"/>
              <w:rPr>
                <w:b/>
                <w:szCs w:val="24"/>
              </w:rPr>
            </w:pPr>
            <w:r>
              <w:t>Dubbelkontroll av mallen: De valda RBSP måste överensstämma med de värden som rapporteras i SWMET/SWRBSP/rbsp</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w:t>
            </w:r>
            <w:r>
              <w:rPr>
                <w:b/>
              </w:rPr>
              <w:t xml:space="preserve"> </w:t>
            </w:r>
            <w:r>
              <w:t>swFailingRBSPOther</w:t>
            </w:r>
          </w:p>
          <w:p w:rsidR="000215C5" w:rsidRDefault="00703023">
            <w:pPr>
              <w:spacing w:after="120"/>
              <w:jc w:val="both"/>
              <w:rPr>
                <w:szCs w:val="24"/>
              </w:rPr>
            </w:pPr>
            <w:r>
              <w:rPr>
                <w:b/>
              </w:rPr>
              <w:t>Fälttyp/alternativ:</w:t>
            </w:r>
            <w:r>
              <w:t xml:space="preserve"> String100Type</w:t>
            </w:r>
          </w:p>
          <w:p w:rsidR="000215C5" w:rsidRDefault="00703023">
            <w:pPr>
              <w:spacing w:after="120"/>
              <w:jc w:val="both"/>
              <w:rPr>
                <w:szCs w:val="24"/>
              </w:rPr>
            </w:pPr>
            <w:r>
              <w:rPr>
                <w:b/>
              </w:rPr>
              <w:t>Egenskaper</w:t>
            </w:r>
            <w:r>
              <w:t>: maxOccurs = 1 minOccurs = 0</w:t>
            </w:r>
          </w:p>
          <w:p w:rsidR="000215C5" w:rsidRDefault="00703023">
            <w:pPr>
              <w:jc w:val="both"/>
            </w:pPr>
            <w:r>
              <w:rPr>
                <w:b/>
              </w:rPr>
              <w:t>Vägledning om hur man fyller i mallposten</w:t>
            </w:r>
            <w:r>
              <w:t>: Villkorlig. Rapportera CAS-nummer och namn på det RBSP som inte uppfyller målen om detta inte görs i uppräkningslistan under swFailingRBSP.</w:t>
            </w:r>
          </w:p>
          <w:p w:rsidR="000215C5" w:rsidRDefault="00703023">
            <w:pPr>
              <w:spacing w:after="120"/>
              <w:jc w:val="both"/>
              <w:rPr>
                <w:szCs w:val="24"/>
              </w:rPr>
            </w:pPr>
            <w:r>
              <w:rPr>
                <w:b/>
              </w:rPr>
              <w:t>Kvalitetskontroller</w:t>
            </w:r>
            <w:r>
              <w:t xml:space="preserve">: Villkorlig kontroll: Rapportera minst 1 om ”Other chemical parameter” väljs under ”swFailingRBSP”. </w:t>
            </w:r>
          </w:p>
        </w:tc>
      </w:tr>
    </w:tbl>
    <w:p w:rsidR="000215C5" w:rsidRDefault="000215C5">
      <w:pPr>
        <w:spacing w:after="120"/>
        <w:jc w:val="both"/>
        <w:rPr>
          <w:b/>
          <w:szCs w:val="24"/>
        </w:rPr>
      </w:pPr>
    </w:p>
    <w:p w:rsidR="000215C5" w:rsidRDefault="00703023">
      <w:pPr>
        <w:spacing w:after="120"/>
        <w:jc w:val="both"/>
        <w:rPr>
          <w:szCs w:val="24"/>
        </w:rPr>
      </w:pPr>
      <w:r>
        <w:t>Följande klass (underkategori till SurfaceWaterBody) används för att rapportera undantag på vattenförekomstnivå på nivån för allmän god ekologisk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 SWB (fortsättning)</w:t>
            </w:r>
          </w:p>
        </w:tc>
      </w:tr>
      <w:tr w:rsidR="000215C5" w:rsidRPr="00764B64">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Pr="00D95552" w:rsidRDefault="00703023">
            <w:pPr>
              <w:spacing w:after="120"/>
              <w:jc w:val="both"/>
              <w:rPr>
                <w:b/>
                <w:i/>
                <w:szCs w:val="24"/>
              </w:rPr>
            </w:pPr>
            <w:r w:rsidRPr="00D95552">
              <w:rPr>
                <w:b/>
                <w:i/>
              </w:rPr>
              <w:t>Klass: SWEcologicalExemptionType</w:t>
            </w:r>
          </w:p>
          <w:p w:rsidR="000215C5" w:rsidRPr="00D95552" w:rsidRDefault="00703023">
            <w:pPr>
              <w:spacing w:after="120"/>
              <w:jc w:val="both"/>
              <w:rPr>
                <w:i/>
                <w:szCs w:val="24"/>
              </w:rPr>
            </w:pPr>
            <w:r w:rsidRPr="00D95552">
              <w:rPr>
                <w:b/>
                <w:i/>
              </w:rPr>
              <w:t>Egenskaper</w:t>
            </w:r>
            <w:r w:rsidRPr="00D95552">
              <w:rPr>
                <w:i/>
              </w:rPr>
              <w:t>: max Occur: unbounded minOccur: 1</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swEcologicalExemptionType</w:t>
            </w:r>
          </w:p>
          <w:p w:rsidR="000215C5" w:rsidRPr="00D95552" w:rsidRDefault="00703023">
            <w:pPr>
              <w:spacing w:after="120"/>
              <w:jc w:val="both"/>
              <w:rPr>
                <w:szCs w:val="24"/>
              </w:rPr>
            </w:pPr>
            <w:r w:rsidRPr="00D95552">
              <w:rPr>
                <w:b/>
              </w:rPr>
              <w:t>Fälttyp/alternativ/förhållande</w:t>
            </w:r>
            <w:r w:rsidRPr="00D95552">
              <w:t xml:space="preserve">: ExemptionType_Enum (se bilaga 8g)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Rapportera vilken eller vilka typer av undantag som gäller om god ekologisk status eller potential inte förväntas uppnås till 2015. Fler än ett undantag kan vara tillämpligt på ytvattenförekomsten.</w:t>
            </w:r>
          </w:p>
          <w:p w:rsidR="000215C5" w:rsidRDefault="00703023">
            <w:pPr>
              <w:spacing w:after="120"/>
              <w:jc w:val="both"/>
              <w:rPr>
                <w:szCs w:val="24"/>
              </w:rPr>
            </w:pPr>
            <w:r>
              <w:t>Om surfaceWaterCategory är ”TeW” ska ”No exemption” rapporteras och tolkas som ”Not applicable”.</w:t>
            </w:r>
          </w:p>
          <w:p w:rsidR="000215C5" w:rsidRDefault="00703023">
            <w:pPr>
              <w:spacing w:after="120"/>
              <w:jc w:val="both"/>
              <w:rPr>
                <w:szCs w:val="24"/>
              </w:rPr>
            </w:pPr>
            <w:r>
              <w:rPr>
                <w:b/>
              </w:rPr>
              <w:t>Kvalitetskontroller</w:t>
            </w:r>
            <w:r>
              <w:t>: Intern kontroll: ”No exemption” är inte förenligt med något annat alternativ.</w:t>
            </w:r>
          </w:p>
          <w:p w:rsidR="000215C5" w:rsidRDefault="00703023">
            <w:pPr>
              <w:spacing w:after="120"/>
              <w:jc w:val="both"/>
              <w:rPr>
                <w:szCs w:val="24"/>
              </w:rPr>
            </w:pPr>
            <w:r>
              <w:t>Intern kontroll: Om swEcologicalStatusOrPotentialExpectedGoodIn2015 är ”No” är alternativet ”No exemption” inte möjligt. Ett eller flera av de andra alternativen måste väljas.</w:t>
            </w:r>
          </w:p>
          <w:p w:rsidR="000215C5" w:rsidRDefault="00703023">
            <w:pPr>
              <w:spacing w:after="120"/>
              <w:jc w:val="both"/>
              <w:rPr>
                <w:b/>
                <w:szCs w:val="24"/>
              </w:rPr>
            </w:pPr>
            <w:r>
              <w:t>Intern kontroll: om surfaceWaterCategory är ”TeW” måste ”No exemption” väljas.</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 swEcologicalExemptionPressure</w:t>
            </w:r>
          </w:p>
          <w:p w:rsidR="000215C5" w:rsidRDefault="00703023">
            <w:pPr>
              <w:spacing w:after="120"/>
              <w:jc w:val="both"/>
              <w:rPr>
                <w:szCs w:val="24"/>
              </w:rPr>
            </w:pPr>
            <w:r>
              <w:rPr>
                <w:b/>
              </w:rPr>
              <w:t>Fälttyp/alternativ/förhållande</w:t>
            </w:r>
            <w:r>
              <w:t>: SignificantPressureType_Enum (se bilaga 1a)</w:t>
            </w:r>
          </w:p>
          <w:p w:rsidR="000215C5" w:rsidRDefault="00703023">
            <w:pPr>
              <w:spacing w:after="120"/>
              <w:jc w:val="both"/>
              <w:rPr>
                <w:szCs w:val="24"/>
              </w:rPr>
            </w:pPr>
            <w:r>
              <w:rPr>
                <w:b/>
              </w:rPr>
              <w:t>Egenskaper</w:t>
            </w:r>
            <w:r>
              <w:t>: maxOccurs = unbounded minOccurs = 0</w:t>
            </w:r>
          </w:p>
          <w:p w:rsidR="000215C5" w:rsidRDefault="00703023">
            <w:pPr>
              <w:spacing w:after="120"/>
              <w:jc w:val="both"/>
              <w:rPr>
                <w:szCs w:val="24"/>
              </w:rPr>
            </w:pPr>
            <w:r>
              <w:rPr>
                <w:b/>
              </w:rPr>
              <w:t>Vägledning om hur man fyller i mallposten</w:t>
            </w:r>
            <w:r>
              <w:t>: Villkorlig. Om något undantag enligt artikel 4.4, 4.5 och/eller 4.7 är tillämpligt på denna ytvattenförekomst för ekologisk status, ange betydande påverkan som leder till att målen inte uppnås för att motivera undantagen.</w:t>
            </w:r>
          </w:p>
          <w:p w:rsidR="000215C5" w:rsidRDefault="00703023">
            <w:pPr>
              <w:spacing w:after="120"/>
              <w:jc w:val="both"/>
              <w:rPr>
                <w:szCs w:val="24"/>
              </w:rPr>
            </w:pPr>
            <w:r>
              <w:rPr>
                <w:b/>
              </w:rPr>
              <w:t>Kvalitetskontroller</w:t>
            </w:r>
            <w:r>
              <w:t xml:space="preserve">: </w:t>
            </w:r>
          </w:p>
          <w:p w:rsidR="000215C5" w:rsidRDefault="00703023">
            <w:pPr>
              <w:spacing w:after="120"/>
              <w:jc w:val="both"/>
              <w:rPr>
                <w:szCs w:val="24"/>
              </w:rPr>
            </w:pPr>
            <w:r>
              <w:t>Villkorlig kontroll: Om swEcologicalExemptionType inte är ”No exemption” måste minst en typ av betydande påverkan väljas från uppräkningslistan (alternativen ”No significant pressure” och ”Not applicable” är inte giltiga).</w:t>
            </w:r>
          </w:p>
        </w:tc>
      </w:tr>
    </w:tbl>
    <w:p w:rsidR="000215C5" w:rsidRDefault="000215C5">
      <w:pPr>
        <w:jc w:val="both"/>
        <w:rPr>
          <w:b/>
        </w:rPr>
      </w:pPr>
    </w:p>
    <w:p w:rsidR="000215C5" w:rsidRDefault="00703023" w:rsidP="00BB474C">
      <w:pPr>
        <w:keepNext/>
        <w:jc w:val="both"/>
        <w:rPr>
          <w:b/>
        </w:rPr>
      </w:pPr>
      <w:r>
        <w:rPr>
          <w:b/>
        </w:rPr>
        <w:t>Rapportering av information för varje kvalitetsfaktor</w:t>
      </w:r>
    </w:p>
    <w:p w:rsidR="000215C5" w:rsidRDefault="00703023" w:rsidP="00BB474C">
      <w:pPr>
        <w:keepNext/>
        <w:jc w:val="both"/>
      </w:pPr>
      <w:r>
        <w:t>Följande klass (underkategori till SurfaceWaterBody) används för att rapportera status och undantag för vart och ett av de 19 kvalitetsfaktorerna. Följande information ska rapporteras för varje kvalitetsfaktor: Informationen ska rapporteras för alla ytvattenkategorier (floder, sjöar, vatten i övergångszoner och kustvatten).</w:t>
      </w:r>
    </w:p>
    <w:p w:rsidR="000215C5" w:rsidRDefault="000215C5">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 SWB (fortsättning)</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rPr>
            </w:pPr>
            <w:r>
              <w:rPr>
                <w:b/>
                <w:i/>
              </w:rPr>
              <w:t>Klass: QualityElement</w:t>
            </w:r>
          </w:p>
          <w:p w:rsidR="000215C5" w:rsidRDefault="00703023">
            <w:pPr>
              <w:spacing w:after="120"/>
              <w:jc w:val="both"/>
              <w:rPr>
                <w:i/>
              </w:rPr>
            </w:pPr>
            <w:r>
              <w:rPr>
                <w:b/>
              </w:rPr>
              <w:t>Egenskaper</w:t>
            </w:r>
            <w:r>
              <w:t>: maxOccurs = 19 minOccurs = 19</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pPr>
            <w:r>
              <w:rPr>
                <w:b/>
              </w:rPr>
              <w:t>Mallpost</w:t>
            </w:r>
            <w:r>
              <w:t>:</w:t>
            </w:r>
            <w:r>
              <w:rPr>
                <w:b/>
              </w:rPr>
              <w:t xml:space="preserve"> </w:t>
            </w:r>
            <w:r>
              <w:t>qeCode</w:t>
            </w:r>
          </w:p>
          <w:p w:rsidR="000215C5" w:rsidRDefault="00703023">
            <w:pPr>
              <w:spacing w:after="120"/>
              <w:jc w:val="both"/>
            </w:pPr>
            <w:r>
              <w:rPr>
                <w:b/>
              </w:rPr>
              <w:t xml:space="preserve">Fälttyp/alternativ: </w:t>
            </w:r>
            <w:r>
              <w:t>StatusQE_Enum (se bilaga 8h)</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varje kvalitetsfaktor i tur och ordning och ange information.</w:t>
            </w:r>
          </w:p>
          <w:p w:rsidR="000215C5" w:rsidRDefault="00703023">
            <w:pPr>
              <w:spacing w:after="120"/>
              <w:jc w:val="both"/>
              <w:rPr>
                <w:b/>
                <w:szCs w:val="24"/>
              </w:rPr>
            </w:pPr>
            <w:r>
              <w:rPr>
                <w:b/>
              </w:rPr>
              <w:t>Kvalitetskontroller</w:t>
            </w:r>
            <w:r>
              <w:t>: Lämna information om samtliga kvalitetsfaktorer. Varje kvalitetsfaktor får bara väljas en gång.</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w:t>
            </w:r>
            <w:r>
              <w:rPr>
                <w:b/>
              </w:rPr>
              <w:t xml:space="preserve"> </w:t>
            </w:r>
            <w:r>
              <w:t>qeStatusOrPotentialValue</w:t>
            </w:r>
          </w:p>
          <w:p w:rsidR="000215C5" w:rsidRDefault="00703023">
            <w:pPr>
              <w:spacing w:after="120"/>
              <w:jc w:val="both"/>
              <w:rPr>
                <w:szCs w:val="24"/>
              </w:rPr>
            </w:pPr>
            <w:r>
              <w:rPr>
                <w:b/>
              </w:rPr>
              <w:t xml:space="preserve">Fälttyp/alternativ: </w:t>
            </w:r>
            <w:r>
              <w:t>QEStatusCode_Enum: 1, 2, 3, 4, 5, MonitoredButNotUsed, Unknown,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resultaten av bedömningen av denna kvalitetsfaktor för alla relevanta ytvattenkategorier. </w:t>
            </w:r>
          </w:p>
          <w:p w:rsidR="000215C5" w:rsidRDefault="00703023">
            <w:pPr>
              <w:spacing w:after="120"/>
              <w:jc w:val="both"/>
              <w:rPr>
                <w:szCs w:val="24"/>
              </w:rPr>
            </w:pPr>
            <w:r>
              <w:t>1 = Hög status eller maximal potential.</w:t>
            </w:r>
          </w:p>
          <w:p w:rsidR="000215C5" w:rsidRDefault="00703023">
            <w:pPr>
              <w:spacing w:after="120"/>
              <w:jc w:val="both"/>
              <w:rPr>
                <w:szCs w:val="24"/>
              </w:rPr>
            </w:pPr>
            <w:r>
              <w:t>2 = God status eller potential.</w:t>
            </w:r>
          </w:p>
          <w:p w:rsidR="000215C5" w:rsidRDefault="00703023">
            <w:pPr>
              <w:spacing w:after="120"/>
              <w:jc w:val="both"/>
              <w:rPr>
                <w:szCs w:val="24"/>
              </w:rPr>
            </w:pPr>
            <w:r>
              <w:t>3 = Måttlig status eller potential (för QE1) eller sämre än god status eller potential (för QE2 och QE3).</w:t>
            </w:r>
          </w:p>
          <w:p w:rsidR="000215C5" w:rsidRDefault="00703023">
            <w:pPr>
              <w:spacing w:after="120"/>
              <w:jc w:val="both"/>
              <w:rPr>
                <w:szCs w:val="24"/>
              </w:rPr>
            </w:pPr>
            <w:r>
              <w:t>4 = Otillfredsställande status eller potential (detta alternativ är endast giltigt för kvalitetsfaktorer som börjar med QE1).</w:t>
            </w:r>
          </w:p>
          <w:p w:rsidR="000215C5" w:rsidRDefault="00703023">
            <w:pPr>
              <w:spacing w:after="120"/>
              <w:jc w:val="both"/>
              <w:rPr>
                <w:szCs w:val="24"/>
              </w:rPr>
            </w:pPr>
            <w:r>
              <w:t>5 = Dålig status eller potential (detta alternativ är endast giltigt för kvalitetsfaktorer som börjar med QE1).</w:t>
            </w:r>
          </w:p>
          <w:p w:rsidR="000215C5" w:rsidRDefault="00703023">
            <w:pPr>
              <w:spacing w:after="120"/>
              <w:jc w:val="both"/>
              <w:rPr>
                <w:szCs w:val="24"/>
              </w:rPr>
            </w:pPr>
            <w:r>
              <w:t>”MonitoredButNotUsed” = Övervakad, men ingen standard har tagits fram och/eller kvalitetsfaktorn används inte för statusbedömning (detta alternativ är endast giltigt för kvalitetsfaktorer som börjar med QE2 eller QE3).</w:t>
            </w:r>
          </w:p>
          <w:p w:rsidR="000215C5" w:rsidRDefault="00703023">
            <w:pPr>
              <w:spacing w:after="120"/>
              <w:jc w:val="both"/>
              <w:rPr>
                <w:szCs w:val="24"/>
              </w:rPr>
            </w:pPr>
            <w:r>
              <w:t>”Unknown” = Okänd status eller potential.</w:t>
            </w:r>
          </w:p>
          <w:p w:rsidR="000215C5" w:rsidRDefault="00703023">
            <w:pPr>
              <w:spacing w:after="120"/>
              <w:jc w:val="both"/>
              <w:rPr>
                <w:szCs w:val="24"/>
              </w:rPr>
            </w:pPr>
            <w:r>
              <w:t>”Not applicable” = Ej tillämplig.</w:t>
            </w:r>
          </w:p>
          <w:p w:rsidR="000215C5" w:rsidRDefault="00703023">
            <w:pPr>
              <w:spacing w:after="120"/>
              <w:jc w:val="both"/>
              <w:rPr>
                <w:szCs w:val="24"/>
              </w:rPr>
            </w:pPr>
            <w:r>
              <w:t>Om det inte finns övervakningsinformation för denna kvalitetsfaktor och/eller statusen är okänd, välj ”Unknown” från uppräkningslistan. Om kvalitetsfaktorn inte är tillämplig på kategorin eller typen av vattenförekomst, välj alternativet ”Not applicable” från uppräkningslistan.</w:t>
            </w:r>
          </w:p>
          <w:p w:rsidR="000215C5" w:rsidRDefault="00703023">
            <w:pPr>
              <w:spacing w:after="120"/>
              <w:jc w:val="both"/>
              <w:rPr>
                <w:szCs w:val="24"/>
              </w:rPr>
            </w:pPr>
            <w:r>
              <w:rPr>
                <w:b/>
              </w:rPr>
              <w:t>Kvalitetskontroller</w:t>
            </w:r>
            <w:r>
              <w:t xml:space="preserve">: </w:t>
            </w:r>
          </w:p>
          <w:p w:rsidR="000215C5" w:rsidRDefault="00703023">
            <w:pPr>
              <w:spacing w:after="120"/>
              <w:jc w:val="both"/>
              <w:rPr>
                <w:szCs w:val="24"/>
              </w:rPr>
            </w:pPr>
            <w:r>
              <w:t>Intern kontroll: om surfaceWaterCategory är ”TeW” måste ”Not applicable” väljas.</w:t>
            </w:r>
          </w:p>
          <w:p w:rsidR="000215C5" w:rsidRDefault="00703023">
            <w:pPr>
              <w:spacing w:after="120"/>
              <w:jc w:val="both"/>
              <w:rPr>
                <w:szCs w:val="24"/>
              </w:rPr>
            </w:pPr>
            <w:r>
              <w:t>Om qeCode är en kvalitetsfaktor som börjar med QE1 är alternativet ”MonitoredButNotUsed” inte giltigt. Om qeCode är en kvalitetsfaktor som börjar med QE2 eller QE3 är alternativen 4 och 5 inte giltiga.</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w:t>
            </w:r>
            <w:r>
              <w:rPr>
                <w:b/>
              </w:rPr>
              <w:t xml:space="preserve"> </w:t>
            </w:r>
            <w:r>
              <w:t>qeMonitoringResults</w:t>
            </w:r>
          </w:p>
          <w:p w:rsidR="000215C5" w:rsidRDefault="00703023">
            <w:pPr>
              <w:spacing w:after="120"/>
              <w:jc w:val="both"/>
              <w:rPr>
                <w:szCs w:val="24"/>
              </w:rPr>
            </w:pPr>
            <w:r>
              <w:rPr>
                <w:b/>
              </w:rPr>
              <w:t xml:space="preserve">Fälttyp/alternativ: </w:t>
            </w:r>
            <w:r>
              <w:t>MonitoringResults_Enum: Monitoring, Grouping, Expert judgement</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status rapporteras, ange grunden för statusklassificeringen. </w:t>
            </w:r>
          </w:p>
          <w:p w:rsidR="000215C5" w:rsidRDefault="00703023">
            <w:pPr>
              <w:spacing w:after="120"/>
              <w:jc w:val="both"/>
              <w:rPr>
                <w:szCs w:val="24"/>
              </w:rPr>
            </w:pPr>
            <w:r>
              <w:t xml:space="preserve">”Monitoring” betyder att kvalitetsfaktorn övervakades för denna ytvattenförekomst och att resultaten används som underlag för klassificeringen. </w:t>
            </w:r>
          </w:p>
          <w:p w:rsidR="000215C5" w:rsidRDefault="00703023">
            <w:pPr>
              <w:spacing w:after="120"/>
              <w:jc w:val="both"/>
              <w:rPr>
                <w:szCs w:val="24"/>
              </w:rPr>
            </w:pPr>
            <w:r>
              <w:t xml:space="preserve">”Grouping”: kvalitetsfaktorn övervakades inte för denna ytvattenförekomst. Övervakning från andra liknande vattenförekomster användes som underlag för klassificeringen enligt beskrivningen av klassificeringsmetoden. </w:t>
            </w:r>
          </w:p>
          <w:p w:rsidR="000215C5" w:rsidRDefault="00703023">
            <w:pPr>
              <w:spacing w:after="120"/>
              <w:jc w:val="both"/>
              <w:rPr>
                <w:szCs w:val="24"/>
              </w:rPr>
            </w:pPr>
            <w:r>
              <w:t>”Expert judgement”: kvalitetsfaktorn övervakades inte för denna ytvattenförekomst. Resultat från andra liknande vattenförekomster användes inte. Kvalitetsfaktorns status grundas främst på ett expertutlåtande.</w:t>
            </w:r>
          </w:p>
          <w:p w:rsidR="000215C5" w:rsidRDefault="00703023">
            <w:pPr>
              <w:spacing w:after="120"/>
              <w:jc w:val="both"/>
              <w:rPr>
                <w:szCs w:val="24"/>
              </w:rPr>
            </w:pPr>
            <w:r>
              <w:rPr>
                <w:b/>
              </w:rPr>
              <w:t>Kvalitetskontroller</w:t>
            </w:r>
            <w:r>
              <w:t>: Villkorlig kontroll: Rapportera om posten qeStatusOrPotentialValue är 1, 2, 3, 4 eller 5 (dvs. inte ”MonitoredButNotUsed”, ”Unknown”, ”Not applicable”).</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w:t>
            </w:r>
            <w:r>
              <w:rPr>
                <w:b/>
              </w:rPr>
              <w:t xml:space="preserve"> </w:t>
            </w:r>
            <w:r>
              <w:t>qeMonitoringPeriod</w:t>
            </w:r>
          </w:p>
          <w:p w:rsidR="000215C5" w:rsidRDefault="00703023">
            <w:pPr>
              <w:spacing w:after="120"/>
              <w:jc w:val="both"/>
              <w:rPr>
                <w:szCs w:val="24"/>
              </w:rPr>
            </w:pPr>
            <w:r>
              <w:rPr>
                <w:b/>
              </w:rPr>
              <w:t xml:space="preserve">Fälttyp/alternativ: </w:t>
            </w:r>
            <w:r>
              <w:t xml:space="preserve">YearRangeType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kvalitetsfaktorn övervakades och klassificeringen grundades på tillgängliga övervakningsuppgifter, ange år/period för de övervakningsuppgifter som användes för klassificeringen.</w:t>
            </w:r>
          </w:p>
          <w:p w:rsidR="000215C5" w:rsidRDefault="00703023">
            <w:pPr>
              <w:spacing w:after="120"/>
              <w:jc w:val="both"/>
              <w:rPr>
                <w:b/>
                <w:szCs w:val="24"/>
                <w:highlight w:val="green"/>
              </w:rPr>
            </w:pPr>
            <w:r>
              <w:rPr>
                <w:b/>
              </w:rPr>
              <w:t>Kvalitetskontroller</w:t>
            </w:r>
            <w:r>
              <w:t>: Villkorlig kontroll: Rapportera om qeMonitoringResults är ”Monitoring”.</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w:t>
            </w:r>
            <w:r>
              <w:rPr>
                <w:b/>
              </w:rPr>
              <w:t xml:space="preserve"> </w:t>
            </w:r>
            <w:r>
              <w:t>qeGrouping</w:t>
            </w:r>
          </w:p>
          <w:p w:rsidR="000215C5" w:rsidRDefault="00703023">
            <w:pPr>
              <w:spacing w:after="120"/>
              <w:jc w:val="both"/>
              <w:rPr>
                <w:szCs w:val="24"/>
              </w:rPr>
            </w:pPr>
            <w:r>
              <w:rPr>
                <w:b/>
              </w:rPr>
              <w:t xml:space="preserve">Fälttyp/alternativ: </w:t>
            </w:r>
            <w:r>
              <w:rPr>
                <w:rFonts w:ascii="Calibri" w:hAnsi="Calibri"/>
                <w:color w:val="1F497D"/>
                <w:sz w:val="22"/>
              </w:rPr>
              <w:t>FeatureUniqueEUCodeType</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Villkorlig. Om inga övervakningsuppgifter finns tillgängliga för ytvattenförekomsten och status grundas på gruppering genom extrapolering av övervakningsuppgifter från andra ytvattenförekomster, ange koderna för de ytvattenförekomster som har övervakats och använts i grupperingen.</w:t>
            </w:r>
          </w:p>
          <w:p w:rsidR="000215C5" w:rsidRDefault="00703023">
            <w:pPr>
              <w:spacing w:after="120"/>
              <w:jc w:val="both"/>
              <w:rPr>
                <w:szCs w:val="24"/>
              </w:rPr>
            </w:pPr>
            <w:r>
              <w:t>Exempel: Om statusen för ytvattenförekomst A har fastställts genom extrapolering av övervakningsuppgifter från ytvattenförekomsterna B och C ska euSurfaceWaterBodyCode rapporteras för ytvattenförekomsterna B och C i denna post.</w:t>
            </w:r>
          </w:p>
          <w:p w:rsidR="000215C5" w:rsidRDefault="00703023">
            <w:pPr>
              <w:spacing w:after="120"/>
              <w:jc w:val="both"/>
              <w:rPr>
                <w:szCs w:val="24"/>
              </w:rPr>
            </w:pPr>
            <w:r>
              <w:rPr>
                <w:b/>
              </w:rPr>
              <w:t>Kvalitetskontroller</w:t>
            </w:r>
            <w:r>
              <w:t xml:space="preserve">: </w:t>
            </w:r>
          </w:p>
          <w:p w:rsidR="000215C5" w:rsidRDefault="00703023">
            <w:pPr>
              <w:spacing w:after="120"/>
              <w:jc w:val="both"/>
              <w:rPr>
                <w:szCs w:val="24"/>
              </w:rPr>
            </w:pPr>
            <w:r>
              <w:t>Villkorlig kontroll: Rapportera om qeMonitoringResults är ”Grouping”.</w:t>
            </w:r>
          </w:p>
          <w:p w:rsidR="000215C5" w:rsidRDefault="00703023">
            <w:pPr>
              <w:spacing w:after="120"/>
              <w:jc w:val="both"/>
              <w:rPr>
                <w:b/>
                <w:szCs w:val="24"/>
                <w:highlight w:val="green"/>
              </w:rPr>
            </w:pPr>
            <w:r>
              <w:t>Intern kontroll: euSurfaceWaterBodyCode som rapporteras i qeGrouping måste överensstämma med de koder som rapporteras i SWB/SWCharacterisation/euSurfaceWaterBodyCode.</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Pr="006E59C8" w:rsidRDefault="00703023">
            <w:pPr>
              <w:spacing w:after="120"/>
              <w:jc w:val="both"/>
              <w:rPr>
                <w:szCs w:val="24"/>
                <w:lang w:val="en-GB"/>
              </w:rPr>
            </w:pPr>
            <w:r w:rsidRPr="006E59C8">
              <w:rPr>
                <w:b/>
                <w:lang w:val="en-GB"/>
              </w:rPr>
              <w:t>Mallpost</w:t>
            </w:r>
            <w:r w:rsidRPr="006E59C8">
              <w:rPr>
                <w:lang w:val="en-GB"/>
              </w:rPr>
              <w:t>:</w:t>
            </w:r>
            <w:r w:rsidRPr="006E59C8">
              <w:rPr>
                <w:b/>
                <w:lang w:val="en-GB"/>
              </w:rPr>
              <w:t xml:space="preserve"> </w:t>
            </w:r>
            <w:r w:rsidRPr="006E59C8">
              <w:rPr>
                <w:lang w:val="en-GB"/>
              </w:rPr>
              <w:t>qeStatusOrPotentialChange</w:t>
            </w:r>
          </w:p>
          <w:p w:rsidR="000215C5" w:rsidRPr="006E59C8" w:rsidRDefault="00703023">
            <w:pPr>
              <w:spacing w:after="120"/>
              <w:jc w:val="both"/>
              <w:rPr>
                <w:szCs w:val="24"/>
                <w:lang w:val="en-GB"/>
              </w:rPr>
            </w:pPr>
            <w:r w:rsidRPr="006E59C8">
              <w:rPr>
                <w:b/>
                <w:lang w:val="en-GB"/>
              </w:rPr>
              <w:t xml:space="preserve">Fälttyp/alternativ: </w:t>
            </w:r>
            <w:r w:rsidRPr="006E59C8">
              <w:rPr>
                <w:lang w:val="en-GB"/>
              </w:rPr>
              <w:t>ValueQEX_StatusOrPotentialChange_Enum: +2, +1, 0, -1, -2, Unknown2010, No information</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Om information finns tillgänglig och klassificeringen har ändrats sedan den första förvaltningsplanen rapporterades ska ändringen rapporteras. I andra fall, rapportera ”No_information”. Detta täcker alla fall där det inte är möjligt att identifiera en ändring mellan 2010 och 2016, t.ex. nya vattenförekomster som inte har någon motsvarighet i rapporteringen 2010, eller ny rapportering (vilket gäller för Norge).</w:t>
            </w:r>
          </w:p>
          <w:p w:rsidR="000215C5" w:rsidRDefault="00703023">
            <w:pPr>
              <w:spacing w:after="120"/>
              <w:jc w:val="both"/>
              <w:rPr>
                <w:szCs w:val="24"/>
              </w:rPr>
            </w:pPr>
            <w:r>
              <w:t>+2 = Förbättring med två eller flera klassificeringar.</w:t>
            </w:r>
          </w:p>
          <w:p w:rsidR="000215C5" w:rsidRDefault="00703023">
            <w:pPr>
              <w:spacing w:after="120"/>
              <w:jc w:val="both"/>
              <w:rPr>
                <w:szCs w:val="24"/>
              </w:rPr>
            </w:pPr>
            <w:r>
              <w:t>+1 = Förbättring med en klassificering.</w:t>
            </w:r>
          </w:p>
          <w:p w:rsidR="000215C5" w:rsidRDefault="00703023">
            <w:pPr>
              <w:spacing w:after="120"/>
              <w:jc w:val="both"/>
              <w:rPr>
                <w:szCs w:val="24"/>
              </w:rPr>
            </w:pPr>
            <w:r>
              <w:t>0 = Ingen ändring i klassificeringen (välj som standard).</w:t>
            </w:r>
          </w:p>
          <w:p w:rsidR="000215C5" w:rsidRDefault="00703023">
            <w:pPr>
              <w:spacing w:after="120"/>
              <w:jc w:val="both"/>
              <w:rPr>
                <w:szCs w:val="24"/>
              </w:rPr>
            </w:pPr>
            <w:r>
              <w:t>-1 = Försämring med en klassificering.</w:t>
            </w:r>
          </w:p>
          <w:p w:rsidR="000215C5" w:rsidRDefault="00703023">
            <w:pPr>
              <w:spacing w:after="120"/>
              <w:jc w:val="both"/>
              <w:rPr>
                <w:szCs w:val="24"/>
              </w:rPr>
            </w:pPr>
            <w:r>
              <w:t>-2 = Försämring med två eller flera klassificeringar.</w:t>
            </w:r>
          </w:p>
          <w:p w:rsidR="000215C5" w:rsidRDefault="00703023">
            <w:pPr>
              <w:spacing w:after="120"/>
              <w:jc w:val="both"/>
              <w:rPr>
                <w:szCs w:val="24"/>
              </w:rPr>
            </w:pPr>
            <w:r>
              <w:t>Unknown2010 = Status eller potential var okänd 2010.</w:t>
            </w:r>
          </w:p>
          <w:p w:rsidR="000215C5" w:rsidRDefault="00703023">
            <w:pPr>
              <w:spacing w:after="120"/>
              <w:jc w:val="both"/>
              <w:rPr>
                <w:szCs w:val="24"/>
              </w:rPr>
            </w:pPr>
            <w:r>
              <w:t>No information = Ingen information finns tillgänglig och/eller omöjligt att jämföra nuvarande status eller potential med statusen eller potentialen 2010.</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w:t>
            </w:r>
            <w:r>
              <w:rPr>
                <w:b/>
              </w:rPr>
              <w:t xml:space="preserve"> </w:t>
            </w:r>
            <w:r>
              <w:t>qeStatusOrPotentialComparability</w:t>
            </w:r>
          </w:p>
          <w:p w:rsidR="000215C5" w:rsidRDefault="00703023">
            <w:pPr>
              <w:spacing w:after="120"/>
              <w:jc w:val="both"/>
              <w:rPr>
                <w:szCs w:val="24"/>
              </w:rPr>
            </w:pPr>
            <w:r>
              <w:rPr>
                <w:b/>
              </w:rPr>
              <w:t xml:space="preserve">Fälttyp/alternativ: </w:t>
            </w:r>
            <w:r>
              <w:t>SoPComparability_Enum:</w:t>
            </w:r>
          </w:p>
          <w:p w:rsidR="000215C5" w:rsidRPr="006E59C8" w:rsidRDefault="00703023">
            <w:pPr>
              <w:spacing w:after="120"/>
              <w:jc w:val="both"/>
              <w:rPr>
                <w:szCs w:val="24"/>
                <w:lang w:val="en-GB"/>
              </w:rPr>
            </w:pPr>
            <w:r w:rsidRPr="006E59C8">
              <w:rPr>
                <w:lang w:val="en-GB"/>
              </w:rPr>
              <w:t>Consistent change</w:t>
            </w:r>
          </w:p>
          <w:p w:rsidR="000215C5" w:rsidRPr="006E59C8" w:rsidRDefault="00703023">
            <w:pPr>
              <w:spacing w:after="120"/>
              <w:jc w:val="both"/>
              <w:rPr>
                <w:szCs w:val="24"/>
                <w:lang w:val="en-GB"/>
              </w:rPr>
            </w:pPr>
            <w:r w:rsidRPr="006E59C8">
              <w:rPr>
                <w:lang w:val="en-GB"/>
              </w:rPr>
              <w:t>Inconsistent due to changes to monitoring</w:t>
            </w:r>
          </w:p>
          <w:p w:rsidR="000215C5" w:rsidRPr="006E59C8" w:rsidRDefault="00703023">
            <w:pPr>
              <w:spacing w:after="120"/>
              <w:jc w:val="both"/>
              <w:rPr>
                <w:szCs w:val="24"/>
                <w:lang w:val="en-GB"/>
              </w:rPr>
            </w:pPr>
            <w:r w:rsidRPr="006E59C8">
              <w:rPr>
                <w:lang w:val="en-GB"/>
              </w:rPr>
              <w:t>Inconsistent due to changes to assessment methods</w:t>
            </w:r>
          </w:p>
          <w:p w:rsidR="000215C5" w:rsidRPr="006E59C8" w:rsidRDefault="00703023">
            <w:pPr>
              <w:spacing w:after="120"/>
              <w:jc w:val="both"/>
              <w:rPr>
                <w:szCs w:val="24"/>
                <w:lang w:val="en-GB"/>
              </w:rPr>
            </w:pPr>
            <w:r w:rsidRPr="006E59C8">
              <w:rPr>
                <w:lang w:val="en-GB"/>
              </w:rPr>
              <w:t>Inconsistent due to changes to monitoring and assessment methods</w:t>
            </w:r>
          </w:p>
          <w:p w:rsidR="000215C5" w:rsidRPr="006E59C8" w:rsidRDefault="00703023">
            <w:pPr>
              <w:spacing w:after="120"/>
              <w:jc w:val="both"/>
              <w:rPr>
                <w:szCs w:val="24"/>
                <w:lang w:val="en-GB"/>
              </w:rPr>
            </w:pPr>
            <w:r w:rsidRPr="006E59C8">
              <w:rPr>
                <w:lang w:val="en-GB"/>
              </w:rPr>
              <w:t>No information or unknown</w:t>
            </w:r>
          </w:p>
          <w:p w:rsidR="000215C5" w:rsidRPr="006E59C8" w:rsidRDefault="00703023">
            <w:pPr>
              <w:spacing w:after="120"/>
              <w:jc w:val="both"/>
              <w:rPr>
                <w:szCs w:val="24"/>
                <w:lang w:val="en-GB"/>
              </w:rPr>
            </w:pPr>
            <w:r w:rsidRPr="006E59C8">
              <w:rPr>
                <w:b/>
                <w:lang w:val="en-GB"/>
              </w:rPr>
              <w:t xml:space="preserve">Egenskaper: </w:t>
            </w:r>
            <w:r w:rsidRPr="006E59C8">
              <w:rPr>
                <w:lang w:val="en-GB"/>
              </w:rPr>
              <w:t>maxOccurs = 1 minOccurs = 0</w:t>
            </w:r>
          </w:p>
          <w:p w:rsidR="000215C5" w:rsidRDefault="00703023">
            <w:pPr>
              <w:spacing w:after="120"/>
              <w:jc w:val="both"/>
              <w:rPr>
                <w:szCs w:val="24"/>
              </w:rPr>
            </w:pPr>
            <w:r>
              <w:rPr>
                <w:b/>
              </w:rPr>
              <w:t>Vägledning om hur man fyller i mallposten</w:t>
            </w:r>
            <w:r>
              <w:t>: Villkorlig. Om klassificeringen har ändrats sedan den första förvaltningsplanen rapporterades, ange om den rapporterade ändringen av status eller potential anses vara/bero på:</w:t>
            </w:r>
          </w:p>
          <w:p w:rsidR="000215C5" w:rsidRDefault="00703023">
            <w:pPr>
              <w:spacing w:after="120"/>
              <w:jc w:val="both"/>
              <w:rPr>
                <w:szCs w:val="24"/>
              </w:rPr>
            </w:pPr>
            <w:r>
              <w:t>Consistent change = En verklig ändring av status på grund av åtgärder eller ökad/minskad påverkan.</w:t>
            </w:r>
          </w:p>
          <w:p w:rsidR="000215C5" w:rsidRDefault="00703023">
            <w:pPr>
              <w:spacing w:after="120"/>
              <w:jc w:val="both"/>
              <w:rPr>
                <w:szCs w:val="24"/>
              </w:rPr>
            </w:pPr>
            <w:r>
              <w:t>Inconsistent due to changes to monitoring = En betydande ändring i övervakningen (station, metod) sedan de första förvaltningsplanerna.</w:t>
            </w:r>
          </w:p>
          <w:p w:rsidR="000215C5" w:rsidRDefault="00703023">
            <w:pPr>
              <w:spacing w:after="120"/>
              <w:jc w:val="both"/>
              <w:rPr>
                <w:szCs w:val="24"/>
              </w:rPr>
            </w:pPr>
            <w:r>
              <w:t>Inconsistent due to changes to assessment methods = En betydande ändring i bedömningsmetoden sedan de första förvaltningsplanerna.</w:t>
            </w:r>
          </w:p>
          <w:p w:rsidR="000215C5" w:rsidRDefault="00703023">
            <w:pPr>
              <w:spacing w:after="120"/>
              <w:jc w:val="both"/>
              <w:rPr>
                <w:szCs w:val="24"/>
              </w:rPr>
            </w:pPr>
            <w:r>
              <w:t>Inconsistent due to changes to assessment methods = En betydande ändring i övervakningen och bedömningsmetoderna sedan de första förvaltningsplanerna.</w:t>
            </w:r>
          </w:p>
          <w:p w:rsidR="000215C5" w:rsidRDefault="00703023">
            <w:pPr>
              <w:spacing w:after="120"/>
              <w:jc w:val="both"/>
              <w:rPr>
                <w:szCs w:val="24"/>
              </w:rPr>
            </w:pPr>
            <w:r>
              <w:t>Det standardvärde som ska väljas ska vara ”Consistent change”.</w:t>
            </w:r>
          </w:p>
          <w:p w:rsidR="000215C5" w:rsidRDefault="00703023">
            <w:pPr>
              <w:spacing w:after="120"/>
              <w:jc w:val="both"/>
              <w:rPr>
                <w:szCs w:val="24"/>
              </w:rPr>
            </w:pPr>
            <w:r>
              <w:rPr>
                <w:b/>
              </w:rPr>
              <w:t>Kvalitetskontroller</w:t>
            </w:r>
          </w:p>
          <w:p w:rsidR="000215C5" w:rsidRDefault="00703023">
            <w:pPr>
              <w:spacing w:after="120"/>
              <w:jc w:val="both"/>
              <w:rPr>
                <w:b/>
                <w:szCs w:val="24"/>
                <w:highlight w:val="green"/>
              </w:rPr>
            </w:pPr>
            <w:r>
              <w:t>Villkorlig kontroll: Rapportera om qeStatusOrPotentialChange är +2, +1, -1 eller -2.</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w:t>
            </w:r>
            <w:r>
              <w:rPr>
                <w:b/>
              </w:rPr>
              <w:t xml:space="preserve"> </w:t>
            </w:r>
            <w:r>
              <w:t>qeEcologicalExemptionType</w:t>
            </w:r>
          </w:p>
          <w:p w:rsidR="000215C5" w:rsidRDefault="00703023">
            <w:pPr>
              <w:spacing w:after="120"/>
              <w:jc w:val="both"/>
              <w:rPr>
                <w:szCs w:val="24"/>
              </w:rPr>
            </w:pPr>
            <w:r>
              <w:rPr>
                <w:b/>
              </w:rPr>
              <w:t xml:space="preserve">Fälttyp/alternativ: </w:t>
            </w:r>
            <w:r>
              <w:t xml:space="preserve">ExemptionType_Enum (se bilaga 8g) </w:t>
            </w:r>
          </w:p>
          <w:p w:rsidR="000215C5" w:rsidRDefault="00703023">
            <w:pPr>
              <w:spacing w:after="120"/>
              <w:jc w:val="both"/>
              <w:rPr>
                <w:szCs w:val="24"/>
              </w:rPr>
            </w:pPr>
            <w:r>
              <w:rPr>
                <w:b/>
              </w:rPr>
              <w:t>Egenskaper</w:t>
            </w:r>
            <w:r>
              <w:t>: maxOccurs = unbounded minOccurs = 1</w:t>
            </w:r>
          </w:p>
          <w:p w:rsidR="000215C5" w:rsidRDefault="00703023">
            <w:pPr>
              <w:spacing w:after="120"/>
              <w:jc w:val="both"/>
              <w:rPr>
                <w:szCs w:val="24"/>
              </w:rPr>
            </w:pPr>
            <w:r>
              <w:rPr>
                <w:b/>
              </w:rPr>
              <w:t>Vägledning om hur man fyller i mallposten</w:t>
            </w:r>
            <w:r>
              <w:t>: Krävs. Rapportera vilken eller vilka typer av undantag som är tillämpliga på vattenförekomsten och kvalitetsfaktorn. Fler än ett undantag kan vara tillämpliga.</w:t>
            </w:r>
          </w:p>
          <w:p w:rsidR="000215C5" w:rsidRDefault="00703023">
            <w:pPr>
              <w:spacing w:after="120"/>
              <w:jc w:val="both"/>
              <w:rPr>
                <w:szCs w:val="24"/>
              </w:rPr>
            </w:pPr>
            <w:r>
              <w:t>Om surfaceWaterCategory är ”TeW” måste ”No exemption” väljas, som ska tolkas som ”Not applicable”.</w:t>
            </w:r>
          </w:p>
          <w:p w:rsidR="000215C5" w:rsidRDefault="00703023">
            <w:pPr>
              <w:spacing w:after="120"/>
              <w:jc w:val="both"/>
              <w:rPr>
                <w:szCs w:val="24"/>
              </w:rPr>
            </w:pPr>
            <w:r>
              <w:rPr>
                <w:b/>
              </w:rPr>
              <w:t>Kvalitetskontroll</w:t>
            </w:r>
            <w:r>
              <w:t xml:space="preserve">: </w:t>
            </w:r>
          </w:p>
          <w:p w:rsidR="000215C5" w:rsidRDefault="00703023">
            <w:pPr>
              <w:spacing w:after="120"/>
              <w:jc w:val="both"/>
              <w:rPr>
                <w:szCs w:val="24"/>
              </w:rPr>
            </w:pPr>
            <w:r>
              <w:t xml:space="preserve">Intern kontroll: alternativet ”No exemption” går inte att kombinera med andra alternativ. </w:t>
            </w:r>
          </w:p>
          <w:p w:rsidR="000215C5" w:rsidRDefault="00703023">
            <w:pPr>
              <w:spacing w:after="120"/>
              <w:jc w:val="both"/>
              <w:rPr>
                <w:b/>
                <w:szCs w:val="24"/>
                <w:highlight w:val="green"/>
              </w:rPr>
            </w:pPr>
            <w:r>
              <w:t>Om surfaceWaterCategory är ”TeW” måste ”No exemption” väljas.</w:t>
            </w:r>
          </w:p>
        </w:tc>
      </w:tr>
    </w:tbl>
    <w:p w:rsidR="000215C5" w:rsidRDefault="000215C5">
      <w:pPr>
        <w:jc w:val="both"/>
      </w:pPr>
      <w:bookmarkStart w:id="137" w:name="_Toc375220051"/>
      <w:bookmarkStart w:id="138" w:name="_Ref381368104"/>
      <w:bookmarkStart w:id="139" w:name="_Toc386464216"/>
    </w:p>
    <w:p w:rsidR="000215C5" w:rsidRDefault="00703023">
      <w:pPr>
        <w:pStyle w:val="Rubrik2"/>
        <w:jc w:val="both"/>
      </w:pPr>
      <w:bookmarkStart w:id="140" w:name="_Ref425780962"/>
      <w:bookmarkStart w:id="141" w:name="_Toc425522043"/>
      <w:bookmarkStart w:id="142" w:name="_Toc432666055"/>
      <w:bookmarkStart w:id="143" w:name="_Toc437520251"/>
      <w:r>
        <w:t>Kemisk status hos ytvatten, undantag</w:t>
      </w:r>
      <w:bookmarkEnd w:id="137"/>
      <w:r>
        <w:t xml:space="preserve"> och blandningszoner</w:t>
      </w:r>
      <w:bookmarkEnd w:id="138"/>
      <w:bookmarkEnd w:id="139"/>
      <w:bookmarkEnd w:id="140"/>
      <w:bookmarkEnd w:id="141"/>
      <w:bookmarkEnd w:id="142"/>
      <w:bookmarkEnd w:id="143"/>
    </w:p>
    <w:p w:rsidR="000215C5" w:rsidRDefault="00703023">
      <w:pPr>
        <w:pStyle w:val="Rubrik3"/>
      </w:pPr>
      <w:bookmarkStart w:id="144" w:name="_Toc375220052"/>
      <w:r>
        <w:t>Inledning</w:t>
      </w:r>
    </w:p>
    <w:p w:rsidR="000215C5" w:rsidRDefault="00703023">
      <w:pPr>
        <w:pStyle w:val="Text4"/>
        <w:tabs>
          <w:tab w:val="clear" w:pos="2302"/>
        </w:tabs>
        <w:ind w:left="0"/>
        <w:jc w:val="both"/>
      </w:pPr>
      <w:r>
        <w:t>God kemisk ytvattenstatus: den kemiska status som krävs för att uppfylla miljömålen för ytvatten enligt artikel 4.1 a, det vill säga den kemiska status som uppnås hos en ytvattenförekomst i vilken koncentrationerna av förorenande ämnen inte överskrider de miljökvalitetsnormer som fastställs i bilaga IX och enligt artikel 16.7 och enligt annan relevant gemenskapslagstiftning, där miljökvalitetsnormer på gemenskapsnivå fastställs. Det är viktigt att tänka på att territorialvatten enligt artikel 2.1 i vattendirektivet ingår i bedömningen och rapporteringen av kemisk status.</w:t>
      </w:r>
    </w:p>
    <w:p w:rsidR="000215C5" w:rsidRDefault="00703023">
      <w:pPr>
        <w:pStyle w:val="Text4"/>
        <w:tabs>
          <w:tab w:val="clear" w:pos="2302"/>
        </w:tabs>
        <w:ind w:left="0"/>
        <w:jc w:val="both"/>
      </w:pPr>
      <w:r>
        <w:t>Europaparlamentets och rådets beslut nr 2455/2001/EG</w:t>
      </w:r>
      <w:r>
        <w:rPr>
          <w:rStyle w:val="Fotnotsreferens"/>
        </w:rPr>
        <w:footnoteReference w:id="29"/>
      </w:r>
      <w:r>
        <w:t xml:space="preserve"> av den 20 november 2001 om upprättande av en förteckning över prioriterade ämnen på vattenpolitikens område. I beslutet angavs de ämnen för vilka miljökvalitetsnormer skulle fastställas på gemenskapsnivå. Beslutet genomfördes genom direktiv 2008/105/EG</w:t>
      </w:r>
      <w:r>
        <w:rPr>
          <w:rStyle w:val="Fotnotsreferens"/>
        </w:rPr>
        <w:footnoteReference w:id="30"/>
      </w:r>
      <w:r>
        <w:t xml:space="preserve"> (direktivet om miljökvalitetsnormer, MKN-direktivet). Åtta andra förorenande ämnen som reglerades genom direktiv 76/464/EEG</w:t>
      </w:r>
      <w:r>
        <w:rPr>
          <w:rStyle w:val="Fotnotsreferens"/>
        </w:rPr>
        <w:footnoteReference w:id="31"/>
      </w:r>
      <w:r>
        <w:t xml:space="preserve"> togs också med i bedömningen av kemisk status.</w:t>
      </w:r>
    </w:p>
    <w:p w:rsidR="000215C5" w:rsidRDefault="00703023">
      <w:pPr>
        <w:pStyle w:val="Text4"/>
        <w:tabs>
          <w:tab w:val="clear" w:pos="2302"/>
        </w:tabs>
        <w:ind w:left="0"/>
        <w:jc w:val="both"/>
      </w:pPr>
      <w:r>
        <w:t>Direktivet om miljökvalitetsnormer föreskriver ett antal andra skyldigheter för prioriterade ämnen, särskilt övervakning av tendenser hos sediment eller biota (artikel 3.3 i direktivet) och upprättande av ett register över utsläpp och spill (artikel 5 i direktivet, se även avsnitt 9.2).</w:t>
      </w:r>
    </w:p>
    <w:p w:rsidR="000215C5" w:rsidRDefault="00703023">
      <w:pPr>
        <w:pStyle w:val="Text4"/>
        <w:tabs>
          <w:tab w:val="clear" w:pos="2302"/>
        </w:tabs>
        <w:ind w:left="0"/>
        <w:jc w:val="both"/>
      </w:pPr>
      <w:r>
        <w:t>I direktiv 2009/90/EG</w:t>
      </w:r>
      <w:r>
        <w:rPr>
          <w:rStyle w:val="Fotnotsreferens"/>
        </w:rPr>
        <w:footnoteReference w:id="32"/>
      </w:r>
      <w:r>
        <w:t>, som handlar om kvaliteten och jämförbarheten för kemisk övervakning, fastställs minimikrav för att säkerställa de analytiska resultatens kvalitet. Tidsfristen för införlivandet av direktiv 2009/90/EG i de nationella lagstiftningarna var den 21 augusti 2009, precis före antagandet av de första förvaltningsplanerna.</w:t>
      </w:r>
    </w:p>
    <w:p w:rsidR="000215C5" w:rsidRDefault="00703023">
      <w:pPr>
        <w:pStyle w:val="Text4"/>
        <w:tabs>
          <w:tab w:val="clear" w:pos="2302"/>
        </w:tabs>
        <w:ind w:left="0"/>
        <w:jc w:val="both"/>
      </w:pPr>
      <w:r>
        <w:t>Direktiv 2013/39/EU</w:t>
      </w:r>
      <w:r>
        <w:rPr>
          <w:rStyle w:val="Fotnotsreferens"/>
        </w:rPr>
        <w:footnoteReference w:id="33"/>
      </w:r>
      <w:r>
        <w:t xml:space="preserve"> om ändring av vattendirektivet och direktivet om miljökvalitetsnormer vad gäller prioriterade ämnen antogs den 12 augusti 2013. De reviderade miljökvalitetsnormerna för befintliga prioriterade ämnen ska beaktas för första gången i förvaltningsplanerna för perioden 2015–2021. De nyligen identifierade prioriterade ämnena med tillhörande miljökvalitetsnormer bör beaktas vid inrättandet av kompletterande övervakningsprogram och i preliminära åtgärdsprogram som ska rapporteras av medlemsstaterna senast vid slutet av 2018.</w:t>
      </w:r>
    </w:p>
    <w:p w:rsidR="000215C5" w:rsidRDefault="00703023">
      <w:pPr>
        <w:pStyle w:val="Text4"/>
        <w:tabs>
          <w:tab w:val="clear" w:pos="2302"/>
        </w:tabs>
        <w:ind w:left="0"/>
        <w:jc w:val="both"/>
      </w:pPr>
      <w:r>
        <w:t>Med målet att uppnå god kemisk status för ytvatten ska de reviderade miljökvalitetsnormerna för befintliga prioriterade ämnen uppnås till årsslutet 2021 och miljökvalitetsnormerna för nyligen fastställda prioriterade ämnen till årsslutet 2027. Detta gäller utan förbehåll för artikel 4.4–4.9 i vattendirektivet, som bland annat innehåller bestämmelser om förlängningar av tidsfristen för att uppnå god kemisk status för ytvatten eller att uppnå mindre stränga miljömål för särskilda vattenförekomster på grund av oproportionerliga kostnader och/eller socioekonomiska behov, under förutsättning att ingen fortsatt försämring av den påverkade vattenförekomstens status inträffar.</w:t>
      </w:r>
    </w:p>
    <w:p w:rsidR="000215C5" w:rsidRDefault="00703023">
      <w:pPr>
        <w:jc w:val="both"/>
      </w:pPr>
      <w:bookmarkStart w:id="145" w:name="OLE_LINK5"/>
      <w:bookmarkStart w:id="146" w:name="OLE_LINK6"/>
      <w:r>
        <w:t>Bestämningen av kemisk ytvattenstatus vid utgången av tidsfristen som i artikel 4 i vattendirektivet fastställs till 2015 bör därför enbart baseras på de ämnen och miljökvalitetsnormer som fastställs i MKN-direktivet i dess lydelse av den 13 januari 2009 om inte dessa miljökvalitetsnormer är strängare än de reviderade miljökvalitetsnormerna enligt direktiv 2013/39/EU. Om så är fallet ska de reviderade (mindre stränga) miljökvalitetsnormerna tillämpas.</w:t>
      </w:r>
      <w:r>
        <w:rPr>
          <w:rStyle w:val="Fotnotsreferens"/>
        </w:rPr>
        <w:footnoteReference w:id="34"/>
      </w:r>
    </w:p>
    <w:p w:rsidR="000215C5" w:rsidRDefault="00703023">
      <w:pPr>
        <w:jc w:val="both"/>
      </w:pPr>
      <w:r>
        <w:t>Enligt direktiv 2013/39/EU ska medlemsstaterna dock uppnå god kemisk status senast 2021 när det gäller befintliga ämnen med antagna strängare normer. Detta innebär att en bedömning på grundval av de nya miljökvalitetsnormerna ska ingå i de förvaltningsplaner som ska antas 2015. Vid behov ska även åtgärder ingå i det åtgärdsprogram som ska inledas senast 2018.</w:t>
      </w:r>
    </w:p>
    <w:bookmarkEnd w:id="145"/>
    <w:bookmarkEnd w:id="146"/>
    <w:p w:rsidR="000215C5" w:rsidRDefault="00703023">
      <w:pPr>
        <w:pStyle w:val="Text4"/>
        <w:tabs>
          <w:tab w:val="clear" w:pos="2302"/>
        </w:tabs>
        <w:ind w:left="0"/>
        <w:jc w:val="both"/>
      </w:pPr>
      <w:r>
        <w:t>När det gäller redovisning av kemisk status för att uppdatera de åtgärdsprogram och förvaltningsplaner som ska genomföras i enlighet med artiklarna 11.8 respektive 13.7 i vattendirektivet, bör medlemsstaterna enligt direktiv 2013/39/EU kunna ha separat redovisning för inverkan på kemisk status av nyligen fastställda prioriterade ämnen och befintliga prioriterade ämnen med de reviderade miljökvalitetsnormerna. Syftet med detta är att undvika att de nya kraven felaktigt tolkas som att ytvattnens kemiska status har försämrats. Förutom den obligatoriska kartan som täcker alla ämnen kan kompletterande kartor lämnas för nyligen fastställda ämnen, befintliga ämnen med reviderade miljökvalitetsnormer, ämnen som uppträder som allmänt förekommande PBT-ämnen och alla andra ämnen.</w:t>
      </w:r>
    </w:p>
    <w:p w:rsidR="000215C5" w:rsidRDefault="00703023">
      <w:pPr>
        <w:pStyle w:val="Text4"/>
        <w:ind w:left="0"/>
        <w:jc w:val="both"/>
      </w:pPr>
      <w:r>
        <w:t>Enligt MKN-direktivet får medlemsstaterna dessutom utse b</w:t>
      </w:r>
      <w:r w:rsidR="00661070">
        <w:t>landningszoner (artikel 4 i MKN</w:t>
      </w:r>
      <w:r w:rsidR="00661070">
        <w:noBreakHyphen/>
      </w:r>
      <w:r>
        <w:t>direktivet). Detta är kopplat till det så kallade kombinerade tillvägagångssättet (artikel 10 i vattendirektivet). Systemen för kontroll av flytande utsläpp är normalt utformade för att se till att koncentrationer av prioriterade ämnen och andra förorenande ämnen i det mottagande vattnet inte överskrider miljökvalitetsnormerna. Om koncentrationen av dessa ämnen i det flytande utsläppet är högre än miljökvalitetsnormens värde vid utsläppspunkten uppstår dock ett område där miljökvalitetsnormen överskrids i närheten av utsläppspunkten. Enligt artikel 4 i MKN-direktivet får medlemsstaterna tillåta att värdena överskrids i sådana vattenförekomster om ett antal kriterier är uppfyllda:</w:t>
      </w:r>
    </w:p>
    <w:p w:rsidR="000215C5" w:rsidRDefault="00703023">
      <w:pPr>
        <w:pStyle w:val="Text4"/>
        <w:numPr>
          <w:ilvl w:val="0"/>
          <w:numId w:val="77"/>
        </w:numPr>
        <w:jc w:val="both"/>
      </w:pPr>
      <w:r>
        <w:t>Blandningszoner får utses i närheten av utsläppspunkter inom vilka koncentrationer av ett eller flera ämnen förtecknade i del A i bilaga I till MKN-direktivet får överskrida gällande miljökvalitetsnormer om detta inte hindrar att dessa normer uppfylls i övriga delar av ytvattenförekomsten.</w:t>
      </w:r>
    </w:p>
    <w:p w:rsidR="000215C5" w:rsidRDefault="00703023">
      <w:pPr>
        <w:pStyle w:val="Text4"/>
        <w:numPr>
          <w:ilvl w:val="0"/>
          <w:numId w:val="77"/>
        </w:numPr>
        <w:jc w:val="both"/>
      </w:pPr>
      <w:r>
        <w:t>Blandningszonernas omfattning bör vara begränsad till området i närheten av utsläppspunkten och bör vara proportionell.</w:t>
      </w:r>
    </w:p>
    <w:p w:rsidR="000215C5" w:rsidRDefault="00703023">
      <w:pPr>
        <w:pStyle w:val="Text4"/>
        <w:numPr>
          <w:ilvl w:val="0"/>
          <w:numId w:val="77"/>
        </w:numPr>
        <w:jc w:val="both"/>
      </w:pPr>
      <w:r>
        <w:t xml:space="preserve">Viss information bör lämnas i förvaltningsplanerna (t.ex. om tillvägagångssätt och metoder som använts för att fastställa blandningszoner samt åtgärder för att minska blandningszonernas omfattning i framtiden) (se även avsnitt </w:t>
      </w:r>
      <w:r>
        <w:fldChar w:fldCharType="begin"/>
      </w:r>
      <w:r>
        <w:instrText xml:space="preserve"> REF _Ref381351576 \r \h  \* MERGEFORMAT </w:instrText>
      </w:r>
      <w:r>
        <w:fldChar w:fldCharType="separate"/>
      </w:r>
      <w:r>
        <w:t>7.4</w:t>
      </w:r>
      <w:r>
        <w:fldChar w:fldCharType="end"/>
      </w:r>
      <w:r>
        <w:t>).</w:t>
      </w:r>
    </w:p>
    <w:bookmarkEnd w:id="144"/>
    <w:p w:rsidR="000215C5" w:rsidRDefault="00703023">
      <w:pPr>
        <w:pStyle w:val="Rubrik3"/>
      </w:pPr>
      <w:r>
        <w:t>Hur kommer kommissionen och Europeiska miljöbyrån att använda den rapporterade informationen?</w:t>
      </w:r>
    </w:p>
    <w:p w:rsidR="000215C5" w:rsidRDefault="00703023">
      <w:pPr>
        <w:pStyle w:val="Brdtextmedindrag"/>
        <w:ind w:left="0"/>
        <w:jc w:val="both"/>
      </w:pPr>
      <w:r>
        <w:t>Den information som rapporteras av medlemsstaterna kommer att användas för att fastställa nyckelindikatorn för procentandelen vattenförekomster med god kemisk status i avrinningsdistriktet eller delavrinningsdistriktet. Merparten av den rapporterade informationen kommer också att användas för visualiseringsändamål och för information till allmänheten via Wise. Uppgifterna och kartorna kommer dessutom att användas för att jämföra nuvarande status med den grundstatus som rapporterades i den första förvaltningsplanen för att besvara frågan om huruvida vattenkvaliteten har förbättrats sedan åtgärdsprogrammet enligt vattendirektivet inleddes. De uppgifter och kartor som ska lämnas är således mycket viktiga eftersom de ligger till grund för trendanalyser, utformning av politik och för bedömningen av hur effektiva de politiska åtgärderna är.</w:t>
      </w:r>
    </w:p>
    <w:p w:rsidR="000215C5" w:rsidRDefault="00703023">
      <w:pPr>
        <w:pStyle w:val="Text4"/>
        <w:tabs>
          <w:tab w:val="clear" w:pos="2302"/>
        </w:tabs>
        <w:ind w:left="0"/>
        <w:jc w:val="both"/>
      </w:pPr>
      <w:r>
        <w:t>På EU-nivå kommer statistik och information att lämnas till Europaparlamentet. Allmänheten kommer att få tillgång till informationen via Wise.</w:t>
      </w:r>
    </w:p>
    <w:p w:rsidR="000215C5" w:rsidRDefault="00703023">
      <w:pPr>
        <w:pStyle w:val="Text4"/>
        <w:tabs>
          <w:tab w:val="clear" w:pos="2302"/>
        </w:tabs>
        <w:ind w:left="0"/>
        <w:jc w:val="both"/>
      </w:pPr>
      <w:r>
        <w:t>Kommissionen måste också fastställa om blandningszoner har utsetts och vilka tillvägagångssätt som har använts (se avsnitt 7.3).</w:t>
      </w:r>
    </w:p>
    <w:p w:rsidR="000215C5" w:rsidRDefault="00703023">
      <w:pPr>
        <w:pStyle w:val="Rubrik4"/>
      </w:pPr>
      <w:r>
        <w:t>Produkter från rapporteringen</w:t>
      </w:r>
    </w:p>
    <w:p w:rsidR="000215C5" w:rsidRDefault="00703023">
      <w:pPr>
        <w:jc w:val="both"/>
      </w:pPr>
      <w:bookmarkStart w:id="147" w:name="_Toc375220053"/>
      <w:r>
        <w:t>Obs: För alla relevanta produkter kommer information om ytvattenförekomster att presenteras per antal vattenförekomster, per storlek (längd eller yta) samt i procent.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1037"/>
        <w:gridCol w:w="1260"/>
        <w:gridCol w:w="1956"/>
        <w:gridCol w:w="1914"/>
        <w:gridCol w:w="1771"/>
      </w:tblGrid>
      <w:tr w:rsidR="000215C5" w:rsidTr="00BB474C">
        <w:trPr>
          <w:cantSplit/>
          <w:tblHeader/>
        </w:trPr>
        <w:tc>
          <w:tcPr>
            <w:tcW w:w="455" w:type="dxa"/>
            <w:shd w:val="clear" w:color="auto" w:fill="auto"/>
          </w:tcPr>
          <w:p w:rsidR="000215C5" w:rsidRDefault="00703023">
            <w:pPr>
              <w:spacing w:after="0"/>
              <w:jc w:val="both"/>
              <w:rPr>
                <w:b/>
                <w:sz w:val="18"/>
                <w:szCs w:val="18"/>
              </w:rPr>
            </w:pPr>
            <w:r>
              <w:rPr>
                <w:b/>
                <w:sz w:val="18"/>
              </w:rPr>
              <w:t>Nb</w:t>
            </w:r>
          </w:p>
        </w:tc>
        <w:tc>
          <w:tcPr>
            <w:tcW w:w="1496" w:type="dxa"/>
            <w:shd w:val="clear" w:color="auto" w:fill="auto"/>
          </w:tcPr>
          <w:p w:rsidR="000215C5" w:rsidRDefault="00703023">
            <w:pPr>
              <w:spacing w:after="0"/>
              <w:jc w:val="both"/>
              <w:rPr>
                <w:b/>
                <w:sz w:val="18"/>
                <w:szCs w:val="18"/>
              </w:rPr>
            </w:pPr>
            <w:r>
              <w:rPr>
                <w:b/>
                <w:sz w:val="18"/>
              </w:rPr>
              <w:t>Produktens namn</w:t>
            </w:r>
          </w:p>
        </w:tc>
        <w:tc>
          <w:tcPr>
            <w:tcW w:w="1037" w:type="dxa"/>
            <w:shd w:val="clear" w:color="auto" w:fill="auto"/>
          </w:tcPr>
          <w:p w:rsidR="000215C5" w:rsidRDefault="00703023">
            <w:pPr>
              <w:spacing w:after="0"/>
              <w:jc w:val="both"/>
              <w:rPr>
                <w:b/>
                <w:sz w:val="18"/>
                <w:szCs w:val="18"/>
              </w:rPr>
            </w:pPr>
            <w:r>
              <w:rPr>
                <w:b/>
                <w:sz w:val="18"/>
              </w:rPr>
              <w:t>Produkttyp</w:t>
            </w:r>
          </w:p>
        </w:tc>
        <w:tc>
          <w:tcPr>
            <w:tcW w:w="1260" w:type="dxa"/>
            <w:shd w:val="clear" w:color="auto" w:fill="auto"/>
          </w:tcPr>
          <w:p w:rsidR="000215C5" w:rsidRDefault="00703023">
            <w:pPr>
              <w:spacing w:after="0"/>
              <w:jc w:val="both"/>
              <w:rPr>
                <w:b/>
                <w:sz w:val="18"/>
                <w:szCs w:val="18"/>
              </w:rPr>
            </w:pPr>
            <w:r>
              <w:rPr>
                <w:b/>
                <w:sz w:val="18"/>
              </w:rPr>
              <w:t>Informations</w:t>
            </w:r>
            <w:r w:rsidR="00BB474C">
              <w:rPr>
                <w:b/>
                <w:sz w:val="18"/>
              </w:rPr>
              <w:t>-</w:t>
            </w:r>
            <w:r>
              <w:rPr>
                <w:b/>
                <w:sz w:val="18"/>
              </w:rPr>
              <w:t>nivå*</w:t>
            </w:r>
          </w:p>
        </w:tc>
        <w:tc>
          <w:tcPr>
            <w:tcW w:w="1956" w:type="dxa"/>
            <w:shd w:val="clear" w:color="auto" w:fill="auto"/>
          </w:tcPr>
          <w:p w:rsidR="000215C5" w:rsidRDefault="00703023">
            <w:pPr>
              <w:spacing w:after="0"/>
              <w:jc w:val="both"/>
              <w:rPr>
                <w:b/>
                <w:sz w:val="18"/>
                <w:szCs w:val="18"/>
              </w:rPr>
            </w:pPr>
            <w:r>
              <w:rPr>
                <w:b/>
                <w:sz w:val="18"/>
              </w:rPr>
              <w:t>Detaljerad information visas</w:t>
            </w:r>
          </w:p>
        </w:tc>
        <w:tc>
          <w:tcPr>
            <w:tcW w:w="1914"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771"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1</w:t>
            </w:r>
          </w:p>
        </w:tc>
        <w:tc>
          <w:tcPr>
            <w:tcW w:w="1496" w:type="dxa"/>
            <w:shd w:val="clear" w:color="auto" w:fill="auto"/>
          </w:tcPr>
          <w:p w:rsidR="000215C5" w:rsidRDefault="00703023">
            <w:pPr>
              <w:spacing w:after="0"/>
              <w:jc w:val="both"/>
              <w:rPr>
                <w:b/>
                <w:sz w:val="18"/>
                <w:szCs w:val="18"/>
              </w:rPr>
            </w:pPr>
            <w:r>
              <w:rPr>
                <w:b/>
                <w:sz w:val="18"/>
              </w:rPr>
              <w:t>Prioriterade ämnen som leder till att ytvatten</w:t>
            </w:r>
            <w:r w:rsidR="00DC4BEA">
              <w:rPr>
                <w:b/>
                <w:sz w:val="18"/>
              </w:rPr>
              <w:t>-</w:t>
            </w:r>
            <w:r>
              <w:rPr>
                <w:b/>
                <w:sz w:val="18"/>
              </w:rPr>
              <w:t>förekomster inte uppnår god kemisk status</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Antal ytvattenförekomster i vilka varje prioriterat ämne leder till att god kemisk status inte uppnås.</w:t>
            </w:r>
          </w:p>
        </w:tc>
        <w:tc>
          <w:tcPr>
            <w:tcW w:w="1914" w:type="dxa"/>
            <w:shd w:val="clear" w:color="auto" w:fill="auto"/>
          </w:tcPr>
          <w:p w:rsidR="000215C5" w:rsidRDefault="00703023">
            <w:pPr>
              <w:spacing w:after="0"/>
              <w:jc w:val="both"/>
              <w:rPr>
                <w:sz w:val="18"/>
                <w:szCs w:val="18"/>
              </w:rPr>
            </w:pPr>
            <w:r>
              <w:rPr>
                <w:sz w:val="18"/>
              </w:rPr>
              <w:t>Aggregering av information som rapporteras på vattenförekomstnivå.</w:t>
            </w:r>
          </w:p>
        </w:tc>
        <w:tc>
          <w:tcPr>
            <w:tcW w:w="1771" w:type="dxa"/>
            <w:shd w:val="clear" w:color="auto" w:fill="auto"/>
          </w:tcPr>
          <w:p w:rsidR="000215C5" w:rsidRDefault="00703023">
            <w:pPr>
              <w:spacing w:after="0"/>
              <w:jc w:val="both"/>
              <w:rPr>
                <w:sz w:val="18"/>
                <w:szCs w:val="18"/>
              </w:rPr>
            </w:pPr>
            <w:r>
              <w:rPr>
                <w:sz w:val="18"/>
              </w:rPr>
              <w:t>Ej möjligt (rapportering av individuella prioriterade ämnen var valfri).</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2</w:t>
            </w:r>
          </w:p>
        </w:tc>
        <w:tc>
          <w:tcPr>
            <w:tcW w:w="1496" w:type="dxa"/>
            <w:shd w:val="clear" w:color="auto" w:fill="auto"/>
          </w:tcPr>
          <w:p w:rsidR="000215C5" w:rsidRDefault="00703023">
            <w:pPr>
              <w:spacing w:after="0"/>
              <w:jc w:val="both"/>
              <w:rPr>
                <w:b/>
                <w:sz w:val="18"/>
                <w:szCs w:val="18"/>
              </w:rPr>
            </w:pPr>
            <w:r>
              <w:rPr>
                <w:b/>
                <w:sz w:val="18"/>
              </w:rPr>
              <w:t>Procentandel ytvatten</w:t>
            </w:r>
            <w:r w:rsidR="00DC4BEA">
              <w:rPr>
                <w:b/>
                <w:sz w:val="18"/>
              </w:rPr>
              <w:t>-</w:t>
            </w:r>
            <w:r>
              <w:rPr>
                <w:b/>
                <w:sz w:val="18"/>
              </w:rPr>
              <w:t>förekomster som inte uppnår god kemisk status</w:t>
            </w:r>
          </w:p>
        </w:tc>
        <w:tc>
          <w:tcPr>
            <w:tcW w:w="1037" w:type="dxa"/>
            <w:shd w:val="clear" w:color="auto" w:fill="auto"/>
          </w:tcPr>
          <w:p w:rsidR="000215C5" w:rsidRDefault="00703023">
            <w:pPr>
              <w:spacing w:after="0"/>
              <w:jc w:val="both"/>
              <w:rPr>
                <w:sz w:val="18"/>
                <w:szCs w:val="18"/>
              </w:rPr>
            </w:pPr>
            <w:r>
              <w:rPr>
                <w:sz w:val="18"/>
              </w:rPr>
              <w:t>Karta/</w:t>
            </w:r>
          </w:p>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Procentandel ytvattenförekomster som inte uppnår god kemisk status, per kategori.</w:t>
            </w:r>
          </w:p>
        </w:tc>
        <w:tc>
          <w:tcPr>
            <w:tcW w:w="1914" w:type="dxa"/>
            <w:shd w:val="clear" w:color="auto" w:fill="auto"/>
          </w:tcPr>
          <w:p w:rsidR="000215C5" w:rsidRDefault="00703023">
            <w:pPr>
              <w:spacing w:after="0"/>
              <w:jc w:val="both"/>
              <w:rPr>
                <w:sz w:val="18"/>
                <w:szCs w:val="18"/>
              </w:rPr>
            </w:pPr>
            <w:r>
              <w:rPr>
                <w:sz w:val="18"/>
              </w:rPr>
              <w:t>Aggregering av information som rapporteras på vattenförekomstnivå.</w:t>
            </w:r>
          </w:p>
        </w:tc>
        <w:tc>
          <w:tcPr>
            <w:tcW w:w="1771" w:type="dxa"/>
            <w:shd w:val="clear" w:color="auto" w:fill="auto"/>
          </w:tcPr>
          <w:p w:rsidR="000215C5" w:rsidRDefault="00703023">
            <w:pPr>
              <w:spacing w:after="0"/>
              <w:jc w:val="both"/>
              <w:rPr>
                <w:sz w:val="18"/>
                <w:szCs w:val="18"/>
              </w:rPr>
            </w:pPr>
            <w:r>
              <w:rPr>
                <w:sz w:val="18"/>
              </w:rPr>
              <w:t xml:space="preserve">Ej möjligt att ge en fullständig bild p.g.a. att en stor procentandel av vattenförekomsterna hade okänd status. </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3</w:t>
            </w:r>
          </w:p>
        </w:tc>
        <w:tc>
          <w:tcPr>
            <w:tcW w:w="1496" w:type="dxa"/>
            <w:shd w:val="clear" w:color="auto" w:fill="auto"/>
          </w:tcPr>
          <w:p w:rsidR="000215C5" w:rsidRDefault="00703023">
            <w:pPr>
              <w:spacing w:after="0"/>
              <w:jc w:val="both"/>
              <w:rPr>
                <w:b/>
                <w:sz w:val="18"/>
                <w:szCs w:val="18"/>
              </w:rPr>
            </w:pPr>
            <w:r>
              <w:rPr>
                <w:b/>
                <w:sz w:val="18"/>
              </w:rPr>
              <w:t>Procentandel floder, sjöar, grundvatten, vatten i övergångszoner och kustvatten med god, otillfredsställande och okänd kemisk status</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w:t>
            </w:r>
          </w:p>
        </w:tc>
        <w:tc>
          <w:tcPr>
            <w:tcW w:w="1956" w:type="dxa"/>
            <w:shd w:val="clear" w:color="auto" w:fill="auto"/>
          </w:tcPr>
          <w:p w:rsidR="000215C5" w:rsidRDefault="00703023">
            <w:pPr>
              <w:spacing w:after="0"/>
              <w:jc w:val="both"/>
              <w:rPr>
                <w:sz w:val="18"/>
                <w:szCs w:val="18"/>
              </w:rPr>
            </w:pPr>
            <w:r>
              <w:rPr>
                <w:sz w:val="18"/>
              </w:rPr>
              <w:t>Procentandel ytvattenförekomster per klass av kemisk status, per kategori.</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shd w:val="clear" w:color="auto" w:fill="auto"/>
          </w:tcPr>
          <w:p w:rsidR="000215C5" w:rsidRDefault="00703023">
            <w:pPr>
              <w:spacing w:after="0"/>
              <w:jc w:val="both"/>
              <w:rPr>
                <w:sz w:val="18"/>
                <w:szCs w:val="18"/>
              </w:rPr>
            </w:pPr>
            <w:r>
              <w:rPr>
                <w:sz w:val="18"/>
              </w:rPr>
              <w:t>Ja</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4</w:t>
            </w:r>
          </w:p>
        </w:tc>
        <w:tc>
          <w:tcPr>
            <w:tcW w:w="1496" w:type="dxa"/>
            <w:shd w:val="clear" w:color="auto" w:fill="auto"/>
          </w:tcPr>
          <w:p w:rsidR="000215C5" w:rsidRDefault="00703023">
            <w:pPr>
              <w:spacing w:after="0"/>
              <w:jc w:val="both"/>
              <w:rPr>
                <w:b/>
                <w:sz w:val="18"/>
                <w:szCs w:val="18"/>
              </w:rPr>
            </w:pPr>
            <w:r>
              <w:rPr>
                <w:b/>
                <w:sz w:val="18"/>
              </w:rPr>
              <w:t>Kemisk status för floder och sjöar</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Procentandel floder och sjöar med otillfredsställande respektive god kemisk status.</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771" w:type="dxa"/>
            <w:shd w:val="clear" w:color="auto" w:fill="auto"/>
          </w:tcPr>
          <w:p w:rsidR="000215C5" w:rsidRDefault="00703023">
            <w:pPr>
              <w:spacing w:after="0"/>
              <w:jc w:val="both"/>
              <w:rPr>
                <w:sz w:val="18"/>
                <w:szCs w:val="18"/>
              </w:rPr>
            </w:pPr>
            <w:r>
              <w:rPr>
                <w:sz w:val="18"/>
              </w:rPr>
              <w:t>Ja</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5</w:t>
            </w:r>
          </w:p>
        </w:tc>
        <w:tc>
          <w:tcPr>
            <w:tcW w:w="1496" w:type="dxa"/>
            <w:shd w:val="clear" w:color="auto" w:fill="auto"/>
          </w:tcPr>
          <w:p w:rsidR="000215C5" w:rsidRDefault="00703023">
            <w:pPr>
              <w:spacing w:after="0"/>
              <w:jc w:val="both"/>
              <w:rPr>
                <w:b/>
                <w:sz w:val="18"/>
                <w:szCs w:val="18"/>
              </w:rPr>
            </w:pPr>
            <w:r>
              <w:rPr>
                <w:b/>
                <w:sz w:val="18"/>
              </w:rPr>
              <w:t>Kemisk status för floder och sjöar</w:t>
            </w:r>
          </w:p>
        </w:tc>
        <w:tc>
          <w:tcPr>
            <w:tcW w:w="1037" w:type="dxa"/>
            <w:shd w:val="clear" w:color="auto" w:fill="auto"/>
          </w:tcPr>
          <w:p w:rsidR="000215C5" w:rsidRDefault="00703023">
            <w:pPr>
              <w:spacing w:after="0"/>
              <w:jc w:val="both"/>
              <w:rPr>
                <w:sz w:val="18"/>
                <w:szCs w:val="18"/>
              </w:rPr>
            </w:pPr>
            <w:r>
              <w:rPr>
                <w:sz w:val="18"/>
              </w:rPr>
              <w:t>Karta</w:t>
            </w:r>
          </w:p>
        </w:tc>
        <w:tc>
          <w:tcPr>
            <w:tcW w:w="1260" w:type="dxa"/>
            <w:shd w:val="clear" w:color="auto" w:fill="auto"/>
          </w:tcPr>
          <w:p w:rsidR="000215C5" w:rsidRDefault="00703023">
            <w:pPr>
              <w:spacing w:after="0"/>
              <w:jc w:val="both"/>
              <w:rPr>
                <w:sz w:val="18"/>
                <w:szCs w:val="18"/>
              </w:rPr>
            </w:pPr>
            <w:r>
              <w:rPr>
                <w:sz w:val="18"/>
              </w:rPr>
              <w:t>RBD</w:t>
            </w:r>
          </w:p>
        </w:tc>
        <w:tc>
          <w:tcPr>
            <w:tcW w:w="1956" w:type="dxa"/>
            <w:shd w:val="clear" w:color="auto" w:fill="auto"/>
          </w:tcPr>
          <w:p w:rsidR="000215C5" w:rsidRDefault="00703023">
            <w:pPr>
              <w:spacing w:after="0"/>
              <w:jc w:val="both"/>
              <w:rPr>
                <w:sz w:val="18"/>
                <w:szCs w:val="18"/>
              </w:rPr>
            </w:pPr>
            <w:r>
              <w:rPr>
                <w:sz w:val="18"/>
              </w:rPr>
              <w:t>Procentandel floder och sjöar som inte uppnår god kemisk status.</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771" w:type="dxa"/>
            <w:shd w:val="clear" w:color="auto" w:fill="auto"/>
          </w:tcPr>
          <w:p w:rsidR="000215C5" w:rsidRDefault="00703023">
            <w:pPr>
              <w:spacing w:after="0"/>
              <w:jc w:val="both"/>
              <w:rPr>
                <w:sz w:val="18"/>
                <w:szCs w:val="18"/>
              </w:rPr>
            </w:pPr>
            <w:r>
              <w:rPr>
                <w:sz w:val="18"/>
              </w:rPr>
              <w:t>Ja</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6</w:t>
            </w:r>
          </w:p>
        </w:tc>
        <w:tc>
          <w:tcPr>
            <w:tcW w:w="1496" w:type="dxa"/>
            <w:shd w:val="clear" w:color="auto" w:fill="auto"/>
          </w:tcPr>
          <w:p w:rsidR="000215C5" w:rsidRDefault="00703023">
            <w:pPr>
              <w:spacing w:after="0"/>
              <w:jc w:val="both"/>
              <w:rPr>
                <w:b/>
                <w:sz w:val="18"/>
                <w:szCs w:val="18"/>
              </w:rPr>
            </w:pPr>
            <w:r>
              <w:rPr>
                <w:b/>
                <w:sz w:val="18"/>
              </w:rPr>
              <w:t>Kemisk status hos vatten i övergångszoner och kustvatten</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Procentandel vatten i övergångszoner och kustvatten med otillfredsställande respektive god kemisk status.</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771" w:type="dxa"/>
            <w:shd w:val="clear" w:color="auto" w:fill="auto"/>
          </w:tcPr>
          <w:p w:rsidR="000215C5" w:rsidRDefault="00703023">
            <w:pPr>
              <w:spacing w:after="0"/>
              <w:jc w:val="both"/>
              <w:rPr>
                <w:sz w:val="18"/>
                <w:szCs w:val="18"/>
              </w:rPr>
            </w:pPr>
            <w:r>
              <w:rPr>
                <w:sz w:val="18"/>
              </w:rPr>
              <w:t>Ja</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7</w:t>
            </w:r>
          </w:p>
        </w:tc>
        <w:tc>
          <w:tcPr>
            <w:tcW w:w="1496" w:type="dxa"/>
            <w:shd w:val="clear" w:color="auto" w:fill="auto"/>
          </w:tcPr>
          <w:p w:rsidR="000215C5" w:rsidRDefault="00703023">
            <w:pPr>
              <w:spacing w:after="0"/>
              <w:jc w:val="both"/>
              <w:rPr>
                <w:b/>
                <w:sz w:val="18"/>
                <w:szCs w:val="18"/>
              </w:rPr>
            </w:pPr>
            <w:r>
              <w:rPr>
                <w:b/>
                <w:sz w:val="18"/>
              </w:rPr>
              <w:t>Kemisk status hos vatten i övergångszoner, kustvatten och territorialvatten</w:t>
            </w:r>
          </w:p>
        </w:tc>
        <w:tc>
          <w:tcPr>
            <w:tcW w:w="1037" w:type="dxa"/>
            <w:shd w:val="clear" w:color="auto" w:fill="auto"/>
          </w:tcPr>
          <w:p w:rsidR="000215C5" w:rsidRDefault="00703023">
            <w:pPr>
              <w:spacing w:after="0"/>
              <w:jc w:val="both"/>
              <w:rPr>
                <w:sz w:val="18"/>
                <w:szCs w:val="18"/>
              </w:rPr>
            </w:pPr>
            <w:r>
              <w:rPr>
                <w:sz w:val="18"/>
              </w:rPr>
              <w:t>Karta</w:t>
            </w:r>
          </w:p>
        </w:tc>
        <w:tc>
          <w:tcPr>
            <w:tcW w:w="1260" w:type="dxa"/>
            <w:shd w:val="clear" w:color="auto" w:fill="auto"/>
          </w:tcPr>
          <w:p w:rsidR="000215C5" w:rsidRDefault="00703023">
            <w:pPr>
              <w:spacing w:after="0"/>
              <w:jc w:val="both"/>
              <w:rPr>
                <w:sz w:val="18"/>
                <w:szCs w:val="18"/>
              </w:rPr>
            </w:pPr>
            <w:r>
              <w:rPr>
                <w:sz w:val="18"/>
              </w:rPr>
              <w:t>RBD</w:t>
            </w:r>
          </w:p>
        </w:tc>
        <w:tc>
          <w:tcPr>
            <w:tcW w:w="1956" w:type="dxa"/>
            <w:shd w:val="clear" w:color="auto" w:fill="auto"/>
          </w:tcPr>
          <w:p w:rsidR="000215C5" w:rsidRDefault="00703023">
            <w:pPr>
              <w:spacing w:after="0"/>
              <w:jc w:val="both"/>
              <w:rPr>
                <w:sz w:val="18"/>
                <w:szCs w:val="18"/>
              </w:rPr>
            </w:pPr>
            <w:r>
              <w:rPr>
                <w:sz w:val="18"/>
              </w:rPr>
              <w:t>Procentandel vattenförekomster i övergångszoner, kustvatten och territorialvattenförekomster som inte uppnår god kemisk status.</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771" w:type="dxa"/>
            <w:shd w:val="clear" w:color="auto" w:fill="auto"/>
          </w:tcPr>
          <w:p w:rsidR="000215C5" w:rsidRDefault="00703023">
            <w:pPr>
              <w:spacing w:after="0"/>
              <w:jc w:val="both"/>
              <w:rPr>
                <w:sz w:val="18"/>
                <w:szCs w:val="18"/>
              </w:rPr>
            </w:pPr>
            <w:r>
              <w:rPr>
                <w:sz w:val="18"/>
              </w:rPr>
              <w:t>Ja</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8</w:t>
            </w:r>
          </w:p>
        </w:tc>
        <w:tc>
          <w:tcPr>
            <w:tcW w:w="1496" w:type="dxa"/>
            <w:shd w:val="clear" w:color="auto" w:fill="auto"/>
          </w:tcPr>
          <w:p w:rsidR="000215C5" w:rsidRDefault="00703023">
            <w:pPr>
              <w:spacing w:after="0"/>
              <w:jc w:val="both"/>
              <w:rPr>
                <w:b/>
                <w:sz w:val="18"/>
                <w:szCs w:val="18"/>
              </w:rPr>
            </w:pPr>
            <w:r>
              <w:rPr>
                <w:b/>
                <w:sz w:val="18"/>
              </w:rPr>
              <w:t>Aggregeringstabeller Ekologisk och kemisk status hos ytvatten</w:t>
            </w:r>
            <w:r w:rsidR="00BB474C">
              <w:rPr>
                <w:b/>
                <w:sz w:val="18"/>
              </w:rPr>
              <w:t>-</w:t>
            </w:r>
            <w:r>
              <w:rPr>
                <w:b/>
                <w:sz w:val="18"/>
              </w:rPr>
              <w:t xml:space="preserve">förekomster </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RBD/SU</w:t>
            </w:r>
          </w:p>
        </w:tc>
        <w:tc>
          <w:tcPr>
            <w:tcW w:w="1956" w:type="dxa"/>
            <w:shd w:val="clear" w:color="auto" w:fill="auto"/>
          </w:tcPr>
          <w:p w:rsidR="000215C5" w:rsidRDefault="00703023">
            <w:pPr>
              <w:spacing w:after="0"/>
              <w:jc w:val="both"/>
              <w:rPr>
                <w:sz w:val="18"/>
                <w:szCs w:val="18"/>
              </w:rPr>
            </w:pPr>
            <w:r>
              <w:rPr>
                <w:sz w:val="18"/>
              </w:rPr>
              <w:t>Antal och storlek (längd/yta) för kemisk status hos vattenförekomster, per kategori.</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shd w:val="clear" w:color="auto" w:fill="auto"/>
          </w:tcPr>
          <w:p w:rsidR="000215C5" w:rsidRDefault="00703023">
            <w:pPr>
              <w:spacing w:after="0"/>
              <w:jc w:val="both"/>
              <w:rPr>
                <w:sz w:val="18"/>
                <w:szCs w:val="18"/>
              </w:rPr>
            </w:pPr>
            <w:r>
              <w:rPr>
                <w:sz w:val="18"/>
              </w:rPr>
              <w:t>Ja</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9</w:t>
            </w:r>
          </w:p>
        </w:tc>
        <w:tc>
          <w:tcPr>
            <w:tcW w:w="1496" w:type="dxa"/>
            <w:shd w:val="clear" w:color="auto" w:fill="auto"/>
          </w:tcPr>
          <w:p w:rsidR="000215C5" w:rsidRDefault="00703023">
            <w:pPr>
              <w:spacing w:after="0"/>
              <w:jc w:val="both"/>
              <w:rPr>
                <w:b/>
                <w:sz w:val="18"/>
                <w:szCs w:val="18"/>
              </w:rPr>
            </w:pPr>
            <w:r>
              <w:rPr>
                <w:b/>
                <w:sz w:val="18"/>
              </w:rPr>
              <w:t>Framsteg mot att uppnå god status sedan de första förvaltnings</w:t>
            </w:r>
            <w:r w:rsidR="00BB474C">
              <w:rPr>
                <w:b/>
                <w:sz w:val="18"/>
              </w:rPr>
              <w:t>-</w:t>
            </w:r>
            <w:r>
              <w:rPr>
                <w:b/>
                <w:sz w:val="18"/>
              </w:rPr>
              <w:t>planerna</w:t>
            </w:r>
          </w:p>
        </w:tc>
        <w:tc>
          <w:tcPr>
            <w:tcW w:w="1037" w:type="dxa"/>
            <w:shd w:val="clear" w:color="auto" w:fill="auto"/>
          </w:tcPr>
          <w:p w:rsidR="000215C5" w:rsidRDefault="00703023">
            <w:pPr>
              <w:spacing w:after="0"/>
              <w:jc w:val="both"/>
              <w:rPr>
                <w:sz w:val="18"/>
                <w:szCs w:val="18"/>
              </w:rPr>
            </w:pPr>
            <w:r>
              <w:rPr>
                <w:sz w:val="18"/>
              </w:rPr>
              <w:t>Karta/diagram/</w:t>
            </w:r>
          </w:p>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RBD/SU</w:t>
            </w:r>
          </w:p>
        </w:tc>
        <w:tc>
          <w:tcPr>
            <w:tcW w:w="1956" w:type="dxa"/>
            <w:shd w:val="clear" w:color="auto" w:fill="auto"/>
          </w:tcPr>
          <w:p w:rsidR="000215C5" w:rsidRDefault="00703023">
            <w:pPr>
              <w:spacing w:after="0"/>
              <w:jc w:val="both"/>
              <w:rPr>
                <w:sz w:val="18"/>
                <w:szCs w:val="18"/>
              </w:rPr>
            </w:pPr>
            <w:r>
              <w:rPr>
                <w:sz w:val="18"/>
              </w:rPr>
              <w:t>Procentandel vattenförekomster som har uppnått god kemisk status sedan de första förvaltningsplanerna.</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shd w:val="clear" w:color="auto" w:fill="auto"/>
          </w:tcPr>
          <w:p w:rsidR="000215C5" w:rsidRDefault="00703023">
            <w:pPr>
              <w:spacing w:after="0"/>
              <w:jc w:val="both"/>
              <w:rPr>
                <w:sz w:val="18"/>
                <w:szCs w:val="18"/>
              </w:rPr>
            </w:pPr>
            <w:r>
              <w:rPr>
                <w:sz w:val="18"/>
              </w:rPr>
              <w:t>Ej relevant för rapporteringen 2010.</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10</w:t>
            </w:r>
          </w:p>
        </w:tc>
        <w:tc>
          <w:tcPr>
            <w:tcW w:w="1496" w:type="dxa"/>
            <w:shd w:val="clear" w:color="auto" w:fill="auto"/>
          </w:tcPr>
          <w:p w:rsidR="000215C5" w:rsidRDefault="00703023">
            <w:pPr>
              <w:spacing w:after="0"/>
              <w:jc w:val="both"/>
              <w:rPr>
                <w:b/>
                <w:sz w:val="18"/>
                <w:szCs w:val="18"/>
              </w:rPr>
            </w:pPr>
            <w:r>
              <w:rPr>
                <w:b/>
                <w:sz w:val="18"/>
              </w:rPr>
              <w:t>Framsteg mot att uppnå god status sedan de första förvaltnings</w:t>
            </w:r>
            <w:r w:rsidR="00DC4BEA">
              <w:rPr>
                <w:b/>
                <w:sz w:val="18"/>
              </w:rPr>
              <w:t>-</w:t>
            </w:r>
            <w:r>
              <w:rPr>
                <w:b/>
                <w:sz w:val="18"/>
              </w:rPr>
              <w:t>planerna, per kvalitetsfaktor</w:t>
            </w:r>
          </w:p>
        </w:tc>
        <w:tc>
          <w:tcPr>
            <w:tcW w:w="1037" w:type="dxa"/>
            <w:shd w:val="clear" w:color="auto" w:fill="auto"/>
          </w:tcPr>
          <w:p w:rsidR="000215C5" w:rsidRDefault="00703023">
            <w:pPr>
              <w:spacing w:after="0"/>
              <w:jc w:val="both"/>
              <w:rPr>
                <w:sz w:val="18"/>
                <w:szCs w:val="18"/>
              </w:rPr>
            </w:pPr>
            <w:r>
              <w:rPr>
                <w:sz w:val="18"/>
              </w:rPr>
              <w:t>Karta/diagram/</w:t>
            </w:r>
          </w:p>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RBD/SU</w:t>
            </w:r>
          </w:p>
        </w:tc>
        <w:tc>
          <w:tcPr>
            <w:tcW w:w="1956" w:type="dxa"/>
            <w:shd w:val="clear" w:color="auto" w:fill="auto"/>
          </w:tcPr>
          <w:p w:rsidR="000215C5" w:rsidRDefault="00703023">
            <w:pPr>
              <w:spacing w:after="0"/>
              <w:jc w:val="both"/>
              <w:rPr>
                <w:sz w:val="18"/>
                <w:szCs w:val="18"/>
              </w:rPr>
            </w:pPr>
            <w:r>
              <w:rPr>
                <w:sz w:val="18"/>
              </w:rPr>
              <w:t>Procentandel ytvattenförekomster med förbättrad kemisk status sedan de första förvaltningsplanerna, per kvalitetsfaktor.</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shd w:val="clear" w:color="auto" w:fill="auto"/>
          </w:tcPr>
          <w:p w:rsidR="000215C5" w:rsidRDefault="00703023">
            <w:pPr>
              <w:spacing w:after="0"/>
              <w:jc w:val="both"/>
              <w:rPr>
                <w:sz w:val="18"/>
                <w:szCs w:val="18"/>
              </w:rPr>
            </w:pPr>
            <w:r>
              <w:rPr>
                <w:sz w:val="18"/>
              </w:rPr>
              <w:t>Ej relevant för rapporteringen 2010.</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11</w:t>
            </w:r>
          </w:p>
        </w:tc>
        <w:tc>
          <w:tcPr>
            <w:tcW w:w="1496" w:type="dxa"/>
            <w:shd w:val="clear" w:color="auto" w:fill="auto"/>
          </w:tcPr>
          <w:p w:rsidR="000215C5" w:rsidRDefault="00703023">
            <w:pPr>
              <w:spacing w:after="0"/>
              <w:jc w:val="both"/>
              <w:rPr>
                <w:b/>
                <w:sz w:val="18"/>
                <w:szCs w:val="18"/>
              </w:rPr>
            </w:pPr>
            <w:r>
              <w:rPr>
                <w:b/>
                <w:sz w:val="18"/>
              </w:rPr>
              <w:t>Orsaker till undantagen enligt artikel 4.4</w:t>
            </w:r>
          </w:p>
        </w:tc>
        <w:tc>
          <w:tcPr>
            <w:tcW w:w="1037" w:type="dxa"/>
            <w:shd w:val="clear" w:color="auto" w:fill="auto"/>
          </w:tcPr>
          <w:p w:rsidR="000215C5" w:rsidRDefault="00703023">
            <w:pPr>
              <w:spacing w:after="0"/>
              <w:jc w:val="both"/>
              <w:rPr>
                <w:sz w:val="18"/>
                <w:szCs w:val="18"/>
              </w:rPr>
            </w:pPr>
            <w:r>
              <w:rPr>
                <w:sz w:val="18"/>
              </w:rPr>
              <w:t>Diagram/</w:t>
            </w:r>
          </w:p>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Undantag som rapporterats av medlemsstaterna för att förlänga tidsfristen för uppnående av god status efter 2015 samt angivna orsaker (naturliga förhållanden, teknisk genomförbarhet, oproportionerliga kostnader eller en kombination av dessa orsaker).</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shd w:val="clear" w:color="auto" w:fill="auto"/>
          </w:tcPr>
          <w:p w:rsidR="000215C5" w:rsidRDefault="00703023">
            <w:pPr>
              <w:spacing w:after="0"/>
              <w:jc w:val="both"/>
              <w:rPr>
                <w:sz w:val="18"/>
                <w:szCs w:val="18"/>
              </w:rPr>
            </w:pPr>
            <w:r>
              <w:rPr>
                <w:sz w:val="18"/>
              </w:rPr>
              <w:t>Ja</w:t>
            </w:r>
          </w:p>
        </w:tc>
      </w:tr>
      <w:tr w:rsidR="000215C5" w:rsidTr="00BB474C">
        <w:trPr>
          <w:cantSplit/>
        </w:trPr>
        <w:tc>
          <w:tcPr>
            <w:tcW w:w="455" w:type="dxa"/>
            <w:shd w:val="clear" w:color="auto" w:fill="auto"/>
          </w:tcPr>
          <w:p w:rsidR="000215C5" w:rsidRDefault="00703023">
            <w:pPr>
              <w:spacing w:after="0"/>
              <w:jc w:val="both"/>
              <w:rPr>
                <w:sz w:val="18"/>
                <w:szCs w:val="18"/>
              </w:rPr>
            </w:pPr>
            <w:r>
              <w:rPr>
                <w:sz w:val="18"/>
              </w:rPr>
              <w:t>12</w:t>
            </w:r>
          </w:p>
        </w:tc>
        <w:tc>
          <w:tcPr>
            <w:tcW w:w="1496" w:type="dxa"/>
            <w:shd w:val="clear" w:color="auto" w:fill="auto"/>
          </w:tcPr>
          <w:p w:rsidR="000215C5" w:rsidRDefault="00703023">
            <w:pPr>
              <w:spacing w:after="0"/>
              <w:jc w:val="both"/>
              <w:rPr>
                <w:b/>
                <w:sz w:val="18"/>
                <w:szCs w:val="18"/>
              </w:rPr>
            </w:pPr>
            <w:r>
              <w:rPr>
                <w:b/>
                <w:sz w:val="18"/>
              </w:rPr>
              <w:t>Procentandel ytvatten</w:t>
            </w:r>
            <w:r w:rsidR="00DC4BEA">
              <w:rPr>
                <w:b/>
                <w:sz w:val="18"/>
              </w:rPr>
              <w:t>-</w:t>
            </w:r>
            <w:r>
              <w:rPr>
                <w:b/>
                <w:sz w:val="18"/>
              </w:rPr>
              <w:t>förekomster med god kemisk status 2015 baserat på EQS 2008 för PS enligt MKN-direktivet 2008</w:t>
            </w:r>
          </w:p>
        </w:tc>
        <w:tc>
          <w:tcPr>
            <w:tcW w:w="1037" w:type="dxa"/>
            <w:shd w:val="clear" w:color="auto" w:fill="auto"/>
          </w:tcPr>
          <w:p w:rsidR="000215C5" w:rsidRDefault="00703023">
            <w:pPr>
              <w:spacing w:after="0"/>
              <w:jc w:val="both"/>
              <w:rPr>
                <w:sz w:val="18"/>
                <w:szCs w:val="18"/>
              </w:rPr>
            </w:pPr>
            <w:r>
              <w:rPr>
                <w:sz w:val="18"/>
              </w:rPr>
              <w:t>Karta/</w:t>
            </w:r>
          </w:p>
          <w:p w:rsidR="000215C5" w:rsidRDefault="00703023">
            <w:pPr>
              <w:spacing w:after="0"/>
              <w:jc w:val="both"/>
              <w:rPr>
                <w:sz w:val="18"/>
                <w:szCs w:val="18"/>
              </w:rPr>
            </w:pPr>
            <w:r>
              <w:rPr>
                <w:sz w:val="18"/>
              </w:rPr>
              <w:t>Diagram/</w:t>
            </w:r>
          </w:p>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EU/MS/ RBD/</w:t>
            </w:r>
          </w:p>
          <w:p w:rsidR="000215C5" w:rsidRDefault="00703023">
            <w:pPr>
              <w:spacing w:after="0"/>
              <w:jc w:val="both"/>
              <w:rPr>
                <w:sz w:val="18"/>
                <w:szCs w:val="18"/>
              </w:rPr>
            </w:pPr>
            <w:r>
              <w:rPr>
                <w:sz w:val="18"/>
              </w:rPr>
              <w:t>SU</w:t>
            </w:r>
          </w:p>
        </w:tc>
        <w:tc>
          <w:tcPr>
            <w:tcW w:w="1956" w:type="dxa"/>
            <w:shd w:val="clear" w:color="auto" w:fill="auto"/>
          </w:tcPr>
          <w:p w:rsidR="000215C5" w:rsidRDefault="00703023">
            <w:pPr>
              <w:spacing w:after="0"/>
              <w:jc w:val="both"/>
              <w:rPr>
                <w:sz w:val="18"/>
                <w:szCs w:val="18"/>
              </w:rPr>
            </w:pPr>
            <w:r>
              <w:rPr>
                <w:sz w:val="18"/>
              </w:rPr>
              <w:t>Procentandel ytvattenförekomster med god kemisk status 2015, baserat på EQS 2008 för PS, aggregerat för samtliga ytvattenförekomster, per kategori.</w:t>
            </w:r>
          </w:p>
        </w:tc>
        <w:tc>
          <w:tcPr>
            <w:tcW w:w="191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shd w:val="clear" w:color="auto" w:fill="auto"/>
          </w:tcPr>
          <w:p w:rsidR="000215C5" w:rsidRDefault="00703023">
            <w:pPr>
              <w:spacing w:after="0"/>
              <w:jc w:val="both"/>
              <w:rPr>
                <w:sz w:val="18"/>
                <w:szCs w:val="18"/>
              </w:rPr>
            </w:pPr>
            <w:r>
              <w:rPr>
                <w:sz w:val="18"/>
              </w:rPr>
              <w:t>Nej</w:t>
            </w:r>
          </w:p>
        </w:tc>
      </w:tr>
      <w:tr w:rsidR="000215C5" w:rsidTr="00BB474C">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13</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b/>
                <w:sz w:val="18"/>
                <w:szCs w:val="18"/>
              </w:rPr>
            </w:pPr>
            <w:r>
              <w:rPr>
                <w:b/>
                <w:sz w:val="18"/>
              </w:rPr>
              <w:t>Procentandel ytvatten</w:t>
            </w:r>
            <w:r w:rsidR="00DC4BEA">
              <w:rPr>
                <w:b/>
                <w:sz w:val="18"/>
              </w:rPr>
              <w:t>-</w:t>
            </w:r>
            <w:r>
              <w:rPr>
                <w:b/>
                <w:sz w:val="18"/>
              </w:rPr>
              <w:t>förekomster med god kemisk status 2015 baserat på EQS 2013 för PS enligt EQSD 2008</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Karta/diagram/tabell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EU/MS/RBD/</w:t>
            </w:r>
          </w:p>
          <w:p w:rsidR="000215C5" w:rsidRDefault="00703023">
            <w:pPr>
              <w:spacing w:after="0"/>
              <w:jc w:val="both"/>
              <w:rPr>
                <w:sz w:val="18"/>
                <w:szCs w:val="18"/>
              </w:rPr>
            </w:pPr>
            <w:r>
              <w:rPr>
                <w:sz w:val="18"/>
              </w:rPr>
              <w:t>SU</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Procentandel ytvattenförekomster med god kemisk status 2015, baserat på EQS 2013 för PS, aggregerat för samtliga ytvattenförekomster, per kategori.</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Nej</w:t>
            </w:r>
          </w:p>
        </w:tc>
      </w:tr>
      <w:tr w:rsidR="000215C5" w:rsidTr="00BB474C">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14</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b/>
                <w:sz w:val="18"/>
                <w:szCs w:val="18"/>
              </w:rPr>
            </w:pPr>
            <w:r>
              <w:rPr>
                <w:b/>
                <w:sz w:val="18"/>
              </w:rPr>
              <w:t>Procentandel ytvatten</w:t>
            </w:r>
            <w:r w:rsidR="00DC4BEA">
              <w:rPr>
                <w:b/>
                <w:sz w:val="18"/>
              </w:rPr>
              <w:t>-</w:t>
            </w:r>
            <w:r>
              <w:rPr>
                <w:b/>
                <w:sz w:val="18"/>
              </w:rPr>
              <w:t>förekomster med god kemisk status 2015 baserat på EQS 2013 för PS, exklusive uPBT enligt MKN-direktivet 2008</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Karta/</w:t>
            </w:r>
          </w:p>
          <w:p w:rsidR="000215C5" w:rsidRDefault="00703023">
            <w:pPr>
              <w:spacing w:after="0"/>
              <w:jc w:val="both"/>
              <w:rPr>
                <w:sz w:val="18"/>
                <w:szCs w:val="18"/>
              </w:rPr>
            </w:pPr>
            <w:r>
              <w:rPr>
                <w:sz w:val="18"/>
              </w:rPr>
              <w:t>Diagram/</w:t>
            </w:r>
          </w:p>
          <w:p w:rsidR="000215C5" w:rsidRDefault="00703023">
            <w:pPr>
              <w:spacing w:after="0"/>
              <w:jc w:val="both"/>
              <w:rPr>
                <w:sz w:val="18"/>
                <w:szCs w:val="18"/>
              </w:rPr>
            </w:pPr>
            <w:r>
              <w:rPr>
                <w:sz w:val="18"/>
              </w:rPr>
              <w:t>tabell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EU/MS/RBD/</w:t>
            </w:r>
          </w:p>
          <w:p w:rsidR="000215C5" w:rsidRDefault="00703023">
            <w:pPr>
              <w:spacing w:after="0"/>
              <w:jc w:val="both"/>
              <w:rPr>
                <w:sz w:val="18"/>
                <w:szCs w:val="18"/>
              </w:rPr>
            </w:pPr>
            <w:r>
              <w:rPr>
                <w:sz w:val="18"/>
              </w:rPr>
              <w:t>SU</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Procentandel ytvattenförekomster med god kemisk status 2015, baserat på EQS 2013 för PS, exklusive uPBT 2008, aggregerat för samtliga ytvattenförekomster, per kategori.</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Nej</w:t>
            </w:r>
          </w:p>
        </w:tc>
      </w:tr>
      <w:tr w:rsidR="000215C5" w:rsidTr="00BB474C">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15</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b/>
                <w:sz w:val="18"/>
                <w:szCs w:val="18"/>
              </w:rPr>
            </w:pPr>
            <w:r>
              <w:rPr>
                <w:b/>
                <w:sz w:val="18"/>
              </w:rPr>
              <w:t>Procentandel ytvatten</w:t>
            </w:r>
            <w:r w:rsidR="00DC4BEA">
              <w:rPr>
                <w:b/>
                <w:sz w:val="18"/>
              </w:rPr>
              <w:t>-</w:t>
            </w:r>
            <w:r>
              <w:rPr>
                <w:b/>
                <w:sz w:val="18"/>
              </w:rPr>
              <w:t>förekomster med god kemisk status 2015 baserat på EQS 2013 för PS, inklusive uPBT enligt MKN-direktivet 2008</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Karta/diagram/tabell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EU/MS/RBD/</w:t>
            </w:r>
          </w:p>
          <w:p w:rsidR="000215C5" w:rsidRDefault="00703023">
            <w:pPr>
              <w:spacing w:after="0"/>
              <w:jc w:val="both"/>
              <w:rPr>
                <w:sz w:val="18"/>
                <w:szCs w:val="18"/>
              </w:rPr>
            </w:pPr>
            <w:r>
              <w:rPr>
                <w:sz w:val="18"/>
              </w:rPr>
              <w:t>SU</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Procentandel ytvattenförekomster med god kemisk status 2015, baserat på EQS 2013 för PS, inklusive uPBT 2008, aggregerat för samtliga ytvattenförekomster, per kategori.</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Nej</w:t>
            </w:r>
          </w:p>
        </w:tc>
      </w:tr>
      <w:tr w:rsidR="000215C5" w:rsidTr="00BB474C">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16</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b/>
                <w:sz w:val="18"/>
                <w:szCs w:val="18"/>
              </w:rPr>
            </w:pPr>
            <w:r>
              <w:rPr>
                <w:b/>
                <w:sz w:val="18"/>
              </w:rPr>
              <w:t>Differentierad presentation av bedömningar som grundas på 2008 och 2013 års normer</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Karta/</w:t>
            </w:r>
          </w:p>
          <w:p w:rsidR="000215C5" w:rsidRDefault="00703023">
            <w:pPr>
              <w:spacing w:after="0"/>
              <w:jc w:val="both"/>
              <w:rPr>
                <w:sz w:val="18"/>
                <w:szCs w:val="18"/>
              </w:rPr>
            </w:pPr>
            <w:r>
              <w:rPr>
                <w:sz w:val="18"/>
              </w:rPr>
              <w:t>diagram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EU/MS/RBD/</w:t>
            </w:r>
          </w:p>
          <w:p w:rsidR="000215C5" w:rsidRDefault="00703023">
            <w:pPr>
              <w:spacing w:after="0"/>
              <w:jc w:val="both"/>
              <w:rPr>
                <w:sz w:val="18"/>
                <w:szCs w:val="18"/>
              </w:rPr>
            </w:pPr>
            <w:r>
              <w:rPr>
                <w:sz w:val="18"/>
              </w:rPr>
              <w:t>SU</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Jämförelse mellan procentandelen ytvattenförekomster med god kemisk status baserat på EQS 2008 och 2013 för PS.</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Nej</w:t>
            </w:r>
          </w:p>
        </w:tc>
      </w:tr>
      <w:tr w:rsidR="000215C5" w:rsidTr="00BB474C">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17</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b/>
                <w:sz w:val="18"/>
                <w:szCs w:val="18"/>
              </w:rPr>
            </w:pPr>
            <w:r>
              <w:rPr>
                <w:b/>
                <w:sz w:val="18"/>
              </w:rPr>
              <w:t>Fastställande av blandningszoner och överskridanden</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Diagram/</w:t>
            </w:r>
          </w:p>
          <w:p w:rsidR="000215C5" w:rsidRDefault="00703023">
            <w:pPr>
              <w:spacing w:after="0"/>
              <w:jc w:val="both"/>
              <w:rPr>
                <w:sz w:val="18"/>
                <w:szCs w:val="18"/>
              </w:rPr>
            </w:pPr>
            <w:r>
              <w:rPr>
                <w:sz w:val="18"/>
              </w:rPr>
              <w:t>tabell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EU/MS/RBD/</w:t>
            </w:r>
          </w:p>
          <w:p w:rsidR="000215C5" w:rsidRDefault="00703023">
            <w:pPr>
              <w:spacing w:after="0"/>
              <w:jc w:val="both"/>
              <w:rPr>
                <w:sz w:val="18"/>
                <w:szCs w:val="18"/>
              </w:rPr>
            </w:pPr>
            <w:r>
              <w:rPr>
                <w:sz w:val="18"/>
              </w:rPr>
              <w:t>SU</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 w:val="18"/>
                <w:szCs w:val="18"/>
              </w:rPr>
            </w:pPr>
            <w:r>
              <w:rPr>
                <w:sz w:val="18"/>
              </w:rPr>
              <w:t>Antal fastställda blandningszoner</w:t>
            </w:r>
          </w:p>
          <w:p w:rsidR="000215C5" w:rsidRDefault="00703023">
            <w:pPr>
              <w:spacing w:after="120"/>
              <w:jc w:val="both"/>
              <w:rPr>
                <w:sz w:val="18"/>
                <w:szCs w:val="18"/>
              </w:rPr>
            </w:pPr>
            <w:r>
              <w:rPr>
                <w:sz w:val="18"/>
              </w:rPr>
              <w:t>Procentandel blandningszoner i förhållande till ytvattenförekomsternas hela längd/yta (om sådan information finns tillgänglig).</w:t>
            </w:r>
          </w:p>
          <w:p w:rsidR="000215C5" w:rsidRDefault="00703023">
            <w:pPr>
              <w:spacing w:after="0"/>
              <w:jc w:val="both"/>
              <w:rPr>
                <w:sz w:val="18"/>
                <w:szCs w:val="18"/>
              </w:rPr>
            </w:pPr>
            <w:r>
              <w:rPr>
                <w:sz w:val="18"/>
              </w:rPr>
              <w:t>Ämnen som visar eller förutses visa överskridanden i blandningszonerna.</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Aggregering av information som rapporteras på vattenförekomstnivå.</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Ej möjligt (den nödvändiga informationen ingick inte i rapporteringskraven).</w:t>
            </w:r>
          </w:p>
        </w:tc>
      </w:tr>
    </w:tbl>
    <w:p w:rsidR="000215C5" w:rsidRDefault="00703023">
      <w:pPr>
        <w:jc w:val="both"/>
        <w:rPr>
          <w:sz w:val="20"/>
        </w:rPr>
      </w:pPr>
      <w:r>
        <w:rPr>
          <w:b/>
          <w:sz w:val="20"/>
        </w:rPr>
        <w:t>Anmärkningar:</w:t>
      </w:r>
      <w:r>
        <w:rPr>
          <w:sz w:val="20"/>
        </w:rPr>
        <w:t xml:space="preserve"> * Informationsnivå: EU = europeisk nivå, MS = nationell nivå, medlemsstatsnivå, RBD = avrinningsdistrikt, SU = delavrinningsdistrikt, WB = vattenförekomst.</w:t>
      </w:r>
    </w:p>
    <w:p w:rsidR="000215C5" w:rsidRDefault="00703023">
      <w:pPr>
        <w:pStyle w:val="Rubrik3"/>
      </w:pPr>
      <w:r>
        <w:t>Innehåll i rapporteringen 2016</w:t>
      </w:r>
      <w:bookmarkEnd w:id="147"/>
    </w:p>
    <w:p w:rsidR="000215C5" w:rsidRDefault="00703023">
      <w:pPr>
        <w:pStyle w:val="Rubrik4"/>
      </w:pPr>
      <w:r>
        <w:t>Skiss över mallarna</w:t>
      </w:r>
    </w:p>
    <w:p w:rsidR="000215C5" w:rsidRDefault="00703023">
      <w:pPr>
        <w:jc w:val="both"/>
      </w:pPr>
      <w:r>
        <w:t>Se bilaga 10.2.</w:t>
      </w:r>
    </w:p>
    <w:p w:rsidR="000215C5" w:rsidRDefault="00703023">
      <w:pPr>
        <w:pStyle w:val="Rubrik4"/>
      </w:pPr>
      <w:bookmarkStart w:id="148" w:name="_Ref382297954"/>
      <w:r>
        <w:t>Information och uppgifter som ska rapporteras med hjälp av mallarna</w:t>
      </w:r>
      <w:bookmarkEnd w:id="148"/>
    </w:p>
    <w:p w:rsidR="000215C5" w:rsidRDefault="00703023">
      <w:pPr>
        <w:jc w:val="both"/>
      </w:pPr>
      <w:r>
        <w:t>Information om ytvattenförekomsters kemiska status ska rapporteras på ytvattenförekomstnivå enligt mallen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SWB (fortsättning)</w:t>
            </w:r>
          </w:p>
        </w:tc>
      </w:tr>
      <w:tr w:rsidR="000215C5">
        <w:tc>
          <w:tcPr>
            <w:tcW w:w="9853" w:type="dxa"/>
            <w:shd w:val="clear" w:color="auto" w:fill="auto"/>
          </w:tcPr>
          <w:p w:rsidR="000215C5" w:rsidRDefault="00703023">
            <w:pPr>
              <w:spacing w:after="120"/>
              <w:jc w:val="both"/>
              <w:rPr>
                <w:b/>
                <w:i/>
                <w:szCs w:val="24"/>
              </w:rPr>
            </w:pPr>
            <w:r>
              <w:rPr>
                <w:b/>
                <w:i/>
              </w:rPr>
              <w:t>Klass: SurfaceWaterBody (fortsättning)</w:t>
            </w:r>
          </w:p>
          <w:p w:rsidR="000215C5" w:rsidRDefault="00703023">
            <w:pPr>
              <w:spacing w:after="120"/>
              <w:jc w:val="both"/>
              <w:rPr>
                <w:b/>
                <w:i/>
                <w:szCs w:val="24"/>
              </w:rPr>
            </w:pPr>
            <w:r>
              <w:rPr>
                <w:b/>
                <w:i/>
              </w:rPr>
              <w:t xml:space="preserve">Egenskaper: </w:t>
            </w:r>
            <w:r>
              <w:rPr>
                <w:i/>
              </w:rPr>
              <w:t>maxOccur: unbounded minOccur: 1</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swChemicalStatusValue</w:t>
            </w:r>
          </w:p>
          <w:p w:rsidR="000215C5" w:rsidRDefault="00703023">
            <w:pPr>
              <w:spacing w:after="120"/>
              <w:jc w:val="both"/>
              <w:rPr>
                <w:szCs w:val="24"/>
              </w:rPr>
            </w:pPr>
            <w:r>
              <w:rPr>
                <w:b/>
              </w:rPr>
              <w:t xml:space="preserve">Fälttyp/alternativ: </w:t>
            </w:r>
            <w:r>
              <w:t>StatusCode_Enum: 2, 3, Unknown</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w:t>
            </w:r>
          </w:p>
          <w:p w:rsidR="000215C5" w:rsidRDefault="00703023">
            <w:pPr>
              <w:spacing w:after="120"/>
              <w:jc w:val="both"/>
              <w:rPr>
                <w:szCs w:val="24"/>
              </w:rPr>
            </w:pPr>
            <w:r>
              <w:t>Krävs. Ange vattenförekomstens kemiska status.</w:t>
            </w:r>
          </w:p>
          <w:p w:rsidR="000215C5" w:rsidRDefault="00703023">
            <w:pPr>
              <w:spacing w:after="120"/>
              <w:jc w:val="both"/>
              <w:rPr>
                <w:szCs w:val="24"/>
              </w:rPr>
            </w:pPr>
            <w:r>
              <w:t>2 = God status.</w:t>
            </w:r>
          </w:p>
          <w:p w:rsidR="000215C5" w:rsidRDefault="00703023">
            <w:pPr>
              <w:spacing w:after="120"/>
              <w:jc w:val="both"/>
              <w:rPr>
                <w:szCs w:val="24"/>
              </w:rPr>
            </w:pPr>
            <w:r>
              <w:t>3 = Otillfredsställande status.</w:t>
            </w:r>
          </w:p>
          <w:p w:rsidR="000215C5" w:rsidRDefault="00703023">
            <w:pPr>
              <w:spacing w:after="120"/>
              <w:jc w:val="both"/>
              <w:rPr>
                <w:szCs w:val="24"/>
              </w:rPr>
            </w:pPr>
            <w:r>
              <w:t>Unknown = Okänd status.</w:t>
            </w:r>
          </w:p>
          <w:p w:rsidR="000215C5" w:rsidRDefault="00703023">
            <w:pPr>
              <w:spacing w:after="120"/>
              <w:jc w:val="both"/>
              <w:rPr>
                <w:szCs w:val="24"/>
              </w:rPr>
            </w:pPr>
            <w:r>
              <w:t xml:space="preserve">Med undantag för AA-EQS för naftalen i vatten i övergångszoner, kustvatten och territorialvatten, ska detta baseras på normerna i direktiv 2008/105/EG om miljökvalitetsnormer (den version som var i kraft den 13 januari 2009).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swChemicalAssessmentYear</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w:t>
            </w:r>
          </w:p>
          <w:p w:rsidR="000215C5" w:rsidRDefault="00703023">
            <w:pPr>
              <w:spacing w:after="120"/>
              <w:jc w:val="both"/>
              <w:rPr>
                <w:szCs w:val="24"/>
              </w:rPr>
            </w:pPr>
            <w:r>
              <w:t>Krävs. Ange det år som bedömningen av status baseras på. Det kan vara det år då ytvattenförekomsten övervakades. Vid gruppering kan det vara det år då övervakning genomfördes av ytvattenförekomster i en grupp som används för att extrapolera resultat till ytvattenförekomster inom samma grupp som inte övervakas. En period får anges (t.ex. 2011–2013).</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swChemicalAssessmentConfidence</w:t>
            </w:r>
          </w:p>
          <w:p w:rsidR="000215C5" w:rsidRDefault="00703023">
            <w:pPr>
              <w:spacing w:after="120"/>
              <w:jc w:val="both"/>
              <w:rPr>
                <w:szCs w:val="24"/>
              </w:rPr>
            </w:pPr>
            <w:r>
              <w:rPr>
                <w:b/>
              </w:rPr>
              <w:t xml:space="preserve">Fälttyp/alternativ: </w:t>
            </w:r>
            <w:r>
              <w:t>Confidence_Enum: 0, 1, 2, 3</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förtroendet för tilldelad kemisk status.</w:t>
            </w:r>
          </w:p>
          <w:p w:rsidR="000215C5" w:rsidRDefault="00703023">
            <w:pPr>
              <w:spacing w:after="120"/>
              <w:jc w:val="both"/>
              <w:rPr>
                <w:szCs w:val="24"/>
              </w:rPr>
            </w:pPr>
            <w:r>
              <w:t>0 = Ingen uppgift.</w:t>
            </w:r>
          </w:p>
          <w:p w:rsidR="000215C5" w:rsidRDefault="00703023">
            <w:pPr>
              <w:spacing w:after="120"/>
              <w:jc w:val="both"/>
              <w:rPr>
                <w:szCs w:val="24"/>
              </w:rPr>
            </w:pPr>
            <w:r>
              <w:t>1 = Lågt förtroende.</w:t>
            </w:r>
          </w:p>
          <w:p w:rsidR="000215C5" w:rsidRDefault="00703023">
            <w:pPr>
              <w:spacing w:after="120"/>
              <w:jc w:val="both"/>
              <w:rPr>
                <w:szCs w:val="24"/>
              </w:rPr>
            </w:pPr>
            <w:r>
              <w:t>2 = Medelhögt förtroende.</w:t>
            </w:r>
          </w:p>
          <w:p w:rsidR="000215C5" w:rsidRDefault="00703023">
            <w:pPr>
              <w:spacing w:after="120"/>
              <w:jc w:val="both"/>
              <w:rPr>
                <w:szCs w:val="24"/>
              </w:rPr>
            </w:pPr>
            <w:r>
              <w:t>3 = Högt förtroende.</w:t>
            </w:r>
          </w:p>
          <w:p w:rsidR="000215C5" w:rsidRDefault="00703023">
            <w:pPr>
              <w:spacing w:after="120"/>
              <w:jc w:val="both"/>
              <w:rPr>
                <w:szCs w:val="24"/>
              </w:rPr>
            </w:pPr>
            <w:r>
              <w:t>De kriterier som används av medlemsstaterna för att bedöma förtroende varierar betydligt, men följande kan tjäna som allmän vägledning: Lågt = inga övervakningsuppgifter, medelhögt = begränsade eller inte tillräckligt stabila övervakningsuppgifter för några eller alla prioriterade ämnen som släpps ut i avrinningsdistriktet, högt = bra uppgifter för samtliga prioriterade ämnen som släpps ut i avrinningsdistriktet.</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swChemicalMonitoringResults</w:t>
            </w:r>
          </w:p>
          <w:p w:rsidR="000215C5" w:rsidRDefault="00703023">
            <w:pPr>
              <w:spacing w:after="120"/>
              <w:jc w:val="both"/>
              <w:rPr>
                <w:szCs w:val="24"/>
              </w:rPr>
            </w:pPr>
            <w:r>
              <w:rPr>
                <w:b/>
              </w:rPr>
              <w:t xml:space="preserve">Fälttyp/alternativ: </w:t>
            </w:r>
            <w:r>
              <w:t>MonitoringResults_Enum: Monitoring, Grouping, Expert judgement</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xml:space="preserve">: Villkorlig. Ange grunden för statusklassificeringen. </w:t>
            </w:r>
          </w:p>
          <w:p w:rsidR="000215C5" w:rsidRDefault="00703023">
            <w:pPr>
              <w:spacing w:after="120"/>
              <w:jc w:val="both"/>
              <w:rPr>
                <w:szCs w:val="24"/>
              </w:rPr>
            </w:pPr>
            <w:r>
              <w:t xml:space="preserve">”Monitoring”: övervakningsuppgifter finns tillgängliga för denna vattenförekomst och används för klassificeringen. </w:t>
            </w:r>
          </w:p>
          <w:p w:rsidR="000215C5" w:rsidRDefault="00703023">
            <w:pPr>
              <w:spacing w:after="120"/>
              <w:jc w:val="both"/>
              <w:rPr>
                <w:szCs w:val="24"/>
              </w:rPr>
            </w:pPr>
            <w:r>
              <w:t xml:space="preserve">”Grouping”: inga övervakningsuppgifter finns tillgängliga för denna vattenförekomst. Övervakning från andra liknande vattenförekomster användes som underlag för klassificeringen enligt beskrivningen av klassificeringsmetoden. </w:t>
            </w:r>
          </w:p>
          <w:p w:rsidR="000215C5" w:rsidRDefault="00703023">
            <w:pPr>
              <w:spacing w:after="120"/>
              <w:jc w:val="both"/>
              <w:rPr>
                <w:szCs w:val="24"/>
              </w:rPr>
            </w:pPr>
            <w:r>
              <w:t>”'Expert judgement”: inga övervakningsuppgifter finns tillgängliga för denna ytvattenförekomst. Resultat från andra liknande vattenförekomster användes inte. Status grundas främst på ett expertutlåtande.</w:t>
            </w:r>
          </w:p>
          <w:p w:rsidR="000215C5" w:rsidRDefault="00703023">
            <w:pPr>
              <w:spacing w:after="120"/>
              <w:jc w:val="both"/>
              <w:rPr>
                <w:b/>
                <w:szCs w:val="24"/>
              </w:rPr>
            </w:pPr>
            <w:r>
              <w:rPr>
                <w:b/>
              </w:rPr>
              <w:t>Kvalitetskontroller</w:t>
            </w:r>
            <w:r>
              <w:t>: Kvalitetskontroller: Villkorlig kontroll: Rapportera om posten swChemicalStatusValue är 2 eller 3 (dvs. inte Unknown).</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swChemicalStatusGrouping</w:t>
            </w:r>
          </w:p>
          <w:p w:rsidR="000215C5" w:rsidRDefault="00703023">
            <w:pPr>
              <w:spacing w:after="120"/>
              <w:jc w:val="both"/>
              <w:rPr>
                <w:szCs w:val="24"/>
              </w:rPr>
            </w:pPr>
            <w:r>
              <w:rPr>
                <w:b/>
              </w:rPr>
              <w:t xml:space="preserve">Fälttyp/alternativ: </w:t>
            </w:r>
            <w:r>
              <w:rPr>
                <w:rFonts w:ascii="Calibri" w:hAnsi="Calibri"/>
                <w:sz w:val="22"/>
              </w:rPr>
              <w:t>FeatureUniqueEUCodeType</w:t>
            </w:r>
          </w:p>
          <w:p w:rsidR="000215C5" w:rsidRDefault="00703023">
            <w:pPr>
              <w:spacing w:after="120"/>
              <w:jc w:val="both"/>
              <w:rPr>
                <w:szCs w:val="24"/>
              </w:rPr>
            </w:pPr>
            <w:r>
              <w:rPr>
                <w:b/>
              </w:rPr>
              <w:t>Egenskaper</w:t>
            </w:r>
            <w:r>
              <w:t>: maxOccurs = unbounded minOccurs = 0</w:t>
            </w:r>
          </w:p>
          <w:p w:rsidR="000215C5" w:rsidRDefault="00703023">
            <w:pPr>
              <w:spacing w:after="120"/>
              <w:jc w:val="both"/>
              <w:rPr>
                <w:szCs w:val="24"/>
              </w:rPr>
            </w:pPr>
            <w:r>
              <w:rPr>
                <w:b/>
              </w:rPr>
              <w:t>Vägledning om hur man fyller i mallposten</w:t>
            </w:r>
            <w:r>
              <w:t xml:space="preserve">: Villkorlig. Om inga övervakningsuppgifter finns tillgängliga för ytvattenförekomsten och status grundas på gruppering genom extrapolering av övervakningsuppgifter från andra ytvattenförekomster, ange koderna för de ytvattenförekomster som har övervakats och använts i grupperingen. </w:t>
            </w:r>
          </w:p>
          <w:p w:rsidR="000215C5" w:rsidRDefault="00703023">
            <w:pPr>
              <w:spacing w:after="120"/>
              <w:jc w:val="both"/>
              <w:rPr>
                <w:szCs w:val="24"/>
              </w:rPr>
            </w:pPr>
            <w:r>
              <w:t>Exempel: Om statusen för ytvattenförekomst A har fastställts genom extrapolering av övervakningsuppgifter från ytvattenförekomsterna B och C ska euSurfaceWaterBodyCode rapporteras för ytvattenförekomsterna B och C i denna post.</w:t>
            </w:r>
          </w:p>
          <w:p w:rsidR="000215C5" w:rsidRDefault="00703023">
            <w:pPr>
              <w:spacing w:after="120"/>
              <w:jc w:val="both"/>
              <w:rPr>
                <w:szCs w:val="24"/>
              </w:rPr>
            </w:pPr>
            <w:r>
              <w:rPr>
                <w:b/>
              </w:rPr>
              <w:t>Kvalitetskontroller</w:t>
            </w:r>
            <w:r>
              <w:t xml:space="preserve">: Villkorlig kontroll: Rapportera om swChemicalMonitoringResults är ”Grouping”. </w:t>
            </w:r>
          </w:p>
          <w:p w:rsidR="000215C5" w:rsidRDefault="00703023">
            <w:pPr>
              <w:spacing w:after="120"/>
              <w:jc w:val="both"/>
              <w:rPr>
                <w:b/>
                <w:szCs w:val="24"/>
              </w:rPr>
            </w:pPr>
            <w:r>
              <w:t>Intern kontroll: euSurfaceWaterBodyCode som rapporteras i swChemicalStatusGrouping måste överensstämma med de koder som rapporteras i SWB/SurfaceWaterBody/euSurfaceWaterBodyCode.</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swChemicalStatusExpectedGoodIn2015</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Ange om ytvattenförekomsten i fråga förväntas uppnå god kemisk status till årsslutet 2015. </w:t>
            </w:r>
          </w:p>
          <w:p w:rsidR="000215C5" w:rsidRDefault="00703023">
            <w:pPr>
              <w:spacing w:after="120"/>
              <w:jc w:val="both"/>
              <w:rPr>
                <w:szCs w:val="24"/>
              </w:rPr>
            </w:pPr>
            <w:r>
              <w:t xml:space="preserve">Dessa uppgifter kan skilja sig från de uppgifter som rapporteras under swChemicalStatusValue, eftersom statusbedömningen i den andra versionen av förvaltningsplanerna sannolikt baseras på uppgifter från övervakningsperioden 2010–2014 med tanke på att den andra versionen av förvaltningsplanerna kommer att utarbetas under 2014 för offentligt samråd. Den status som anges i den andra versionen av förvaltningsplanerna återspeglar därför inte nödvändigtvis förväntad status 2015. En tydlig förklaring av bedömningsmetoden ska ges i förvaltningsplanen eller i bakgrundsdokumenten (hänvisning rapporteras under klassificeringsmetoder (se avsnitt 7.4)). </w:t>
            </w:r>
          </w:p>
          <w:p w:rsidR="000215C5" w:rsidRDefault="00703023">
            <w:pPr>
              <w:spacing w:after="120"/>
              <w:jc w:val="both"/>
              <w:rPr>
                <w:szCs w:val="24"/>
              </w:rPr>
            </w:pPr>
            <w:r>
              <w:t>Vid tillämpning av undantag för kemisk status enligt artikel 4.4 eller 4.5 ska alternativet ”No” väljas.</w:t>
            </w:r>
          </w:p>
          <w:p w:rsidR="000215C5" w:rsidRDefault="00703023">
            <w:pPr>
              <w:tabs>
                <w:tab w:val="left" w:pos="4113"/>
              </w:tabs>
              <w:spacing w:after="120"/>
              <w:jc w:val="both"/>
              <w:rPr>
                <w:szCs w:val="24"/>
              </w:rPr>
            </w:pPr>
            <w:r>
              <w:rPr>
                <w:b/>
              </w:rPr>
              <w:t>Kvalitetskontroller</w:t>
            </w:r>
            <w:r>
              <w:t>: Intern kontroll: Om swChemicalExemptionType för något av de ämnen som rapporteras som överskridande är ”Article 4(4)…” eller ”Article 4(5)…” måste alternativet ”No” väljas från uppräkningslistan.</w:t>
            </w:r>
          </w:p>
        </w:tc>
      </w:tr>
      <w:tr w:rsidR="000215C5">
        <w:tc>
          <w:tcPr>
            <w:tcW w:w="9853" w:type="dxa"/>
            <w:shd w:val="clear" w:color="auto" w:fill="auto"/>
          </w:tcPr>
          <w:p w:rsidR="000215C5" w:rsidRDefault="00703023">
            <w:pPr>
              <w:spacing w:after="120"/>
              <w:jc w:val="both"/>
              <w:rPr>
                <w:b/>
                <w:szCs w:val="24"/>
              </w:rPr>
            </w:pPr>
            <w:r>
              <w:rPr>
                <w:b/>
              </w:rPr>
              <w:t>Mallpost</w:t>
            </w:r>
            <w:r>
              <w:t>: swChemicalStatusExpectedAchievementDate</w:t>
            </w:r>
          </w:p>
          <w:p w:rsidR="000215C5" w:rsidRDefault="00703023">
            <w:pPr>
              <w:spacing w:after="120"/>
              <w:jc w:val="both"/>
              <w:rPr>
                <w:szCs w:val="24"/>
              </w:rPr>
            </w:pPr>
            <w:r>
              <w:rPr>
                <w:b/>
              </w:rPr>
              <w:t xml:space="preserve">Fälttyp/alternativ: </w:t>
            </w:r>
            <w:r>
              <w:t>GoodStatus_Enum:</w:t>
            </w:r>
          </w:p>
          <w:p w:rsidR="000215C5" w:rsidRPr="006E59C8" w:rsidRDefault="00703023">
            <w:pPr>
              <w:spacing w:after="120"/>
              <w:jc w:val="both"/>
              <w:rPr>
                <w:szCs w:val="24"/>
                <w:lang w:val="en-GB"/>
              </w:rPr>
            </w:pPr>
            <w:r w:rsidRPr="006E59C8">
              <w:rPr>
                <w:lang w:val="en-GB"/>
              </w:rPr>
              <w:t>2016–2021</w:t>
            </w:r>
          </w:p>
          <w:p w:rsidR="000215C5" w:rsidRPr="006E59C8" w:rsidRDefault="00703023">
            <w:pPr>
              <w:spacing w:after="120"/>
              <w:jc w:val="both"/>
              <w:rPr>
                <w:szCs w:val="24"/>
                <w:lang w:val="en-GB"/>
              </w:rPr>
            </w:pPr>
            <w:r w:rsidRPr="006E59C8">
              <w:rPr>
                <w:lang w:val="en-GB"/>
              </w:rPr>
              <w:t>2022–2027</w:t>
            </w:r>
          </w:p>
          <w:p w:rsidR="000215C5" w:rsidRPr="006E59C8" w:rsidRDefault="00703023">
            <w:pPr>
              <w:spacing w:after="120"/>
              <w:jc w:val="both"/>
              <w:rPr>
                <w:szCs w:val="24"/>
                <w:lang w:val="en-GB"/>
              </w:rPr>
            </w:pPr>
            <w:r w:rsidRPr="006E59C8">
              <w:rPr>
                <w:lang w:val="en-GB"/>
              </w:rPr>
              <w:t>Beyond 2027</w:t>
            </w:r>
          </w:p>
          <w:p w:rsidR="000215C5" w:rsidRPr="006E59C8" w:rsidRDefault="00703023">
            <w:pPr>
              <w:spacing w:after="120"/>
              <w:jc w:val="both"/>
              <w:rPr>
                <w:szCs w:val="24"/>
                <w:lang w:val="en-GB"/>
              </w:rPr>
            </w:pPr>
            <w:r w:rsidRPr="006E59C8">
              <w:rPr>
                <w:lang w:val="en-GB"/>
              </w:rPr>
              <w:t>Unknown</w:t>
            </w:r>
          </w:p>
          <w:p w:rsidR="000215C5" w:rsidRPr="006E59C8" w:rsidRDefault="00703023">
            <w:pPr>
              <w:spacing w:after="120"/>
              <w:jc w:val="both"/>
              <w:rPr>
                <w:szCs w:val="24"/>
                <w:lang w:val="en-GB"/>
              </w:rPr>
            </w:pPr>
            <w:r w:rsidRPr="006E59C8">
              <w:rPr>
                <w:lang w:val="en-GB"/>
              </w:rPr>
              <w:t>Less stringent objectives already achieved</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xml:space="preserve">: Villkorlig. Om god kemisk status INTE kommer att uppnås till 2015 (swChemicalStatusExpectedGoodIn2015 is No) ska det datum då god kemisk status förväntas uppnås fullständigt rapporteras. En tydlig förklaring av bedömningsmetoden ska ges i förvaltningsplanen eller i bakgrundsdokumenten (hänvisning rapporteras under klassificeringsmetoder). </w:t>
            </w:r>
          </w:p>
          <w:p w:rsidR="000215C5" w:rsidRDefault="00703023">
            <w:pPr>
              <w:spacing w:after="120"/>
              <w:jc w:val="both"/>
              <w:rPr>
                <w:szCs w:val="24"/>
              </w:rPr>
            </w:pPr>
            <w:r>
              <w:t xml:space="preserve">Om god kemisk status inte kommer att uppnås till 2015 bör undantag tillämpas. Rapportera det datum då god kemisk status förväntas uppnås fullständigt, inte datum för individuella undantag. Tänk dock på följande: </w:t>
            </w:r>
          </w:p>
          <w:p w:rsidR="000215C5" w:rsidRDefault="00703023">
            <w:pPr>
              <w:spacing w:after="120"/>
              <w:jc w:val="both"/>
              <w:rPr>
                <w:szCs w:val="24"/>
              </w:rPr>
            </w:pPr>
            <w:r>
              <w:t xml:space="preserve">Undantag enligt artikel 4.4 rör förlängning av tidsfrister. Enligt artikel 4.4 c i vattendirektivet är det endast möjligt att förlänga tidsfristen för uppnåendet av målen på grund av naturliga förhållanden med högst två ytterligare uppdateringar av förvaltningsplanen för avrinningsdistriktet. </w:t>
            </w:r>
          </w:p>
          <w:p w:rsidR="000215C5" w:rsidRDefault="00703023">
            <w:pPr>
              <w:spacing w:after="120"/>
              <w:jc w:val="both"/>
              <w:rPr>
                <w:szCs w:val="24"/>
              </w:rPr>
            </w:pPr>
            <w:r>
              <w:t xml:space="preserve">Om undantagen enligt artikel 4.5 gäller ska det datum då det mindre stränga målet uppnås rapporteras. Om det mindre stränga målet redan har uppnåtts ska ”Less stringent objectives already achieved” väljas. </w:t>
            </w:r>
          </w:p>
          <w:p w:rsidR="000215C5" w:rsidRDefault="00703023">
            <w:pPr>
              <w:spacing w:after="120"/>
              <w:jc w:val="both"/>
              <w:rPr>
                <w:szCs w:val="24"/>
              </w:rPr>
            </w:pPr>
            <w:r>
              <w:t>Om god kemisk status kommer att uppnås till 2015 (swChemicalStatusExpectedGoodIn2015 is Yes) ska denna post inte rapporteras.</w:t>
            </w:r>
          </w:p>
          <w:p w:rsidR="000215C5" w:rsidRDefault="00703023">
            <w:pPr>
              <w:jc w:val="both"/>
              <w:rPr>
                <w:szCs w:val="24"/>
              </w:rPr>
            </w:pPr>
            <w:r>
              <w:rPr>
                <w:b/>
              </w:rPr>
              <w:t>Kvalitetskontroller</w:t>
            </w:r>
            <w:r>
              <w:t>: Kvalitetskontroller: Villkorlig kontroll: Rapportera om swChemicalStatusExpectedGoodIn2015 är ”No”.</w:t>
            </w:r>
          </w:p>
          <w:p w:rsidR="000215C5" w:rsidRDefault="00703023">
            <w:pPr>
              <w:spacing w:after="120"/>
              <w:jc w:val="both"/>
              <w:rPr>
                <w:szCs w:val="24"/>
              </w:rPr>
            </w:pPr>
            <w:r>
              <w:t>Intern kontroll: ”Less stringent objectives already achieved” är endast en giltig post om ”Article 4(5)…” rapporteras under swChemicalExemptionType.</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swMixingZones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Frivilligt. Rapportera om blandningszoner har fastställts för ytvattenförekomsten.</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swMixingZonesProportion</w:t>
            </w:r>
          </w:p>
          <w:p w:rsidR="000215C5" w:rsidRDefault="00703023">
            <w:pPr>
              <w:spacing w:after="120"/>
              <w:jc w:val="both"/>
              <w:rPr>
                <w:szCs w:val="24"/>
              </w:rPr>
            </w:pPr>
            <w:r>
              <w:rPr>
                <w:b/>
              </w:rPr>
              <w:t xml:space="preserve">Fälttyp/alternativ: </w:t>
            </w:r>
            <w:r>
              <w:t>NumberPercentageType</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xml:space="preserve">: Frivilligt. Rapportera procentandelen av längden eller ytan för de ytvattenförekomster som har utsetts som blandningszoner.  </w:t>
            </w:r>
          </w:p>
        </w:tc>
      </w:tr>
    </w:tbl>
    <w:p w:rsidR="000215C5" w:rsidRDefault="000215C5">
      <w:pPr>
        <w:jc w:val="both"/>
        <w:rPr>
          <w:b/>
        </w:rPr>
      </w:pPr>
    </w:p>
    <w:p w:rsidR="000215C5" w:rsidRDefault="00703023">
      <w:pPr>
        <w:spacing w:after="120"/>
        <w:jc w:val="both"/>
        <w:rPr>
          <w:szCs w:val="24"/>
        </w:rPr>
      </w:pPr>
      <w:r>
        <w:t xml:space="preserve">Följande klass (underkategori till SurfaceWaterBody) används för att rapportera information om prioriterade ämnen på vattenförekomstnivå. Rapportera alla prioriterade ämnen som stämmer in på </w:t>
      </w:r>
      <w:r>
        <w:rPr>
          <w:u w:val="single"/>
        </w:rPr>
        <w:t>en eller flera</w:t>
      </w:r>
      <w:r>
        <w:t xml:space="preserve"> av följande förhållanden i den berörda vattenförekomsten:</w:t>
      </w:r>
    </w:p>
    <w:p w:rsidR="000215C5" w:rsidRDefault="00703023">
      <w:pPr>
        <w:pStyle w:val="Liststycke"/>
        <w:numPr>
          <w:ilvl w:val="0"/>
          <w:numId w:val="80"/>
        </w:numPr>
        <w:spacing w:after="120"/>
        <w:jc w:val="both"/>
        <w:rPr>
          <w:szCs w:val="24"/>
        </w:rPr>
      </w:pPr>
      <w:r>
        <w:t>Ämnet leder till att kemisk status inte uppnås eftersom det överskrider de relevanta miljökvalitetsnormerna (posterna swPrioritySubstanceCausingFailure och swPrioritySubstanceExceedanceType).</w:t>
      </w:r>
    </w:p>
    <w:p w:rsidR="000215C5" w:rsidRDefault="00703023">
      <w:pPr>
        <w:pStyle w:val="Liststycke"/>
        <w:numPr>
          <w:ilvl w:val="0"/>
          <w:numId w:val="80"/>
        </w:numPr>
        <w:spacing w:after="120"/>
        <w:jc w:val="both"/>
        <w:rPr>
          <w:szCs w:val="24"/>
        </w:rPr>
      </w:pPr>
      <w:r>
        <w:t>Det prioriterade ämnet har förbättrats från otillfredsställande till god kemisk status sedan rapporteringen om den första förvaltningsplanen (posten swPrioritySubstanceImprovingChemicalStatus).</w:t>
      </w:r>
    </w:p>
    <w:p w:rsidR="000215C5" w:rsidRDefault="00703023">
      <w:pPr>
        <w:pStyle w:val="Liststycke"/>
        <w:numPr>
          <w:ilvl w:val="0"/>
          <w:numId w:val="80"/>
        </w:numPr>
        <w:spacing w:after="120"/>
        <w:jc w:val="both"/>
        <w:rPr>
          <w:szCs w:val="24"/>
        </w:rPr>
      </w:pPr>
      <w:r>
        <w:t>De strängare miljökvalitetsnormer som infördes i och med direktiv 2013/39/EU ledde till att ytvattenförekomstens status föreföll försämras (posten swPrioritySubstanceEffectStatusNewThresholds).</w:t>
      </w:r>
    </w:p>
    <w:p w:rsidR="000215C5" w:rsidRDefault="00703023">
      <w:pPr>
        <w:pStyle w:val="Liststycke"/>
        <w:numPr>
          <w:ilvl w:val="0"/>
          <w:numId w:val="80"/>
        </w:numPr>
        <w:spacing w:after="120"/>
        <w:jc w:val="both"/>
        <w:rPr>
          <w:szCs w:val="24"/>
        </w:rPr>
      </w:pPr>
      <w:r>
        <w:t xml:space="preserve">Det prioriterade ämnet överskrider eller förväntas överskrida miljökvalitetsnormen inom blandningszonen (valfri post swPrioritySubstanceExceedanceInMixingZone).   </w:t>
      </w:r>
    </w:p>
    <w:p w:rsidR="000215C5" w:rsidRDefault="000215C5">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rPr>
            </w:pPr>
            <w:r>
              <w:rPr>
                <w:b/>
              </w:rPr>
              <w:t>Mall: SWB (fortsättning)</w:t>
            </w:r>
          </w:p>
        </w:tc>
      </w:tr>
      <w:tr w:rsidR="000215C5">
        <w:tc>
          <w:tcPr>
            <w:tcW w:w="9889" w:type="dxa"/>
            <w:shd w:val="clear" w:color="auto" w:fill="auto"/>
          </w:tcPr>
          <w:p w:rsidR="000215C5" w:rsidRDefault="00703023">
            <w:pPr>
              <w:spacing w:after="120"/>
              <w:jc w:val="both"/>
              <w:rPr>
                <w:b/>
                <w:i/>
                <w:szCs w:val="24"/>
              </w:rPr>
            </w:pPr>
            <w:r>
              <w:rPr>
                <w:b/>
                <w:i/>
              </w:rPr>
              <w:t>Klass: SWPrioritySubstance</w:t>
            </w:r>
          </w:p>
          <w:p w:rsidR="000215C5" w:rsidRDefault="00703023">
            <w:pPr>
              <w:spacing w:after="120"/>
              <w:jc w:val="both"/>
              <w:rPr>
                <w:b/>
                <w:i/>
              </w:rPr>
            </w:pPr>
            <w:r>
              <w:rPr>
                <w:b/>
                <w:i/>
              </w:rPr>
              <w:t>Egenskaper</w:t>
            </w:r>
            <w:r>
              <w:rPr>
                <w:i/>
              </w:rPr>
              <w:t>: max Occur: unbounded minOccur: 0</w:t>
            </w:r>
          </w:p>
        </w:tc>
      </w:tr>
      <w:tr w:rsidR="000215C5">
        <w:tc>
          <w:tcPr>
            <w:tcW w:w="9889" w:type="dxa"/>
            <w:shd w:val="clear" w:color="auto" w:fill="auto"/>
          </w:tcPr>
          <w:p w:rsidR="000215C5" w:rsidRDefault="00703023">
            <w:pPr>
              <w:spacing w:after="120"/>
              <w:jc w:val="both"/>
              <w:rPr>
                <w:b/>
              </w:rPr>
            </w:pPr>
            <w:r>
              <w:rPr>
                <w:b/>
              </w:rPr>
              <w:t>Mallpost</w:t>
            </w:r>
            <w:r>
              <w:t>: wPrioritySubstanceCode</w:t>
            </w:r>
          </w:p>
          <w:p w:rsidR="000215C5" w:rsidRDefault="00703023">
            <w:pPr>
              <w:spacing w:after="120"/>
              <w:jc w:val="both"/>
              <w:rPr>
                <w:szCs w:val="24"/>
              </w:rPr>
            </w:pPr>
            <w:r>
              <w:rPr>
                <w:b/>
              </w:rPr>
              <w:t>Fälttyp/alternativ/förhållande</w:t>
            </w:r>
            <w:r>
              <w:t xml:space="preserve">: PS_Enum (se bilaga 8d) </w:t>
            </w:r>
          </w:p>
          <w:p w:rsidR="000215C5" w:rsidRDefault="00703023">
            <w:pPr>
              <w:tabs>
                <w:tab w:val="left" w:pos="5925"/>
              </w:tabs>
              <w:spacing w:after="120"/>
              <w:jc w:val="both"/>
            </w:pPr>
            <w:r>
              <w:rPr>
                <w:b/>
              </w:rPr>
              <w:t>Egenskaper</w:t>
            </w:r>
            <w:r>
              <w:t>: maxOccurs = 1 minOccurs = 1</w:t>
            </w:r>
          </w:p>
          <w:p w:rsidR="000215C5" w:rsidRDefault="00703023">
            <w:pPr>
              <w:spacing w:after="120"/>
              <w:ind w:left="41"/>
              <w:jc w:val="both"/>
              <w:rPr>
                <w:szCs w:val="24"/>
              </w:rPr>
            </w:pPr>
            <w:r>
              <w:rPr>
                <w:b/>
              </w:rPr>
              <w:t>Vägledning om hur man fyller i mallposten</w:t>
            </w:r>
            <w:r>
              <w:t>: Krävs</w:t>
            </w:r>
            <w:r>
              <w:rPr>
                <w:rStyle w:val="Fotnotsreferens"/>
              </w:rPr>
              <w:footnoteReference w:id="35"/>
            </w:r>
            <w:r>
              <w:t xml:space="preserve">. Rapportera varje ämne som stämmer in på </w:t>
            </w:r>
            <w:r>
              <w:rPr>
                <w:u w:val="single"/>
              </w:rPr>
              <w:t>en eller flera</w:t>
            </w:r>
            <w:r>
              <w:t xml:space="preserve"> av följande förhållanden i den berörda vattenförekomsten:</w:t>
            </w:r>
          </w:p>
          <w:p w:rsidR="000215C5" w:rsidRDefault="00703023">
            <w:pPr>
              <w:spacing w:after="120"/>
              <w:ind w:left="41"/>
              <w:jc w:val="both"/>
              <w:rPr>
                <w:szCs w:val="24"/>
              </w:rPr>
            </w:pPr>
            <w:r>
              <w:t>– Ämnet leder till att kemisk status inte uppnås eftersom det överskrider de relevanta miljökvalitetsnormerna (posterna swPrioritySubstanceCausingFailure och swPrioritySubstanceExceedanceType).</w:t>
            </w:r>
          </w:p>
          <w:p w:rsidR="000215C5" w:rsidRDefault="00703023">
            <w:pPr>
              <w:spacing w:after="120"/>
              <w:ind w:left="41"/>
              <w:jc w:val="both"/>
              <w:rPr>
                <w:szCs w:val="24"/>
              </w:rPr>
            </w:pPr>
            <w:r>
              <w:t>– Det prioriterade ämnet har förbättrats från otillfredsställande till god kemisk status sedan rapporteringen om den första förvaltningsplanen (posten swPrioritySubstanceImprovingChemicalStatus).</w:t>
            </w:r>
          </w:p>
          <w:p w:rsidR="000215C5" w:rsidRDefault="00703023">
            <w:pPr>
              <w:spacing w:after="120"/>
              <w:ind w:left="41"/>
              <w:jc w:val="both"/>
              <w:rPr>
                <w:szCs w:val="24"/>
              </w:rPr>
            </w:pPr>
            <w:r>
              <w:t>– De strängare miljökvalitetsnormer som infördes i och med direktiv 2013/39/EU ledde till att ytvattenförekomstens status föreföll försämras (posten swPrioritySubstanceEffectStatusNewThresholds).</w:t>
            </w:r>
          </w:p>
          <w:p w:rsidR="000215C5" w:rsidRDefault="00703023">
            <w:pPr>
              <w:tabs>
                <w:tab w:val="left" w:pos="5925"/>
              </w:tabs>
              <w:spacing w:after="120"/>
              <w:jc w:val="both"/>
            </w:pPr>
            <w:r>
              <w:t>– Det prioriterade ämnet överskrider eller förväntas överskrida miljökvalitetsnormen inom blandningszonen (valfri post swPrioritySubstanceExceedanceInMixingZone).</w:t>
            </w:r>
          </w:p>
        </w:tc>
      </w:tr>
      <w:tr w:rsidR="000215C5">
        <w:tc>
          <w:tcPr>
            <w:tcW w:w="9889" w:type="dxa"/>
            <w:shd w:val="clear" w:color="auto" w:fill="auto"/>
          </w:tcPr>
          <w:p w:rsidR="000215C5" w:rsidRPr="00D95552" w:rsidRDefault="00703023">
            <w:pPr>
              <w:spacing w:after="120"/>
              <w:jc w:val="both"/>
              <w:rPr>
                <w:b/>
              </w:rPr>
            </w:pPr>
            <w:r w:rsidRPr="00D95552">
              <w:rPr>
                <w:b/>
              </w:rPr>
              <w:t>Mallpost</w:t>
            </w:r>
            <w:r w:rsidRPr="00D95552">
              <w:t>: swPrioritySubstanceCausingFailure</w:t>
            </w:r>
          </w:p>
          <w:p w:rsidR="000215C5" w:rsidRPr="00D95552" w:rsidRDefault="00703023">
            <w:pPr>
              <w:spacing w:after="120"/>
              <w:jc w:val="both"/>
              <w:rPr>
                <w:szCs w:val="24"/>
              </w:rPr>
            </w:pPr>
            <w:r w:rsidRPr="00D95552">
              <w:rPr>
                <w:b/>
              </w:rPr>
              <w:t>Fälttyp/alternativ/förhållande</w:t>
            </w:r>
            <w:r w:rsidRPr="00D95552">
              <w:t xml:space="preserve">: YesNoCode_Enum: Yes, No </w:t>
            </w:r>
          </w:p>
          <w:p w:rsidR="000215C5" w:rsidRDefault="00703023">
            <w:pPr>
              <w:tabs>
                <w:tab w:val="left" w:pos="5925"/>
              </w:tabs>
              <w:spacing w:after="120"/>
              <w:jc w:val="both"/>
            </w:pPr>
            <w:r>
              <w:rPr>
                <w:b/>
              </w:rPr>
              <w:t>Egenskaper</w:t>
            </w:r>
            <w:r>
              <w:t>: maxOccurs = 1 minOccurs = 1</w:t>
            </w:r>
          </w:p>
          <w:p w:rsidR="000215C5" w:rsidRDefault="00703023">
            <w:pPr>
              <w:spacing w:after="120"/>
              <w:ind w:left="41"/>
              <w:jc w:val="both"/>
              <w:rPr>
                <w:szCs w:val="24"/>
              </w:rPr>
            </w:pPr>
            <w:r>
              <w:rPr>
                <w:b/>
              </w:rPr>
              <w:t>Vägledning om hur man fyller i mallposten</w:t>
            </w:r>
            <w:r>
              <w:t>: Krävs. Ange om det prioriterade ämnet leder till att vattenförekomsten inte uppnår god kemisk status.</w:t>
            </w:r>
          </w:p>
          <w:p w:rsidR="000215C5" w:rsidRDefault="00703023">
            <w:pPr>
              <w:tabs>
                <w:tab w:val="left" w:pos="5925"/>
              </w:tabs>
              <w:spacing w:after="120"/>
              <w:jc w:val="both"/>
              <w:rPr>
                <w:szCs w:val="24"/>
              </w:rPr>
            </w:pPr>
            <w:r>
              <w:t>Information om överskridanden som orsakas av allmänt förekommande ämnen ska rapporteras.</w:t>
            </w:r>
          </w:p>
          <w:p w:rsidR="000215C5" w:rsidRDefault="00703023">
            <w:pPr>
              <w:tabs>
                <w:tab w:val="left" w:pos="5925"/>
              </w:tabs>
              <w:spacing w:after="120"/>
              <w:jc w:val="both"/>
              <w:rPr>
                <w:szCs w:val="24"/>
              </w:rPr>
            </w:pPr>
            <w:r>
              <w:t xml:space="preserve">När det gäller ämnen vars miljökvalitetsnormer skärptes i 2013 års ändring av MKN-direktivet (antracen, bromerade difenyletrar, fluoranten, bly och blyföreningar, naftalen, nickel och nickelföreningar samt polyaromatiska kolväten (PAH)), ska överskridanden enligt både EQS 2008 och 2013 rapporteras här. Överskridanden av EQS 2013 ska rapporteras även när swChemicalStatusValue är god enligt 2008 års mindre stränga normer för att möjliggöra rapportering av swChemicalExceedancesType och, i förekommande fall, av swChemicalExemptionType och swChemicalExemptionPressure. Ämnen som orsakar överskridanden av EQS 2013 men inte av EQS 2008 ska också rapporteras under posten swEffectStatusNewThresholds. Se tabellen i slutet av denna vägledning över olika scenarier för dessa ämnen och motsvarande rapporteringsvärden. </w:t>
            </w:r>
          </w:p>
          <w:p w:rsidR="000215C5" w:rsidRDefault="00703023">
            <w:pPr>
              <w:spacing w:after="120"/>
              <w:jc w:val="both"/>
              <w:rPr>
                <w:szCs w:val="24"/>
              </w:rPr>
            </w:pPr>
            <w:r>
              <w:rPr>
                <w:b/>
              </w:rPr>
              <w:t>Kvalitetskontroller</w:t>
            </w:r>
            <w:r>
              <w:t xml:space="preserve">: Om swChemicalStatusValue är 3 ska minst ett ämne rapporteras som ”Yes” i swPrioritySubstanceCausingFailure. </w:t>
            </w:r>
          </w:p>
          <w:p w:rsidR="000215C5" w:rsidRDefault="00703023">
            <w:pPr>
              <w:spacing w:after="120"/>
              <w:jc w:val="both"/>
              <w:rPr>
                <w:b/>
              </w:rPr>
            </w:pPr>
            <w:r>
              <w:t xml:space="preserve">De ämnen som rapporteras under swEffectStatusNewThresholds måste här rapporteras som överskridanden. </w:t>
            </w:r>
          </w:p>
        </w:tc>
      </w:tr>
      <w:tr w:rsidR="000215C5">
        <w:tc>
          <w:tcPr>
            <w:tcW w:w="9889" w:type="dxa"/>
            <w:shd w:val="clear" w:color="auto" w:fill="auto"/>
          </w:tcPr>
          <w:p w:rsidR="000215C5" w:rsidRDefault="00703023">
            <w:pPr>
              <w:spacing w:after="120"/>
              <w:jc w:val="both"/>
              <w:rPr>
                <w:b/>
              </w:rPr>
            </w:pPr>
            <w:r>
              <w:rPr>
                <w:b/>
              </w:rPr>
              <w:t>Mallpost</w:t>
            </w:r>
            <w:r>
              <w:t>: swPrioritySubstanceExceedanceType</w:t>
            </w:r>
          </w:p>
          <w:p w:rsidR="000215C5" w:rsidRDefault="00703023">
            <w:pPr>
              <w:spacing w:after="120"/>
              <w:jc w:val="both"/>
              <w:rPr>
                <w:szCs w:val="24"/>
              </w:rPr>
            </w:pPr>
            <w:r>
              <w:rPr>
                <w:b/>
              </w:rPr>
              <w:t>Fälttyp/alternativ/förhållande</w:t>
            </w:r>
            <w:r>
              <w:t>: EQStandardType_Enum:</w:t>
            </w:r>
          </w:p>
          <w:p w:rsidR="000215C5" w:rsidRPr="0003666D" w:rsidRDefault="00703023">
            <w:pPr>
              <w:spacing w:after="120"/>
              <w:jc w:val="both"/>
              <w:rPr>
                <w:szCs w:val="24"/>
                <w:lang w:val="en-GB"/>
              </w:rPr>
            </w:pPr>
            <w:r w:rsidRPr="0003666D">
              <w:rPr>
                <w:lang w:val="en-GB"/>
              </w:rPr>
              <w:t>AA EQS</w:t>
            </w:r>
          </w:p>
          <w:p w:rsidR="000215C5" w:rsidRPr="0003666D" w:rsidRDefault="00703023">
            <w:pPr>
              <w:spacing w:after="120"/>
              <w:jc w:val="both"/>
              <w:rPr>
                <w:szCs w:val="24"/>
                <w:lang w:val="en-GB"/>
              </w:rPr>
            </w:pPr>
            <w:r w:rsidRPr="0003666D">
              <w:rPr>
                <w:lang w:val="en-GB"/>
              </w:rPr>
              <w:t>MAC EQS</w:t>
            </w:r>
          </w:p>
          <w:p w:rsidR="000215C5" w:rsidRPr="0003666D" w:rsidRDefault="00703023">
            <w:pPr>
              <w:spacing w:after="120"/>
              <w:jc w:val="both"/>
              <w:rPr>
                <w:szCs w:val="24"/>
                <w:lang w:val="en-GB"/>
              </w:rPr>
            </w:pPr>
            <w:r w:rsidRPr="0003666D">
              <w:rPr>
                <w:lang w:val="en-GB"/>
              </w:rPr>
              <w:t>Both</w:t>
            </w:r>
          </w:p>
          <w:p w:rsidR="000215C5" w:rsidRPr="0003666D" w:rsidRDefault="00703023">
            <w:pPr>
              <w:spacing w:after="120"/>
              <w:jc w:val="both"/>
              <w:rPr>
                <w:lang w:val="en-GB"/>
              </w:rPr>
            </w:pPr>
            <w:r w:rsidRPr="0003666D">
              <w:rPr>
                <w:b/>
                <w:lang w:val="en-GB"/>
              </w:rPr>
              <w:t>Egenskaper</w:t>
            </w:r>
            <w:r w:rsidRPr="0003666D">
              <w:rPr>
                <w:lang w:val="en-GB"/>
              </w:rPr>
              <w:t>: maxOccurs = 1 minOccurs = 0</w:t>
            </w:r>
          </w:p>
          <w:p w:rsidR="000215C5" w:rsidRDefault="00703023">
            <w:pPr>
              <w:tabs>
                <w:tab w:val="left" w:pos="5925"/>
              </w:tabs>
              <w:spacing w:after="120"/>
              <w:jc w:val="both"/>
              <w:rPr>
                <w:szCs w:val="24"/>
              </w:rPr>
            </w:pPr>
            <w:r>
              <w:rPr>
                <w:b/>
              </w:rPr>
              <w:t>Vägledning om hur man fyller i mallposten</w:t>
            </w:r>
            <w:r>
              <w:t>: Villkorlig. För varje prioriterat ämne som överskrider kvalitetsnormerna, ange vilken miljökvalitetsnorm som överskrids.</w:t>
            </w:r>
          </w:p>
          <w:p w:rsidR="000215C5" w:rsidRDefault="00703023">
            <w:pPr>
              <w:tabs>
                <w:tab w:val="left" w:pos="5925"/>
              </w:tabs>
              <w:spacing w:after="120"/>
              <w:jc w:val="both"/>
              <w:rPr>
                <w:szCs w:val="24"/>
              </w:rPr>
            </w:pPr>
            <w:r>
              <w:t>AA EQS = Årligt genomsnitt för miljökvalitetsnormen.</w:t>
            </w:r>
          </w:p>
          <w:p w:rsidR="000215C5" w:rsidRDefault="00703023">
            <w:pPr>
              <w:tabs>
                <w:tab w:val="left" w:pos="5925"/>
              </w:tabs>
              <w:spacing w:after="120"/>
              <w:jc w:val="both"/>
              <w:rPr>
                <w:szCs w:val="24"/>
              </w:rPr>
            </w:pPr>
            <w:r>
              <w:t>MAC EQS = Högsta tillåtna koncentration för miljökvalitetsnormen.</w:t>
            </w:r>
          </w:p>
          <w:p w:rsidR="000215C5" w:rsidRDefault="00703023">
            <w:pPr>
              <w:tabs>
                <w:tab w:val="left" w:pos="5925"/>
              </w:tabs>
              <w:spacing w:after="120"/>
              <w:jc w:val="both"/>
              <w:rPr>
                <w:szCs w:val="24"/>
              </w:rPr>
            </w:pPr>
            <w:r>
              <w:t>Both = Båda.</w:t>
            </w:r>
          </w:p>
          <w:p w:rsidR="000215C5" w:rsidRDefault="00703023">
            <w:pPr>
              <w:spacing w:after="120"/>
              <w:jc w:val="both"/>
              <w:rPr>
                <w:b/>
              </w:rPr>
            </w:pPr>
            <w:r>
              <w:rPr>
                <w:b/>
              </w:rPr>
              <w:t>Kvalitetskontroller</w:t>
            </w:r>
            <w:r>
              <w:t>: Villkorlig kontroll: rapportera om swPrioritySubstanceCausingFailure är ”Yes”.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swPrioritySubstanceImprovingChemicalStatus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Rapportera om det prioriterade ämnets status har förbättrats från otillfredsställande till god kemisk status sedan den första förvaltningsplanen. När det gäller prioriterade ämnen vars miljökvalitetsnormer ändrades i samband med 2013 års ändring av MKN-direktivet (2013/39/EU), ska förbättringen avse EQS 2008.</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swPrioritySubstanceEffectStatusNewThresholds</w:t>
            </w:r>
          </w:p>
          <w:p w:rsidR="000215C5" w:rsidRDefault="00703023">
            <w:pPr>
              <w:spacing w:after="120"/>
              <w:jc w:val="both"/>
              <w:rPr>
                <w:szCs w:val="24"/>
              </w:rPr>
            </w:pPr>
            <w:r>
              <w:rPr>
                <w:b/>
              </w:rPr>
              <w:t>Fälttyp/alternativ:</w:t>
            </w:r>
            <w:r>
              <w:t xml:space="preserve"> YesNoNotApplicable_Union_Enum: Yes, No, Not applicable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Om det prioriterade ämnet är ett av de sju ämnen för vilka strängare miljökvalitetsnormer infördes genom direktiv 2013/39/EU, ange om den nya normen ledde till att ytvattenförekomstens status föreföll försämras. Om så inte är fallet, rapportera ”Not applicable”.</w:t>
            </w:r>
          </w:p>
          <w:p w:rsidR="000215C5" w:rsidRDefault="00703023">
            <w:pPr>
              <w:spacing w:after="120"/>
              <w:jc w:val="both"/>
              <w:rPr>
                <w:szCs w:val="24"/>
              </w:rPr>
            </w:pPr>
            <w:r>
              <w:t>Bedömningen av orsakerna till att ett prioriterat ämne inte uppnår de nya strängare normerna är relevant för att uppnå målet för god kemisk status 2021 enligt artikel 3.1 a i i direktiv 2008/105/EG om miljökvalitetsnormer, i dess lydelse enligt direktiv 2013/39/EU.</w:t>
            </w:r>
          </w:p>
          <w:p w:rsidR="000215C5" w:rsidRDefault="00703023">
            <w:pPr>
              <w:spacing w:after="120"/>
              <w:jc w:val="both"/>
              <w:rPr>
                <w:szCs w:val="24"/>
              </w:rPr>
            </w:pPr>
            <w:r>
              <w:rPr>
                <w:b/>
              </w:rPr>
              <w:t>Kvalitetskontroller</w:t>
            </w:r>
            <w:r>
              <w:t xml:space="preserve">: Alternativen ”Yes” och ”No” är endast giltiga för följande sju prioriterade ämnen: Antracen, bromerade difenyletrar, fluoranten, bly och blyföreningar, naftalen, nickel och nickelföreningar samt polyaromatiska kolväten (PAH). För alla andra prioriterade ämnen måste alternativet ”Not applicable” rapporteras. </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swPrioritySubstanceExceedanceInMixingZone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Frivilligt. Rapportera om det prioriterade ämnet överskrider eller förväntas överskrida miljökvalitetsnormen inom blandningszonen i ytvattenförekomsten.</w:t>
            </w:r>
          </w:p>
          <w:p w:rsidR="000215C5" w:rsidRDefault="00703023">
            <w:pPr>
              <w:spacing w:after="120"/>
              <w:jc w:val="both"/>
              <w:rPr>
                <w:b/>
                <w:i/>
                <w:szCs w:val="24"/>
              </w:rPr>
            </w:pPr>
            <w:r>
              <w:rPr>
                <w:b/>
              </w:rPr>
              <w:t>Kvalitetskontroller</w:t>
            </w:r>
            <w:r>
              <w:t>: Rapportering är endast möjlig om swMixingZones är ”Yes”.</w:t>
            </w:r>
          </w:p>
        </w:tc>
      </w:tr>
    </w:tbl>
    <w:p w:rsidR="000215C5" w:rsidRDefault="000215C5">
      <w:pPr>
        <w:jc w:val="both"/>
      </w:pPr>
    </w:p>
    <w:p w:rsidR="000215C5" w:rsidRDefault="00703023">
      <w:pPr>
        <w:jc w:val="both"/>
      </w:pPr>
      <w:r>
        <w:t xml:space="preserve">Följande klass (underkategori till SWPrioritySubstances) används för att rapportera undantag på nivån för prioriterade ämnen.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rPr>
            </w:pPr>
            <w:r>
              <w:rPr>
                <w:b/>
              </w:rPr>
              <w:t>Mall: SWB (fortsättning)</w:t>
            </w:r>
          </w:p>
        </w:tc>
      </w:tr>
      <w:tr w:rsidR="000215C5">
        <w:tc>
          <w:tcPr>
            <w:tcW w:w="9889" w:type="dxa"/>
            <w:shd w:val="clear" w:color="auto" w:fill="auto"/>
          </w:tcPr>
          <w:p w:rsidR="000215C5" w:rsidRPr="00D95552" w:rsidRDefault="00703023">
            <w:pPr>
              <w:spacing w:after="120"/>
              <w:jc w:val="both"/>
              <w:rPr>
                <w:b/>
                <w:i/>
                <w:szCs w:val="24"/>
              </w:rPr>
            </w:pPr>
            <w:r w:rsidRPr="00D95552">
              <w:rPr>
                <w:b/>
                <w:i/>
              </w:rPr>
              <w:t>Klass: SWChemicalExemptionType</w:t>
            </w:r>
          </w:p>
          <w:p w:rsidR="000215C5" w:rsidRPr="00D95552" w:rsidRDefault="00703023">
            <w:pPr>
              <w:spacing w:after="120"/>
              <w:jc w:val="both"/>
              <w:rPr>
                <w:i/>
                <w:szCs w:val="24"/>
              </w:rPr>
            </w:pPr>
            <w:r w:rsidRPr="00D95552">
              <w:rPr>
                <w:b/>
                <w:i/>
              </w:rPr>
              <w:t>Egenskaper</w:t>
            </w:r>
            <w:r w:rsidRPr="00D95552">
              <w:rPr>
                <w:i/>
              </w:rPr>
              <w:t>: max Occur: unbounded minOccur: 0</w:t>
            </w:r>
          </w:p>
          <w:p w:rsidR="000215C5" w:rsidRDefault="00703023">
            <w:pPr>
              <w:spacing w:after="120"/>
              <w:jc w:val="both"/>
              <w:rPr>
                <w:b/>
              </w:rPr>
            </w:pPr>
            <w:r>
              <w:rPr>
                <w:i/>
              </w:rPr>
              <w:t>Villkorlig kontroll: rapportera om swPrioritySubstanceCausingFailure är ”Yes”.</w:t>
            </w:r>
          </w:p>
        </w:tc>
      </w:tr>
      <w:tr w:rsidR="000215C5">
        <w:tc>
          <w:tcPr>
            <w:tcW w:w="9889" w:type="dxa"/>
            <w:shd w:val="clear" w:color="auto" w:fill="auto"/>
          </w:tcPr>
          <w:p w:rsidR="000215C5" w:rsidRDefault="00703023">
            <w:pPr>
              <w:spacing w:after="120"/>
              <w:jc w:val="both"/>
              <w:rPr>
                <w:b/>
              </w:rPr>
            </w:pPr>
            <w:r>
              <w:rPr>
                <w:b/>
              </w:rPr>
              <w:t>Mallpost</w:t>
            </w:r>
            <w:r>
              <w:t xml:space="preserve">: swPrioritySubstanceExceedanceType </w:t>
            </w:r>
          </w:p>
          <w:p w:rsidR="000215C5" w:rsidRDefault="00703023">
            <w:pPr>
              <w:spacing w:after="120"/>
              <w:jc w:val="both"/>
              <w:rPr>
                <w:szCs w:val="24"/>
              </w:rPr>
            </w:pPr>
            <w:r>
              <w:rPr>
                <w:b/>
              </w:rPr>
              <w:t xml:space="preserve">Fälttyp/alternativ: </w:t>
            </w:r>
            <w:r>
              <w:t xml:space="preserve">ExemptionType_Enum (se bilaga 8g)  </w:t>
            </w:r>
          </w:p>
          <w:p w:rsidR="000215C5" w:rsidRDefault="00703023">
            <w:pPr>
              <w:spacing w:after="120"/>
              <w:jc w:val="both"/>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Rapportera vilken eller vilka typer av undantag som gäller om god kemisk status inte förväntas uppnås till 2015 för det prioriterade ämnet. Om det förekommer överskridanden av de miljökriterier som skärptes 2013 (för ämnena antracen, bromerade difenyletrar, fluoranten, bly och blyföreningar, naftalen, nickel och nickelföreningar samt polyaromatiska kolväten (PAH)), rapportera vilket eller vilka typer av undantag som gäller om god kemisk status inte förväntas uppnås till 2021. Fler än ett undantag kan vara tillämpligt på ytvattenförekomsten.</w:t>
            </w:r>
          </w:p>
          <w:p w:rsidR="000215C5" w:rsidRDefault="00703023">
            <w:pPr>
              <w:spacing w:after="120"/>
              <w:jc w:val="both"/>
              <w:rPr>
                <w:szCs w:val="24"/>
              </w:rPr>
            </w:pPr>
            <w:r>
              <w:t>Artikel 4.6-undantagen kan också rapporteras om de är relevanta för kemisk status (t.ex. olyckor).</w:t>
            </w:r>
          </w:p>
          <w:p w:rsidR="000215C5" w:rsidRDefault="00703023">
            <w:pPr>
              <w:spacing w:after="120"/>
              <w:jc w:val="both"/>
              <w:rPr>
                <w:szCs w:val="24"/>
              </w:rPr>
            </w:pPr>
            <w:r>
              <w:t>Artikel 4.7-undantagen är inte relevanta för god kemisk status och kan därför inte rapporteras.</w:t>
            </w:r>
          </w:p>
          <w:p w:rsidR="000215C5" w:rsidRDefault="00703023">
            <w:pPr>
              <w:spacing w:after="120"/>
              <w:jc w:val="both"/>
            </w:pPr>
            <w:r>
              <w:rPr>
                <w:b/>
              </w:rPr>
              <w:t>Kvalitetskontroller</w:t>
            </w:r>
            <w:r>
              <w:t>:</w:t>
            </w:r>
            <w:r>
              <w:rPr>
                <w:b/>
              </w:rPr>
              <w:t xml:space="preserve"> </w:t>
            </w:r>
          </w:p>
          <w:p w:rsidR="000215C5" w:rsidRDefault="00703023">
            <w:pPr>
              <w:spacing w:after="120"/>
              <w:jc w:val="both"/>
            </w:pPr>
            <w:r>
              <w:t xml:space="preserve">Intern kontroll: ”No exemption” är inte förenligt med något annat alternativ. Om ”No exemption” rapporteras ska inga fler swChemicalExemptionType rapporteras. </w:t>
            </w:r>
          </w:p>
          <w:p w:rsidR="000215C5" w:rsidRDefault="00703023">
            <w:pPr>
              <w:spacing w:after="120"/>
              <w:jc w:val="both"/>
            </w:pPr>
            <w:r>
              <w:t>Alternativen ”Article4(7) – New modification” och ”Article4(7) – Sustainable human development” är inte giltiga för kemisk status och kan därför inte rapporteras.</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swChemicalExemptionPressure</w:t>
            </w:r>
          </w:p>
          <w:p w:rsidR="000215C5" w:rsidRDefault="00703023">
            <w:pPr>
              <w:spacing w:after="120"/>
              <w:jc w:val="both"/>
            </w:pPr>
            <w:r>
              <w:rPr>
                <w:b/>
              </w:rPr>
              <w:t>Fälttyp/alternativ:</w:t>
            </w:r>
            <w:r>
              <w:t xml:space="preserve"> SignificantPressureType_Enum (se bilaga 1a) </w:t>
            </w:r>
          </w:p>
          <w:p w:rsidR="000215C5" w:rsidRDefault="00703023">
            <w:pPr>
              <w:spacing w:after="120"/>
              <w:jc w:val="both"/>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Om något undantag enligt artikel 4.4 eller 4.5 är tillämpligt på denna ytvattenförekomst för kemisk status ska typen eller typerna av betydande påverkan som leder till att målen inte uppnås rapporteras för att motivera undantagen. </w:t>
            </w:r>
          </w:p>
          <w:p w:rsidR="000215C5" w:rsidRDefault="00703023">
            <w:pPr>
              <w:spacing w:after="120"/>
              <w:jc w:val="both"/>
            </w:pPr>
            <w:r>
              <w:rPr>
                <w:b/>
              </w:rPr>
              <w:t>Kvalitetskontroller</w:t>
            </w:r>
            <w:r>
              <w:t>:</w:t>
            </w:r>
            <w:r>
              <w:rPr>
                <w:b/>
              </w:rPr>
              <w:t xml:space="preserve"> </w:t>
            </w:r>
            <w:r>
              <w:t xml:space="preserve">Villkorlig kontroll: Om swChemicalExemptionType inte är ”No exemption” ska minst en typ av betydande påverkan väljas från uppräkningslistan. </w:t>
            </w:r>
          </w:p>
          <w:p w:rsidR="000215C5" w:rsidRDefault="00703023">
            <w:pPr>
              <w:spacing w:after="120"/>
              <w:jc w:val="both"/>
            </w:pPr>
            <w:r>
              <w:t>Alternativen ”No significant pressure”’ och ”Not applicable” är inte giltiga.</w:t>
            </w:r>
          </w:p>
        </w:tc>
      </w:tr>
    </w:tbl>
    <w:p w:rsidR="000215C5" w:rsidRDefault="000215C5">
      <w:pPr>
        <w:jc w:val="both"/>
      </w:pPr>
    </w:p>
    <w:p w:rsidR="000215C5" w:rsidRDefault="00703023">
      <w:pPr>
        <w:jc w:val="both"/>
      </w:pPr>
      <w:r>
        <w:t>För ämnena XYZ (antracen, bromerade difenyletrar, fluoranten, bly och blyföreningar, naftalen, nickel och nickelföreningar samt polyaromatiska kolväten (PAH)), vars miljökvalitetsnormer skärptes i och med ändringen av MKN-direktivet 2013, är följande scenarier möjliga: Tabellen anger lämpliga värden för de valda posterna enligt varje scenario:</w:t>
      </w:r>
    </w:p>
    <w:tbl>
      <w:tblPr>
        <w:tblStyle w:val="Tabellrutnt"/>
        <w:tblW w:w="5000" w:type="pct"/>
        <w:tblLook w:val="04A0" w:firstRow="1" w:lastRow="0" w:firstColumn="1" w:lastColumn="0" w:noHBand="0" w:noVBand="1"/>
      </w:tblPr>
      <w:tblGrid>
        <w:gridCol w:w="2653"/>
        <w:gridCol w:w="1757"/>
        <w:gridCol w:w="1757"/>
        <w:gridCol w:w="1757"/>
        <w:gridCol w:w="1929"/>
      </w:tblGrid>
      <w:tr w:rsidR="000215C5">
        <w:tc>
          <w:tcPr>
            <w:tcW w:w="1365" w:type="pct"/>
            <w:shd w:val="clear" w:color="auto" w:fill="BFBFBF" w:themeFill="background1" w:themeFillShade="BF"/>
          </w:tcPr>
          <w:p w:rsidR="000215C5" w:rsidRDefault="00703023">
            <w:pPr>
              <w:spacing w:after="0"/>
              <w:jc w:val="both"/>
              <w:rPr>
                <w:b/>
                <w:sz w:val="22"/>
                <w:szCs w:val="22"/>
              </w:rPr>
            </w:pPr>
            <w:r>
              <w:rPr>
                <w:b/>
                <w:sz w:val="22"/>
              </w:rPr>
              <w:t>Scenarier</w:t>
            </w:r>
          </w:p>
        </w:tc>
        <w:tc>
          <w:tcPr>
            <w:tcW w:w="910" w:type="pct"/>
            <w:shd w:val="clear" w:color="auto" w:fill="BFBFBF" w:themeFill="background1" w:themeFillShade="BF"/>
          </w:tcPr>
          <w:p w:rsidR="000215C5" w:rsidRDefault="00703023">
            <w:pPr>
              <w:spacing w:after="0"/>
              <w:jc w:val="both"/>
              <w:rPr>
                <w:sz w:val="22"/>
                <w:szCs w:val="22"/>
              </w:rPr>
            </w:pPr>
            <w:r>
              <w:rPr>
                <w:sz w:val="22"/>
              </w:rPr>
              <w:t>Scenario 1:</w:t>
            </w:r>
          </w:p>
          <w:p w:rsidR="000215C5" w:rsidRDefault="00703023">
            <w:pPr>
              <w:spacing w:after="0"/>
              <w:jc w:val="both"/>
              <w:rPr>
                <w:sz w:val="22"/>
                <w:szCs w:val="22"/>
              </w:rPr>
            </w:pPr>
            <w:r>
              <w:rPr>
                <w:sz w:val="22"/>
              </w:rPr>
              <w:t>God kemisk status förväntas uppnås 2015 enligt EQS för både 2008 och 2013.</w:t>
            </w:r>
          </w:p>
        </w:tc>
        <w:tc>
          <w:tcPr>
            <w:tcW w:w="910" w:type="pct"/>
            <w:shd w:val="clear" w:color="auto" w:fill="BFBFBF" w:themeFill="background1" w:themeFillShade="BF"/>
          </w:tcPr>
          <w:p w:rsidR="000215C5" w:rsidRDefault="00703023">
            <w:pPr>
              <w:spacing w:after="0"/>
              <w:jc w:val="both"/>
              <w:rPr>
                <w:sz w:val="22"/>
                <w:szCs w:val="22"/>
              </w:rPr>
            </w:pPr>
            <w:r>
              <w:rPr>
                <w:sz w:val="22"/>
              </w:rPr>
              <w:t>Scenario 2:</w:t>
            </w:r>
          </w:p>
          <w:p w:rsidR="000215C5" w:rsidRDefault="00703023">
            <w:pPr>
              <w:spacing w:after="0"/>
              <w:jc w:val="both"/>
              <w:rPr>
                <w:sz w:val="22"/>
                <w:szCs w:val="22"/>
              </w:rPr>
            </w:pPr>
            <w:r>
              <w:rPr>
                <w:sz w:val="22"/>
              </w:rPr>
              <w:t xml:space="preserve">God kemisk status förväntas uppnås 2015 enligt EQS 2008, men </w:t>
            </w:r>
            <w:r>
              <w:rPr>
                <w:sz w:val="22"/>
                <w:u w:val="single"/>
              </w:rPr>
              <w:t>inte</w:t>
            </w:r>
            <w:r>
              <w:rPr>
                <w:sz w:val="22"/>
              </w:rPr>
              <w:t xml:space="preserve"> enligt EQS 2013, som kommer att uppnås </w:t>
            </w:r>
            <w:r>
              <w:rPr>
                <w:sz w:val="22"/>
                <w:u w:val="single"/>
              </w:rPr>
              <w:t>först 2021</w:t>
            </w:r>
            <w:r>
              <w:rPr>
                <w:sz w:val="22"/>
              </w:rPr>
              <w:t>.</w:t>
            </w:r>
          </w:p>
        </w:tc>
        <w:tc>
          <w:tcPr>
            <w:tcW w:w="910" w:type="pct"/>
            <w:shd w:val="clear" w:color="auto" w:fill="BFBFBF" w:themeFill="background1" w:themeFillShade="BF"/>
          </w:tcPr>
          <w:p w:rsidR="000215C5" w:rsidRDefault="00703023">
            <w:pPr>
              <w:spacing w:after="0"/>
              <w:jc w:val="both"/>
              <w:rPr>
                <w:sz w:val="22"/>
                <w:szCs w:val="22"/>
              </w:rPr>
            </w:pPr>
            <w:r>
              <w:rPr>
                <w:sz w:val="22"/>
              </w:rPr>
              <w:t>Scenario 3:</w:t>
            </w:r>
          </w:p>
          <w:p w:rsidR="000215C5" w:rsidRDefault="00703023">
            <w:pPr>
              <w:spacing w:after="0"/>
              <w:jc w:val="both"/>
              <w:rPr>
                <w:sz w:val="22"/>
                <w:szCs w:val="22"/>
              </w:rPr>
            </w:pPr>
            <w:r>
              <w:rPr>
                <w:sz w:val="22"/>
              </w:rPr>
              <w:t xml:space="preserve">God kemisk status förväntas uppnås 2015 enligt EQS 2008, men </w:t>
            </w:r>
            <w:r>
              <w:rPr>
                <w:sz w:val="22"/>
                <w:u w:val="single"/>
              </w:rPr>
              <w:t>inte</w:t>
            </w:r>
            <w:r>
              <w:rPr>
                <w:sz w:val="22"/>
              </w:rPr>
              <w:t xml:space="preserve"> enligt EQS 2013, som kommer att uppnås </w:t>
            </w:r>
            <w:r>
              <w:rPr>
                <w:sz w:val="22"/>
                <w:u w:val="single"/>
              </w:rPr>
              <w:t>först efter 2021</w:t>
            </w:r>
            <w:r>
              <w:rPr>
                <w:sz w:val="22"/>
              </w:rPr>
              <w:t>.</w:t>
            </w:r>
          </w:p>
        </w:tc>
        <w:tc>
          <w:tcPr>
            <w:tcW w:w="906" w:type="pct"/>
            <w:shd w:val="clear" w:color="auto" w:fill="BFBFBF" w:themeFill="background1" w:themeFillShade="BF"/>
          </w:tcPr>
          <w:p w:rsidR="000215C5" w:rsidRDefault="00703023">
            <w:pPr>
              <w:spacing w:after="0"/>
              <w:jc w:val="both"/>
              <w:rPr>
                <w:sz w:val="22"/>
                <w:szCs w:val="22"/>
              </w:rPr>
            </w:pPr>
            <w:r>
              <w:rPr>
                <w:sz w:val="22"/>
              </w:rPr>
              <w:t>Scenario 4:</w:t>
            </w:r>
          </w:p>
          <w:p w:rsidR="000215C5" w:rsidRDefault="00703023">
            <w:pPr>
              <w:spacing w:after="0"/>
              <w:jc w:val="both"/>
              <w:rPr>
                <w:sz w:val="22"/>
                <w:szCs w:val="22"/>
              </w:rPr>
            </w:pPr>
            <w:r>
              <w:rPr>
                <w:sz w:val="22"/>
              </w:rPr>
              <w:t xml:space="preserve">God status uppnås </w:t>
            </w:r>
            <w:r>
              <w:rPr>
                <w:sz w:val="22"/>
                <w:u w:val="single"/>
              </w:rPr>
              <w:t>inte</w:t>
            </w:r>
            <w:r>
              <w:rPr>
                <w:sz w:val="22"/>
              </w:rPr>
              <w:t xml:space="preserve"> 2015, varken enligt EQS 2008 eller EQS 2013, och förväntas uppnås </w:t>
            </w:r>
            <w:r>
              <w:rPr>
                <w:sz w:val="22"/>
                <w:u w:val="single"/>
              </w:rPr>
              <w:t>först efter 2021</w:t>
            </w:r>
            <w:r>
              <w:rPr>
                <w:sz w:val="22"/>
              </w:rPr>
              <w:t>.</w:t>
            </w:r>
          </w:p>
        </w:tc>
      </w:tr>
      <w:tr w:rsidR="000215C5">
        <w:tc>
          <w:tcPr>
            <w:tcW w:w="1365" w:type="pct"/>
          </w:tcPr>
          <w:p w:rsidR="000215C5" w:rsidRDefault="00703023">
            <w:pPr>
              <w:spacing w:after="0"/>
              <w:jc w:val="both"/>
              <w:rPr>
                <w:sz w:val="22"/>
                <w:szCs w:val="22"/>
              </w:rPr>
            </w:pPr>
            <w:r>
              <w:rPr>
                <w:sz w:val="22"/>
              </w:rPr>
              <w:t>Förväntas god kemisk status uppnås 2015 enligt EQS 2008?</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Ja</w:t>
            </w:r>
          </w:p>
        </w:tc>
        <w:tc>
          <w:tcPr>
            <w:tcW w:w="906" w:type="pct"/>
          </w:tcPr>
          <w:p w:rsidR="000215C5" w:rsidRDefault="00703023">
            <w:pPr>
              <w:spacing w:after="0"/>
              <w:jc w:val="both"/>
              <w:rPr>
                <w:sz w:val="22"/>
                <w:szCs w:val="22"/>
              </w:rPr>
            </w:pPr>
            <w:r>
              <w:rPr>
                <w:sz w:val="22"/>
              </w:rPr>
              <w:t>Nej</w:t>
            </w:r>
          </w:p>
        </w:tc>
      </w:tr>
      <w:tr w:rsidR="000215C5">
        <w:tc>
          <w:tcPr>
            <w:tcW w:w="1365" w:type="pct"/>
          </w:tcPr>
          <w:p w:rsidR="000215C5" w:rsidRDefault="00703023">
            <w:pPr>
              <w:spacing w:after="0"/>
              <w:jc w:val="both"/>
              <w:rPr>
                <w:sz w:val="22"/>
                <w:szCs w:val="22"/>
              </w:rPr>
            </w:pPr>
            <w:r>
              <w:rPr>
                <w:sz w:val="22"/>
              </w:rPr>
              <w:t>Förväntas god kemisk status uppnås 2015 enligt EQS 2013?</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Nej</w:t>
            </w:r>
          </w:p>
        </w:tc>
        <w:tc>
          <w:tcPr>
            <w:tcW w:w="910" w:type="pct"/>
          </w:tcPr>
          <w:p w:rsidR="000215C5" w:rsidRDefault="00703023">
            <w:pPr>
              <w:spacing w:after="0"/>
              <w:jc w:val="both"/>
              <w:rPr>
                <w:sz w:val="22"/>
                <w:szCs w:val="22"/>
              </w:rPr>
            </w:pPr>
            <w:r>
              <w:rPr>
                <w:sz w:val="22"/>
              </w:rPr>
              <w:t xml:space="preserve">Nej </w:t>
            </w:r>
          </w:p>
        </w:tc>
        <w:tc>
          <w:tcPr>
            <w:tcW w:w="906" w:type="pct"/>
          </w:tcPr>
          <w:p w:rsidR="000215C5" w:rsidRDefault="00703023">
            <w:pPr>
              <w:spacing w:after="0"/>
              <w:jc w:val="both"/>
              <w:rPr>
                <w:sz w:val="22"/>
                <w:szCs w:val="22"/>
              </w:rPr>
            </w:pPr>
            <w:r>
              <w:rPr>
                <w:sz w:val="22"/>
              </w:rPr>
              <w:t>Nej</w:t>
            </w:r>
          </w:p>
        </w:tc>
      </w:tr>
      <w:tr w:rsidR="000215C5">
        <w:tc>
          <w:tcPr>
            <w:tcW w:w="1365" w:type="pct"/>
          </w:tcPr>
          <w:p w:rsidR="000215C5" w:rsidRDefault="00703023">
            <w:pPr>
              <w:spacing w:after="0"/>
              <w:jc w:val="both"/>
              <w:rPr>
                <w:sz w:val="22"/>
                <w:szCs w:val="22"/>
              </w:rPr>
            </w:pPr>
            <w:r>
              <w:rPr>
                <w:sz w:val="22"/>
              </w:rPr>
              <w:t>Förväntas god kemisk status uppnås 2021 enligt EQS 2013?</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Nej</w:t>
            </w:r>
          </w:p>
        </w:tc>
        <w:tc>
          <w:tcPr>
            <w:tcW w:w="906" w:type="pct"/>
          </w:tcPr>
          <w:p w:rsidR="000215C5" w:rsidRDefault="00703023">
            <w:pPr>
              <w:spacing w:after="0"/>
              <w:jc w:val="both"/>
              <w:rPr>
                <w:sz w:val="22"/>
                <w:szCs w:val="22"/>
              </w:rPr>
            </w:pPr>
            <w:r>
              <w:rPr>
                <w:sz w:val="22"/>
              </w:rPr>
              <w:t>Nej</w:t>
            </w:r>
          </w:p>
        </w:tc>
      </w:tr>
      <w:tr w:rsidR="000215C5">
        <w:tc>
          <w:tcPr>
            <w:tcW w:w="1365" w:type="pct"/>
            <w:shd w:val="clear" w:color="auto" w:fill="BFBFBF" w:themeFill="background1" w:themeFillShade="BF"/>
          </w:tcPr>
          <w:p w:rsidR="000215C5" w:rsidRDefault="00703023">
            <w:pPr>
              <w:spacing w:after="0"/>
              <w:jc w:val="both"/>
              <w:rPr>
                <w:b/>
                <w:sz w:val="22"/>
                <w:szCs w:val="22"/>
              </w:rPr>
            </w:pPr>
            <w:r>
              <w:rPr>
                <w:b/>
                <w:sz w:val="22"/>
              </w:rPr>
              <w:t>Valda värden för mallposter</w:t>
            </w:r>
          </w:p>
        </w:tc>
        <w:tc>
          <w:tcPr>
            <w:tcW w:w="910" w:type="pct"/>
            <w:shd w:val="clear" w:color="auto" w:fill="BFBFBF" w:themeFill="background1" w:themeFillShade="BF"/>
          </w:tcPr>
          <w:p w:rsidR="000215C5" w:rsidRDefault="000215C5">
            <w:pPr>
              <w:spacing w:after="0"/>
              <w:jc w:val="both"/>
              <w:rPr>
                <w:sz w:val="22"/>
                <w:szCs w:val="22"/>
              </w:rPr>
            </w:pPr>
          </w:p>
        </w:tc>
        <w:tc>
          <w:tcPr>
            <w:tcW w:w="910" w:type="pct"/>
            <w:shd w:val="clear" w:color="auto" w:fill="BFBFBF" w:themeFill="background1" w:themeFillShade="BF"/>
          </w:tcPr>
          <w:p w:rsidR="000215C5" w:rsidRDefault="000215C5">
            <w:pPr>
              <w:spacing w:after="0"/>
              <w:jc w:val="both"/>
              <w:rPr>
                <w:sz w:val="22"/>
                <w:szCs w:val="22"/>
              </w:rPr>
            </w:pPr>
          </w:p>
        </w:tc>
        <w:tc>
          <w:tcPr>
            <w:tcW w:w="910" w:type="pct"/>
            <w:shd w:val="clear" w:color="auto" w:fill="BFBFBF" w:themeFill="background1" w:themeFillShade="BF"/>
          </w:tcPr>
          <w:p w:rsidR="000215C5" w:rsidRDefault="000215C5">
            <w:pPr>
              <w:spacing w:after="0"/>
              <w:jc w:val="both"/>
              <w:rPr>
                <w:sz w:val="22"/>
                <w:szCs w:val="22"/>
              </w:rPr>
            </w:pPr>
          </w:p>
        </w:tc>
        <w:tc>
          <w:tcPr>
            <w:tcW w:w="906" w:type="pct"/>
            <w:shd w:val="clear" w:color="auto" w:fill="BFBFBF" w:themeFill="background1" w:themeFillShade="BF"/>
          </w:tcPr>
          <w:p w:rsidR="000215C5" w:rsidRDefault="000215C5">
            <w:pPr>
              <w:spacing w:after="0"/>
              <w:jc w:val="both"/>
              <w:rPr>
                <w:sz w:val="22"/>
                <w:szCs w:val="22"/>
              </w:rPr>
            </w:pPr>
          </w:p>
        </w:tc>
      </w:tr>
      <w:tr w:rsidR="000215C5">
        <w:tc>
          <w:tcPr>
            <w:tcW w:w="1365" w:type="pct"/>
          </w:tcPr>
          <w:p w:rsidR="000215C5" w:rsidRDefault="00703023">
            <w:pPr>
              <w:spacing w:after="0"/>
              <w:jc w:val="both"/>
              <w:rPr>
                <w:sz w:val="22"/>
                <w:szCs w:val="22"/>
              </w:rPr>
            </w:pPr>
            <w:r>
              <w:rPr>
                <w:sz w:val="22"/>
              </w:rPr>
              <w:t>swChemical StatusValue</w:t>
            </w:r>
          </w:p>
        </w:tc>
        <w:tc>
          <w:tcPr>
            <w:tcW w:w="910" w:type="pct"/>
          </w:tcPr>
          <w:p w:rsidR="000215C5" w:rsidRDefault="00703023">
            <w:pPr>
              <w:spacing w:after="0"/>
              <w:jc w:val="both"/>
              <w:rPr>
                <w:sz w:val="22"/>
                <w:szCs w:val="22"/>
              </w:rPr>
            </w:pPr>
            <w:r>
              <w:rPr>
                <w:sz w:val="22"/>
              </w:rPr>
              <w:t>= 2 (god)*</w:t>
            </w:r>
          </w:p>
        </w:tc>
        <w:tc>
          <w:tcPr>
            <w:tcW w:w="910" w:type="pct"/>
          </w:tcPr>
          <w:p w:rsidR="000215C5" w:rsidRDefault="00703023">
            <w:pPr>
              <w:spacing w:after="0"/>
              <w:jc w:val="both"/>
              <w:rPr>
                <w:sz w:val="22"/>
                <w:szCs w:val="22"/>
              </w:rPr>
            </w:pPr>
            <w:r>
              <w:rPr>
                <w:sz w:val="22"/>
              </w:rPr>
              <w:t>= 2 (god)</w:t>
            </w:r>
          </w:p>
        </w:tc>
        <w:tc>
          <w:tcPr>
            <w:tcW w:w="910" w:type="pct"/>
          </w:tcPr>
          <w:p w:rsidR="000215C5" w:rsidRDefault="00703023">
            <w:pPr>
              <w:spacing w:after="0"/>
              <w:jc w:val="both"/>
              <w:rPr>
                <w:sz w:val="22"/>
                <w:szCs w:val="22"/>
              </w:rPr>
            </w:pPr>
            <w:r>
              <w:rPr>
                <w:sz w:val="22"/>
              </w:rPr>
              <w:t>= 2 (god)</w:t>
            </w:r>
          </w:p>
        </w:tc>
        <w:tc>
          <w:tcPr>
            <w:tcW w:w="906" w:type="pct"/>
          </w:tcPr>
          <w:p w:rsidR="000215C5" w:rsidRDefault="00AC0A95">
            <w:pPr>
              <w:spacing w:after="0"/>
              <w:jc w:val="both"/>
              <w:rPr>
                <w:sz w:val="22"/>
                <w:szCs w:val="22"/>
              </w:rPr>
            </w:pPr>
            <w:r>
              <w:rPr>
                <w:sz w:val="22"/>
              </w:rPr>
              <w:t>= </w:t>
            </w:r>
            <w:r w:rsidR="00703023">
              <w:rPr>
                <w:sz w:val="22"/>
              </w:rPr>
              <w:t>3 (otillfredsställande)</w:t>
            </w:r>
          </w:p>
        </w:tc>
      </w:tr>
      <w:tr w:rsidR="000215C5">
        <w:tc>
          <w:tcPr>
            <w:tcW w:w="1365" w:type="pct"/>
          </w:tcPr>
          <w:p w:rsidR="000215C5" w:rsidRDefault="00703023">
            <w:pPr>
              <w:spacing w:after="0"/>
              <w:jc w:val="both"/>
              <w:rPr>
                <w:sz w:val="22"/>
                <w:szCs w:val="22"/>
              </w:rPr>
            </w:pPr>
            <w:r>
              <w:rPr>
                <w:sz w:val="22"/>
              </w:rPr>
              <w:t>swChemicalStatus</w:t>
            </w:r>
          </w:p>
          <w:p w:rsidR="000215C5" w:rsidRDefault="00703023">
            <w:pPr>
              <w:spacing w:after="0"/>
              <w:jc w:val="both"/>
              <w:rPr>
                <w:sz w:val="22"/>
                <w:szCs w:val="22"/>
              </w:rPr>
            </w:pPr>
            <w:r>
              <w:rPr>
                <w:sz w:val="22"/>
              </w:rPr>
              <w:t xml:space="preserve">ExpectedGoodIn2015 </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Ja</w:t>
            </w:r>
          </w:p>
        </w:tc>
        <w:tc>
          <w:tcPr>
            <w:tcW w:w="906" w:type="pct"/>
          </w:tcPr>
          <w:p w:rsidR="000215C5" w:rsidRDefault="00703023">
            <w:pPr>
              <w:spacing w:after="0"/>
              <w:jc w:val="both"/>
              <w:rPr>
                <w:sz w:val="22"/>
                <w:szCs w:val="22"/>
              </w:rPr>
            </w:pPr>
            <w:r>
              <w:rPr>
                <w:sz w:val="22"/>
              </w:rPr>
              <w:t>Nej</w:t>
            </w:r>
          </w:p>
        </w:tc>
      </w:tr>
      <w:tr w:rsidR="000215C5">
        <w:tc>
          <w:tcPr>
            <w:tcW w:w="1365" w:type="pct"/>
          </w:tcPr>
          <w:p w:rsidR="000215C5" w:rsidRDefault="00703023">
            <w:pPr>
              <w:spacing w:after="0"/>
              <w:jc w:val="both"/>
              <w:rPr>
                <w:sz w:val="22"/>
                <w:szCs w:val="22"/>
              </w:rPr>
            </w:pPr>
            <w:r>
              <w:rPr>
                <w:sz w:val="22"/>
              </w:rPr>
              <w:t>swPrioritySubstance EffectStatusNewThresholds</w:t>
            </w:r>
          </w:p>
        </w:tc>
        <w:tc>
          <w:tcPr>
            <w:tcW w:w="910" w:type="pct"/>
          </w:tcPr>
          <w:p w:rsidR="000215C5" w:rsidRDefault="00703023">
            <w:pPr>
              <w:spacing w:after="0"/>
              <w:jc w:val="both"/>
              <w:rPr>
                <w:sz w:val="22"/>
                <w:szCs w:val="22"/>
              </w:rPr>
            </w:pPr>
            <w:r>
              <w:rPr>
                <w:sz w:val="22"/>
              </w:rPr>
              <w:t>Nej</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Ja</w:t>
            </w:r>
          </w:p>
        </w:tc>
        <w:tc>
          <w:tcPr>
            <w:tcW w:w="906" w:type="pct"/>
          </w:tcPr>
          <w:p w:rsidR="000215C5" w:rsidRDefault="00703023">
            <w:pPr>
              <w:spacing w:after="0"/>
              <w:jc w:val="both"/>
              <w:rPr>
                <w:sz w:val="22"/>
                <w:szCs w:val="22"/>
              </w:rPr>
            </w:pPr>
            <w:r>
              <w:rPr>
                <w:sz w:val="22"/>
              </w:rPr>
              <w:t>Nej</w:t>
            </w:r>
          </w:p>
        </w:tc>
      </w:tr>
      <w:tr w:rsidR="000215C5">
        <w:tc>
          <w:tcPr>
            <w:tcW w:w="1365" w:type="pct"/>
          </w:tcPr>
          <w:p w:rsidR="000215C5" w:rsidRDefault="00703023">
            <w:pPr>
              <w:spacing w:after="0"/>
              <w:jc w:val="both"/>
              <w:rPr>
                <w:sz w:val="22"/>
                <w:szCs w:val="22"/>
              </w:rPr>
            </w:pPr>
            <w:r>
              <w:rPr>
                <w:sz w:val="22"/>
              </w:rPr>
              <w:t>swPrioritySubstance CausingFailure</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Ja</w:t>
            </w:r>
          </w:p>
        </w:tc>
        <w:tc>
          <w:tcPr>
            <w:tcW w:w="910" w:type="pct"/>
          </w:tcPr>
          <w:p w:rsidR="000215C5" w:rsidRDefault="00703023">
            <w:pPr>
              <w:spacing w:after="0"/>
              <w:jc w:val="both"/>
              <w:rPr>
                <w:sz w:val="22"/>
                <w:szCs w:val="22"/>
              </w:rPr>
            </w:pPr>
            <w:r>
              <w:rPr>
                <w:sz w:val="22"/>
              </w:rPr>
              <w:t>Ja</w:t>
            </w:r>
          </w:p>
        </w:tc>
        <w:tc>
          <w:tcPr>
            <w:tcW w:w="906" w:type="pct"/>
          </w:tcPr>
          <w:p w:rsidR="000215C5" w:rsidRDefault="00703023">
            <w:pPr>
              <w:spacing w:after="0"/>
              <w:jc w:val="both"/>
              <w:rPr>
                <w:sz w:val="22"/>
                <w:szCs w:val="22"/>
              </w:rPr>
            </w:pPr>
            <w:r>
              <w:rPr>
                <w:sz w:val="22"/>
              </w:rPr>
              <w:t>Ja</w:t>
            </w:r>
          </w:p>
        </w:tc>
      </w:tr>
      <w:tr w:rsidR="000215C5">
        <w:tc>
          <w:tcPr>
            <w:tcW w:w="1365" w:type="pct"/>
          </w:tcPr>
          <w:p w:rsidR="000215C5" w:rsidRDefault="00703023">
            <w:pPr>
              <w:spacing w:after="0"/>
              <w:jc w:val="both"/>
              <w:rPr>
                <w:sz w:val="22"/>
                <w:szCs w:val="22"/>
              </w:rPr>
            </w:pPr>
            <w:r>
              <w:rPr>
                <w:sz w:val="22"/>
              </w:rPr>
              <w:t>swChemical ExemptionType</w:t>
            </w:r>
          </w:p>
        </w:tc>
        <w:tc>
          <w:tcPr>
            <w:tcW w:w="910" w:type="pct"/>
          </w:tcPr>
          <w:p w:rsidR="000215C5" w:rsidRDefault="00703023">
            <w:pPr>
              <w:spacing w:after="0"/>
              <w:jc w:val="both"/>
              <w:rPr>
                <w:sz w:val="22"/>
                <w:szCs w:val="22"/>
              </w:rPr>
            </w:pPr>
            <w:r>
              <w:rPr>
                <w:sz w:val="22"/>
              </w:rPr>
              <w:t>Inget undantag</w:t>
            </w:r>
          </w:p>
        </w:tc>
        <w:tc>
          <w:tcPr>
            <w:tcW w:w="910" w:type="pct"/>
          </w:tcPr>
          <w:p w:rsidR="000215C5" w:rsidRDefault="00703023">
            <w:pPr>
              <w:spacing w:after="0"/>
              <w:jc w:val="both"/>
              <w:rPr>
                <w:sz w:val="22"/>
                <w:szCs w:val="22"/>
              </w:rPr>
            </w:pPr>
            <w:r>
              <w:rPr>
                <w:sz w:val="22"/>
              </w:rPr>
              <w:t>Inget undantag</w:t>
            </w:r>
          </w:p>
        </w:tc>
        <w:tc>
          <w:tcPr>
            <w:tcW w:w="910" w:type="pct"/>
          </w:tcPr>
          <w:p w:rsidR="000215C5" w:rsidRDefault="00703023">
            <w:pPr>
              <w:spacing w:after="0"/>
              <w:jc w:val="both"/>
              <w:rPr>
                <w:sz w:val="22"/>
                <w:szCs w:val="22"/>
              </w:rPr>
            </w:pPr>
            <w:r>
              <w:rPr>
                <w:sz w:val="22"/>
              </w:rPr>
              <w:t>Välj typ av undantag</w:t>
            </w:r>
          </w:p>
        </w:tc>
        <w:tc>
          <w:tcPr>
            <w:tcW w:w="906" w:type="pct"/>
          </w:tcPr>
          <w:p w:rsidR="000215C5" w:rsidRDefault="00703023">
            <w:pPr>
              <w:spacing w:after="0"/>
              <w:jc w:val="both"/>
              <w:rPr>
                <w:sz w:val="22"/>
                <w:szCs w:val="22"/>
              </w:rPr>
            </w:pPr>
            <w:r>
              <w:rPr>
                <w:sz w:val="22"/>
              </w:rPr>
              <w:t>Välj typ av undantag</w:t>
            </w:r>
          </w:p>
        </w:tc>
      </w:tr>
    </w:tbl>
    <w:p w:rsidR="000215C5" w:rsidRDefault="000215C5">
      <w:pPr>
        <w:spacing w:after="0"/>
        <w:jc w:val="both"/>
        <w:rPr>
          <w:sz w:val="22"/>
          <w:szCs w:val="22"/>
        </w:rPr>
      </w:pPr>
    </w:p>
    <w:p w:rsidR="000215C5" w:rsidRPr="006E59C8" w:rsidRDefault="00703023">
      <w:pPr>
        <w:spacing w:after="0"/>
        <w:jc w:val="both"/>
        <w:rPr>
          <w:sz w:val="22"/>
          <w:szCs w:val="22"/>
          <w:lang w:val="en-GB"/>
        </w:rPr>
      </w:pPr>
      <w:r w:rsidRPr="006E59C8">
        <w:rPr>
          <w:sz w:val="22"/>
          <w:lang w:val="en-GB"/>
        </w:rPr>
        <w:t>GCS betyder Good Chemical Status.</w:t>
      </w:r>
    </w:p>
    <w:p w:rsidR="000215C5" w:rsidRDefault="00703023">
      <w:pPr>
        <w:spacing w:after="0"/>
        <w:jc w:val="both"/>
        <w:rPr>
          <w:sz w:val="22"/>
          <w:szCs w:val="22"/>
        </w:rPr>
      </w:pPr>
      <w:r>
        <w:rPr>
          <w:sz w:val="22"/>
        </w:rPr>
        <w:t xml:space="preserve">Observera att denna tabell endast innehåller ett urval av posterna i denna del av mallen. De poster som inte finns med här ska i förekommande fall rapporteras i alla scenarier enligt befintlig vägledning. </w:t>
      </w:r>
    </w:p>
    <w:p w:rsidR="000215C5" w:rsidRDefault="00703023">
      <w:pPr>
        <w:spacing w:after="0"/>
        <w:jc w:val="both"/>
        <w:rPr>
          <w:sz w:val="20"/>
          <w:szCs w:val="22"/>
        </w:rPr>
      </w:pPr>
      <w:r>
        <w:rPr>
          <w:sz w:val="22"/>
        </w:rPr>
        <w:t>* I vissa fall kan swChemicalStatusValue vara 3 (otillfredsställande) när god kemisk status förväntas uppnås 2015. Se vägledning om hur man fyller i posten swChemicalStatusExpectedGoodIn2015.</w:t>
      </w:r>
      <w:r>
        <w:rPr>
          <w:sz w:val="20"/>
        </w:rPr>
        <w:t xml:space="preserve"> </w:t>
      </w:r>
    </w:p>
    <w:p w:rsidR="000215C5" w:rsidRDefault="000215C5">
      <w:pPr>
        <w:jc w:val="both"/>
      </w:pPr>
    </w:p>
    <w:p w:rsidR="000215C5" w:rsidRDefault="00703023">
      <w:pPr>
        <w:pStyle w:val="Rubrik1"/>
        <w:jc w:val="both"/>
      </w:pPr>
      <w:bookmarkStart w:id="149" w:name="_Toc400669376"/>
      <w:bookmarkStart w:id="150" w:name="_Toc400669842"/>
      <w:bookmarkStart w:id="151" w:name="_Toc400670181"/>
      <w:bookmarkStart w:id="152" w:name="_Toc400670518"/>
      <w:bookmarkStart w:id="153" w:name="_Toc400670853"/>
      <w:bookmarkStart w:id="154" w:name="_Toc400671158"/>
      <w:bookmarkStart w:id="155" w:name="_Toc400671470"/>
      <w:bookmarkStart w:id="156" w:name="_Toc400671765"/>
      <w:bookmarkStart w:id="157" w:name="_Toc400714633"/>
      <w:bookmarkStart w:id="158" w:name="_Toc400714862"/>
      <w:bookmarkStart w:id="159" w:name="_Toc400715088"/>
      <w:bookmarkStart w:id="160" w:name="_Toc400715312"/>
      <w:bookmarkStart w:id="161" w:name="_Toc400715532"/>
      <w:bookmarkStart w:id="162" w:name="_Toc400715749"/>
      <w:bookmarkStart w:id="163" w:name="_Toc400715960"/>
      <w:bookmarkStart w:id="164" w:name="_Toc400716171"/>
      <w:bookmarkStart w:id="165" w:name="_Toc400716372"/>
      <w:bookmarkStart w:id="166" w:name="_Toc400716577"/>
      <w:bookmarkStart w:id="167" w:name="_Toc400716776"/>
      <w:bookmarkStart w:id="168" w:name="_Toc400716961"/>
      <w:bookmarkStart w:id="169" w:name="_Toc400717141"/>
      <w:bookmarkStart w:id="170" w:name="_Toc400717314"/>
      <w:bookmarkStart w:id="171" w:name="_Toc400717489"/>
      <w:bookmarkStart w:id="172" w:name="_Toc400717658"/>
      <w:bookmarkStart w:id="173" w:name="_Toc400717808"/>
      <w:bookmarkStart w:id="174" w:name="_Toc400717940"/>
      <w:bookmarkStart w:id="175" w:name="_Toc400720334"/>
      <w:bookmarkStart w:id="176" w:name="_Toc375220056"/>
      <w:bookmarkStart w:id="177" w:name="_Toc386464217"/>
      <w:bookmarkStart w:id="178" w:name="_Toc425522044"/>
      <w:bookmarkStart w:id="179" w:name="_Toc432666056"/>
      <w:bookmarkStart w:id="180" w:name="_Toc437520252"/>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Rapportering på grundvattenförekomstnivå (mall GWB)</w:t>
      </w:r>
      <w:bookmarkEnd w:id="176"/>
      <w:bookmarkEnd w:id="177"/>
      <w:bookmarkEnd w:id="178"/>
      <w:bookmarkEnd w:id="179"/>
      <w:bookmarkEnd w:id="180"/>
    </w:p>
    <w:p w:rsidR="000215C5" w:rsidRDefault="00703023">
      <w:pPr>
        <w:pStyle w:val="Rubrik2"/>
        <w:jc w:val="both"/>
      </w:pPr>
      <w:bookmarkStart w:id="181" w:name="_Toc425522045"/>
      <w:bookmarkStart w:id="182" w:name="_Toc432666057"/>
      <w:bookmarkStart w:id="183" w:name="_Toc437520253"/>
      <w:r>
        <w:t>Översikt av strukturen för innehållet i rapporteringen 2016</w:t>
      </w:r>
      <w:bookmarkEnd w:id="181"/>
      <w:bookmarkEnd w:id="182"/>
      <w:bookmarkEnd w:id="183"/>
    </w:p>
    <w:p w:rsidR="000215C5" w:rsidRDefault="00703023">
      <w:pPr>
        <w:jc w:val="both"/>
      </w:pPr>
      <w:r>
        <w:t>Rapportering på grundvattenförekomstnivå görs för varje avrinningsdistrikt. Innehållet i rapporteringen struktureras i följande delkapitel i denna vägledning:</w:t>
      </w:r>
    </w:p>
    <w:p w:rsidR="000215C5" w:rsidRDefault="00703023">
      <w:pPr>
        <w:pStyle w:val="Liststycke"/>
        <w:numPr>
          <w:ilvl w:val="0"/>
          <w:numId w:val="81"/>
        </w:numPr>
        <w:jc w:val="both"/>
      </w:pPr>
      <w:r>
        <w:t>Karakterisering av grundvattenförekomster</w:t>
      </w:r>
    </w:p>
    <w:p w:rsidR="000215C5" w:rsidRDefault="00703023">
      <w:pPr>
        <w:pStyle w:val="Liststycke"/>
        <w:numPr>
          <w:ilvl w:val="0"/>
          <w:numId w:val="81"/>
        </w:numPr>
        <w:jc w:val="both"/>
      </w:pPr>
      <w:r>
        <w:t>Påverkan och effekter på grundvattenförekomster</w:t>
      </w:r>
    </w:p>
    <w:p w:rsidR="000215C5" w:rsidRDefault="00703023">
      <w:pPr>
        <w:pStyle w:val="Liststycke"/>
        <w:numPr>
          <w:ilvl w:val="0"/>
          <w:numId w:val="81"/>
        </w:numPr>
        <w:jc w:val="both"/>
      </w:pPr>
      <w:r>
        <w:t>Kvantitativ status hos grundvattenförekomster</w:t>
      </w:r>
    </w:p>
    <w:p w:rsidR="000215C5" w:rsidRDefault="00703023">
      <w:pPr>
        <w:pStyle w:val="Liststycke"/>
        <w:numPr>
          <w:ilvl w:val="0"/>
          <w:numId w:val="81"/>
        </w:numPr>
        <w:jc w:val="both"/>
      </w:pPr>
      <w:r>
        <w:t>Kemisk status hos grundvattenförekomster</w:t>
      </w:r>
    </w:p>
    <w:p w:rsidR="000215C5" w:rsidRDefault="00703023">
      <w:pPr>
        <w:jc w:val="both"/>
      </w:pPr>
      <w:r>
        <w:t>Innehållet i rapporteringen beskrivs i följande avsnitt. UML-diagrammet i GWB-mallen finns i bilaga 10.3.</w:t>
      </w:r>
    </w:p>
    <w:p w:rsidR="000215C5" w:rsidRDefault="00703023">
      <w:pPr>
        <w:pStyle w:val="Rubrik2"/>
        <w:jc w:val="both"/>
      </w:pPr>
      <w:bookmarkStart w:id="184" w:name="_Toc375220057"/>
      <w:bookmarkStart w:id="185" w:name="_Toc375294159"/>
      <w:bookmarkStart w:id="186" w:name="_Toc386464218"/>
      <w:bookmarkStart w:id="187" w:name="_Toc425522046"/>
      <w:bookmarkStart w:id="188" w:name="_Toc432666058"/>
      <w:bookmarkStart w:id="189" w:name="_Toc437520254"/>
      <w:r>
        <w:t>Karakterisering</w:t>
      </w:r>
      <w:bookmarkEnd w:id="184"/>
      <w:bookmarkEnd w:id="185"/>
      <w:r>
        <w:t xml:space="preserve"> av grundvatten</w:t>
      </w:r>
      <w:bookmarkEnd w:id="186"/>
      <w:bookmarkEnd w:id="187"/>
      <w:bookmarkEnd w:id="188"/>
      <w:bookmarkEnd w:id="189"/>
    </w:p>
    <w:p w:rsidR="000215C5" w:rsidRDefault="00703023">
      <w:pPr>
        <w:pStyle w:val="Rubrik3"/>
      </w:pPr>
      <w:r>
        <w:t>Inledning</w:t>
      </w:r>
    </w:p>
    <w:p w:rsidR="000215C5" w:rsidRDefault="00703023">
      <w:pPr>
        <w:pStyle w:val="Text3"/>
        <w:tabs>
          <w:tab w:val="clear" w:pos="2302"/>
        </w:tabs>
        <w:ind w:left="0"/>
        <w:jc w:val="both"/>
      </w:pPr>
      <w:r>
        <w:t>Enligt artikel 5 och bilaga II till vattendirektivet ska medlemsstaterna fastställa grundvattenförekomsternas lokalisering och gränser.</w:t>
      </w:r>
    </w:p>
    <w:p w:rsidR="000215C5" w:rsidRDefault="00703023">
      <w:pPr>
        <w:pStyle w:val="Rubrik3"/>
      </w:pPr>
      <w:r>
        <w:t>Hur kommer kommissionen och Europeiska miljöbyrån att använda den rapporterade informationen?</w:t>
      </w:r>
    </w:p>
    <w:p w:rsidR="000215C5" w:rsidRDefault="00703023">
      <w:pPr>
        <w:pStyle w:val="Brdtext"/>
        <w:jc w:val="both"/>
      </w:pPr>
      <w:r>
        <w:t>Kommissionen kommer att använda den information som lämnas för att bedöma om indelningen av grundvatten är lämplig för att beskriva grundvattenförekomsternas status. Informationen kommer även att användas för att bedöma om och i så fall hur medlemsstaterna har genomfört de centrala kraven i vattendirektivet. På EU-nivå kommer statistik och information att lämnas till Europaparlamentet. Allmänheten kommer att få tillgång till informationen via Wise.</w:t>
      </w:r>
    </w:p>
    <w:p w:rsidR="000215C5" w:rsidRDefault="00703023">
      <w:pPr>
        <w:pStyle w:val="Rubrik4"/>
      </w:pPr>
      <w:r>
        <w:t>Produkter från rapporteringen</w:t>
      </w:r>
    </w:p>
    <w:p w:rsidR="000215C5" w:rsidRDefault="00703023">
      <w:pPr>
        <w:jc w:val="both"/>
      </w:pPr>
      <w:r>
        <w:t>Kommissionen eller Europeiska miljöbyrån kommer att ta fram följande produkter baserat på de uppgifter och den information som rapporteras av medlemsstaterna: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1127"/>
        <w:gridCol w:w="1260"/>
        <w:gridCol w:w="2070"/>
        <w:gridCol w:w="1780"/>
        <w:gridCol w:w="1701"/>
      </w:tblGrid>
      <w:tr w:rsidR="000215C5" w:rsidTr="002C508D">
        <w:trPr>
          <w:cantSplit/>
          <w:tblHeader/>
        </w:trPr>
        <w:tc>
          <w:tcPr>
            <w:tcW w:w="455" w:type="dxa"/>
            <w:shd w:val="clear" w:color="auto" w:fill="auto"/>
          </w:tcPr>
          <w:p w:rsidR="000215C5" w:rsidRDefault="00703023">
            <w:pPr>
              <w:spacing w:after="0"/>
              <w:jc w:val="both"/>
              <w:rPr>
                <w:b/>
                <w:sz w:val="18"/>
                <w:szCs w:val="18"/>
              </w:rPr>
            </w:pPr>
            <w:r>
              <w:rPr>
                <w:b/>
                <w:sz w:val="18"/>
              </w:rPr>
              <w:t>Nb</w:t>
            </w:r>
          </w:p>
        </w:tc>
        <w:tc>
          <w:tcPr>
            <w:tcW w:w="1496" w:type="dxa"/>
            <w:shd w:val="clear" w:color="auto" w:fill="auto"/>
          </w:tcPr>
          <w:p w:rsidR="000215C5" w:rsidRDefault="00703023">
            <w:pPr>
              <w:spacing w:after="0"/>
              <w:jc w:val="both"/>
              <w:rPr>
                <w:b/>
                <w:sz w:val="18"/>
                <w:szCs w:val="18"/>
              </w:rPr>
            </w:pPr>
            <w:r>
              <w:rPr>
                <w:b/>
                <w:sz w:val="18"/>
              </w:rPr>
              <w:t>Produktens namn</w:t>
            </w:r>
          </w:p>
        </w:tc>
        <w:tc>
          <w:tcPr>
            <w:tcW w:w="1127" w:type="dxa"/>
            <w:shd w:val="clear" w:color="auto" w:fill="auto"/>
          </w:tcPr>
          <w:p w:rsidR="000215C5" w:rsidRDefault="00703023">
            <w:pPr>
              <w:spacing w:after="0"/>
              <w:jc w:val="both"/>
              <w:rPr>
                <w:b/>
                <w:sz w:val="18"/>
                <w:szCs w:val="18"/>
              </w:rPr>
            </w:pPr>
            <w:r>
              <w:rPr>
                <w:b/>
                <w:sz w:val="18"/>
              </w:rPr>
              <w:t>Produkttyp</w:t>
            </w:r>
          </w:p>
        </w:tc>
        <w:tc>
          <w:tcPr>
            <w:tcW w:w="1260" w:type="dxa"/>
            <w:shd w:val="clear" w:color="auto" w:fill="auto"/>
          </w:tcPr>
          <w:p w:rsidR="000215C5" w:rsidRDefault="00703023">
            <w:pPr>
              <w:spacing w:after="0"/>
              <w:jc w:val="both"/>
              <w:rPr>
                <w:b/>
                <w:sz w:val="18"/>
                <w:szCs w:val="18"/>
              </w:rPr>
            </w:pPr>
            <w:r>
              <w:rPr>
                <w:b/>
                <w:sz w:val="18"/>
              </w:rPr>
              <w:t>Informations</w:t>
            </w:r>
            <w:r w:rsidR="00417E01">
              <w:rPr>
                <w:b/>
                <w:sz w:val="18"/>
              </w:rPr>
              <w:t>-</w:t>
            </w:r>
            <w:r>
              <w:rPr>
                <w:b/>
                <w:sz w:val="18"/>
              </w:rPr>
              <w:t>nivå*</w:t>
            </w:r>
          </w:p>
        </w:tc>
        <w:tc>
          <w:tcPr>
            <w:tcW w:w="2070" w:type="dxa"/>
            <w:shd w:val="clear" w:color="auto" w:fill="auto"/>
          </w:tcPr>
          <w:p w:rsidR="000215C5" w:rsidRDefault="00703023">
            <w:pPr>
              <w:spacing w:after="0"/>
              <w:jc w:val="both"/>
              <w:rPr>
                <w:b/>
                <w:sz w:val="18"/>
                <w:szCs w:val="18"/>
              </w:rPr>
            </w:pPr>
            <w:r>
              <w:rPr>
                <w:b/>
                <w:sz w:val="18"/>
              </w:rPr>
              <w:t>Detaljerad information visas</w:t>
            </w:r>
          </w:p>
        </w:tc>
        <w:tc>
          <w:tcPr>
            <w:tcW w:w="1780"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701"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2C508D">
        <w:trPr>
          <w:cantSplit/>
        </w:trPr>
        <w:tc>
          <w:tcPr>
            <w:tcW w:w="455" w:type="dxa"/>
            <w:shd w:val="clear" w:color="auto" w:fill="auto"/>
          </w:tcPr>
          <w:p w:rsidR="000215C5" w:rsidRDefault="00703023">
            <w:pPr>
              <w:spacing w:after="0"/>
              <w:jc w:val="both"/>
              <w:rPr>
                <w:sz w:val="18"/>
                <w:szCs w:val="18"/>
              </w:rPr>
            </w:pPr>
            <w:r>
              <w:rPr>
                <w:sz w:val="18"/>
              </w:rPr>
              <w:t>1</w:t>
            </w:r>
          </w:p>
        </w:tc>
        <w:tc>
          <w:tcPr>
            <w:tcW w:w="1496" w:type="dxa"/>
            <w:shd w:val="clear" w:color="auto" w:fill="auto"/>
          </w:tcPr>
          <w:p w:rsidR="000215C5" w:rsidRDefault="00703023">
            <w:pPr>
              <w:spacing w:after="0"/>
              <w:jc w:val="both"/>
              <w:rPr>
                <w:b/>
                <w:sz w:val="18"/>
                <w:szCs w:val="18"/>
              </w:rPr>
            </w:pPr>
            <w:r>
              <w:rPr>
                <w:b/>
                <w:sz w:val="18"/>
              </w:rPr>
              <w:t>Antal och genomsnittlig storlek på grundvattenföre</w:t>
            </w:r>
            <w:r w:rsidR="00417E01">
              <w:rPr>
                <w:b/>
                <w:sz w:val="18"/>
              </w:rPr>
              <w:t>-</w:t>
            </w:r>
            <w:r>
              <w:rPr>
                <w:b/>
                <w:sz w:val="18"/>
              </w:rPr>
              <w:t>komster</w:t>
            </w:r>
          </w:p>
        </w:tc>
        <w:tc>
          <w:tcPr>
            <w:tcW w:w="112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EU/MS/ RBD/</w:t>
            </w:r>
          </w:p>
          <w:p w:rsidR="000215C5" w:rsidRDefault="00703023">
            <w:pPr>
              <w:spacing w:after="0"/>
              <w:jc w:val="both"/>
              <w:rPr>
                <w:sz w:val="18"/>
                <w:szCs w:val="18"/>
              </w:rPr>
            </w:pPr>
            <w:r>
              <w:rPr>
                <w:sz w:val="18"/>
              </w:rPr>
              <w:t>SU</w:t>
            </w:r>
          </w:p>
        </w:tc>
        <w:tc>
          <w:tcPr>
            <w:tcW w:w="2070" w:type="dxa"/>
            <w:shd w:val="clear" w:color="auto" w:fill="auto"/>
          </w:tcPr>
          <w:p w:rsidR="000215C5" w:rsidRDefault="00703023">
            <w:pPr>
              <w:spacing w:after="120"/>
              <w:jc w:val="both"/>
              <w:rPr>
                <w:sz w:val="18"/>
                <w:szCs w:val="18"/>
              </w:rPr>
            </w:pPr>
            <w:r>
              <w:rPr>
                <w:sz w:val="18"/>
              </w:rPr>
              <w:t>Antal och storlek (yta) för grundvattenförekomster.</w:t>
            </w:r>
          </w:p>
          <w:p w:rsidR="000215C5" w:rsidRDefault="00703023">
            <w:pPr>
              <w:spacing w:after="120"/>
              <w:jc w:val="both"/>
              <w:rPr>
                <w:sz w:val="18"/>
                <w:szCs w:val="18"/>
              </w:rPr>
            </w:pPr>
            <w:r>
              <w:rPr>
                <w:sz w:val="18"/>
              </w:rPr>
              <w:t>Total yta för grundvattenförekomster.</w:t>
            </w:r>
          </w:p>
          <w:p w:rsidR="000215C5" w:rsidRDefault="00703023">
            <w:pPr>
              <w:spacing w:after="0"/>
              <w:jc w:val="both"/>
              <w:rPr>
                <w:sz w:val="18"/>
                <w:szCs w:val="18"/>
              </w:rPr>
            </w:pPr>
            <w:r>
              <w:rPr>
                <w:sz w:val="18"/>
              </w:rPr>
              <w:t>Genomsnittlig storlek på grundvattenförekomster.</w:t>
            </w:r>
          </w:p>
        </w:tc>
        <w:tc>
          <w:tcPr>
            <w:tcW w:w="1780" w:type="dxa"/>
            <w:shd w:val="clear" w:color="auto" w:fill="auto"/>
          </w:tcPr>
          <w:p w:rsidR="000215C5" w:rsidRDefault="00703023">
            <w:pPr>
              <w:spacing w:after="0"/>
              <w:jc w:val="both"/>
              <w:rPr>
                <w:sz w:val="18"/>
                <w:szCs w:val="18"/>
              </w:rPr>
            </w:pPr>
            <w:r>
              <w:rPr>
                <w:sz w:val="18"/>
              </w:rPr>
              <w:t>Genomsnitt: summan av ytan för alla grundvattenföre</w:t>
            </w:r>
            <w:r w:rsidR="002C508D">
              <w:rPr>
                <w:sz w:val="18"/>
              </w:rPr>
              <w:t>-</w:t>
            </w:r>
            <w:r>
              <w:rPr>
                <w:sz w:val="18"/>
              </w:rPr>
              <w:t>komster dividerat med antalet grundvattenföre</w:t>
            </w:r>
            <w:r w:rsidR="002C508D">
              <w:rPr>
                <w:sz w:val="18"/>
              </w:rPr>
              <w:t>-</w:t>
            </w:r>
            <w:r>
              <w:rPr>
                <w:sz w:val="18"/>
              </w:rPr>
              <w:t>komster.</w:t>
            </w:r>
          </w:p>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SWD pg 71</w:t>
            </w:r>
          </w:p>
          <w:p w:rsidR="000215C5" w:rsidRDefault="00703023">
            <w:pPr>
              <w:spacing w:after="0"/>
              <w:jc w:val="both"/>
              <w:rPr>
                <w:sz w:val="18"/>
                <w:szCs w:val="18"/>
              </w:rPr>
            </w:pPr>
            <w:r>
              <w:rPr>
                <w:sz w:val="18"/>
              </w:rPr>
              <w:t>EEA1 pg 19</w:t>
            </w:r>
          </w:p>
          <w:p w:rsidR="000215C5" w:rsidRDefault="00417E01">
            <w:pPr>
              <w:spacing w:after="0"/>
              <w:jc w:val="both"/>
              <w:rPr>
                <w:sz w:val="18"/>
                <w:szCs w:val="18"/>
              </w:rPr>
            </w:pPr>
            <w:r>
              <w:rPr>
                <w:sz w:val="18"/>
              </w:rPr>
              <w:t>Wise WFD</w:t>
            </w:r>
            <w:r>
              <w:rPr>
                <w:sz w:val="18"/>
              </w:rPr>
              <w:noBreakHyphen/>
            </w:r>
            <w:r w:rsidR="00703023">
              <w:rPr>
                <w:sz w:val="18"/>
              </w:rPr>
              <w:t>databasen</w:t>
            </w:r>
          </w:p>
        </w:tc>
      </w:tr>
      <w:tr w:rsidR="000215C5" w:rsidTr="002C508D">
        <w:trPr>
          <w:cantSplit/>
        </w:trPr>
        <w:tc>
          <w:tcPr>
            <w:tcW w:w="455" w:type="dxa"/>
            <w:shd w:val="clear" w:color="auto" w:fill="auto"/>
          </w:tcPr>
          <w:p w:rsidR="000215C5" w:rsidRDefault="00703023">
            <w:pPr>
              <w:spacing w:after="0"/>
              <w:jc w:val="both"/>
              <w:rPr>
                <w:sz w:val="18"/>
                <w:szCs w:val="18"/>
              </w:rPr>
            </w:pPr>
            <w:r>
              <w:rPr>
                <w:sz w:val="18"/>
              </w:rPr>
              <w:t>2</w:t>
            </w:r>
          </w:p>
        </w:tc>
        <w:tc>
          <w:tcPr>
            <w:tcW w:w="1496" w:type="dxa"/>
            <w:shd w:val="clear" w:color="auto" w:fill="auto"/>
          </w:tcPr>
          <w:p w:rsidR="000215C5" w:rsidRDefault="00703023">
            <w:pPr>
              <w:spacing w:after="0"/>
              <w:jc w:val="both"/>
              <w:rPr>
                <w:b/>
                <w:sz w:val="18"/>
                <w:szCs w:val="18"/>
              </w:rPr>
            </w:pPr>
            <w:r>
              <w:rPr>
                <w:b/>
                <w:sz w:val="18"/>
              </w:rPr>
              <w:t>Rumsliga referenslager för grundvattenföre</w:t>
            </w:r>
            <w:r w:rsidR="00417E01">
              <w:rPr>
                <w:b/>
                <w:sz w:val="18"/>
              </w:rPr>
              <w:t>-</w:t>
            </w:r>
            <w:r>
              <w:rPr>
                <w:b/>
                <w:sz w:val="18"/>
              </w:rPr>
              <w:t>komster</w:t>
            </w:r>
          </w:p>
        </w:tc>
        <w:tc>
          <w:tcPr>
            <w:tcW w:w="1127" w:type="dxa"/>
            <w:shd w:val="clear" w:color="auto" w:fill="auto"/>
          </w:tcPr>
          <w:p w:rsidR="000215C5" w:rsidRDefault="00703023">
            <w:pPr>
              <w:spacing w:after="0"/>
              <w:jc w:val="both"/>
              <w:rPr>
                <w:sz w:val="18"/>
                <w:szCs w:val="18"/>
              </w:rPr>
            </w:pPr>
            <w:r>
              <w:rPr>
                <w:sz w:val="18"/>
              </w:rPr>
              <w:t>Rumslig datauppsätt</w:t>
            </w:r>
            <w:r w:rsidR="002C508D">
              <w:rPr>
                <w:sz w:val="18"/>
              </w:rPr>
              <w:t>-</w:t>
            </w:r>
            <w:r>
              <w:rPr>
                <w:sz w:val="18"/>
              </w:rPr>
              <w:t>ning</w:t>
            </w:r>
          </w:p>
        </w:tc>
        <w:tc>
          <w:tcPr>
            <w:tcW w:w="1260" w:type="dxa"/>
            <w:shd w:val="clear" w:color="auto" w:fill="auto"/>
          </w:tcPr>
          <w:p w:rsidR="000215C5" w:rsidRDefault="00703023">
            <w:pPr>
              <w:spacing w:after="0"/>
              <w:jc w:val="both"/>
              <w:rPr>
                <w:sz w:val="18"/>
                <w:szCs w:val="18"/>
              </w:rPr>
            </w:pPr>
            <w:r>
              <w:rPr>
                <w:sz w:val="18"/>
              </w:rPr>
              <w:t>WB</w:t>
            </w:r>
          </w:p>
        </w:tc>
        <w:tc>
          <w:tcPr>
            <w:tcW w:w="2070" w:type="dxa"/>
            <w:shd w:val="clear" w:color="auto" w:fill="auto"/>
          </w:tcPr>
          <w:p w:rsidR="000215C5" w:rsidRDefault="00703023">
            <w:pPr>
              <w:spacing w:after="0"/>
              <w:jc w:val="both"/>
              <w:rPr>
                <w:sz w:val="18"/>
                <w:szCs w:val="18"/>
              </w:rPr>
            </w:pPr>
            <w:r>
              <w:rPr>
                <w:sz w:val="18"/>
              </w:rPr>
              <w:t>Kartläggning av alla grundvattenförekomster.</w:t>
            </w:r>
          </w:p>
        </w:tc>
        <w:tc>
          <w:tcPr>
            <w:tcW w:w="1780" w:type="dxa"/>
            <w:shd w:val="clear" w:color="auto" w:fill="auto"/>
          </w:tcPr>
          <w:p w:rsidR="000215C5" w:rsidRDefault="00703023">
            <w:pPr>
              <w:spacing w:after="0"/>
              <w:jc w:val="both"/>
              <w:rPr>
                <w:sz w:val="18"/>
                <w:szCs w:val="18"/>
              </w:rPr>
            </w:pPr>
            <w:r>
              <w:rPr>
                <w:sz w:val="18"/>
              </w:rPr>
              <w:t>Rumslig datauppsättning som innehåller samtliga grundvattenföre</w:t>
            </w:r>
            <w:r w:rsidR="00417E01">
              <w:rPr>
                <w:sz w:val="18"/>
              </w:rPr>
              <w:t>-</w:t>
            </w:r>
            <w:r>
              <w:rPr>
                <w:sz w:val="18"/>
              </w:rPr>
              <w:t>komster.</w:t>
            </w:r>
          </w:p>
        </w:tc>
        <w:tc>
          <w:tcPr>
            <w:tcW w:w="1701" w:type="dxa"/>
            <w:shd w:val="clear" w:color="auto" w:fill="auto"/>
          </w:tcPr>
          <w:p w:rsidR="000215C5" w:rsidRDefault="00703023">
            <w:pPr>
              <w:spacing w:after="0"/>
              <w:jc w:val="both"/>
              <w:rPr>
                <w:sz w:val="18"/>
                <w:szCs w:val="18"/>
              </w:rPr>
            </w:pPr>
            <w:r>
              <w:rPr>
                <w:sz w:val="18"/>
              </w:rPr>
              <w:t>Ja</w:t>
            </w:r>
          </w:p>
        </w:tc>
      </w:tr>
    </w:tbl>
    <w:p w:rsidR="000215C5" w:rsidRDefault="00703023">
      <w:pPr>
        <w:jc w:val="both"/>
        <w:rPr>
          <w:sz w:val="20"/>
        </w:rPr>
      </w:pPr>
      <w:r>
        <w:rPr>
          <w:b/>
          <w:sz w:val="20"/>
        </w:rPr>
        <w:t>Anmärkningar:</w:t>
      </w:r>
      <w:r>
        <w:rPr>
          <w:sz w:val="20"/>
        </w:rPr>
        <w:t xml:space="preserve"> * Informationsnivå: EU = europeisk nivå, MS = nationell nivå, medlemsstatsnivå, RBD = avrinningsdistrikt, SU = delavrinningsdistrikt, WB = vattenförekomst.</w:t>
      </w:r>
    </w:p>
    <w:p w:rsidR="000215C5" w:rsidRDefault="00703023">
      <w:pPr>
        <w:pStyle w:val="Rubrik3"/>
      </w:pPr>
      <w:r>
        <w:t>Innehåll i rapporteringen 2016</w:t>
      </w:r>
    </w:p>
    <w:p w:rsidR="000215C5" w:rsidRDefault="00703023">
      <w:pPr>
        <w:pStyle w:val="Rubrik4"/>
      </w:pPr>
      <w:r>
        <w:t>Skiss över mallarna</w:t>
      </w:r>
    </w:p>
    <w:p w:rsidR="000215C5" w:rsidRDefault="00703023">
      <w:pPr>
        <w:jc w:val="both"/>
      </w:pPr>
      <w:r>
        <w:t>Se bilaga 10.3.</w:t>
      </w:r>
    </w:p>
    <w:p w:rsidR="000215C5" w:rsidRDefault="00703023">
      <w:pPr>
        <w:pStyle w:val="Rubrik4"/>
      </w:pPr>
      <w:bookmarkStart w:id="190" w:name="_Ref382298138"/>
      <w:r>
        <w:t>Information och uppgifter som ska rapporteras med hjälp av mallarna</w:t>
      </w:r>
      <w:bookmarkEnd w:id="190"/>
    </w:p>
    <w:p w:rsidR="000215C5" w:rsidRDefault="00703023">
      <w:pPr>
        <w:jc w:val="both"/>
      </w:pPr>
      <w:r>
        <w:t>Information om avgränsning och karakterisering av grundvattenförekomster ska rapporteras på grundvattenförekomstnivå enligt mallen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 GWB</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szCs w:val="24"/>
              </w:rPr>
            </w:pPr>
            <w:r>
              <w:rPr>
                <w:b/>
                <w:i/>
              </w:rPr>
              <w:t>Klass: GroundWaterBody</w:t>
            </w:r>
          </w:p>
          <w:p w:rsidR="000215C5" w:rsidRDefault="00703023">
            <w:pPr>
              <w:spacing w:after="120"/>
              <w:jc w:val="both"/>
              <w:rPr>
                <w:b/>
                <w:i/>
                <w:szCs w:val="24"/>
              </w:rPr>
            </w:pPr>
            <w:r>
              <w:rPr>
                <w:b/>
                <w:i/>
              </w:rPr>
              <w:t xml:space="preserve">Egenskaper: </w:t>
            </w:r>
            <w:r>
              <w:rPr>
                <w:i/>
              </w:rPr>
              <w:t>maxOccur: unbounded minOccur: 1</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euGroundWaterBodyCode</w:t>
            </w:r>
          </w:p>
          <w:p w:rsidR="000215C5" w:rsidRDefault="00703023">
            <w:pPr>
              <w:tabs>
                <w:tab w:val="left" w:pos="2415"/>
              </w:tabs>
              <w:spacing w:after="120"/>
              <w:jc w:val="both"/>
              <w:rPr>
                <w:szCs w:val="24"/>
              </w:rPr>
            </w:pPr>
            <w:r>
              <w:rPr>
                <w:b/>
              </w:rPr>
              <w:t xml:space="preserve">Fälttyp/alternativ: </w:t>
            </w:r>
            <w:r>
              <w:t>FeatureUniqueEUCodeType</w:t>
            </w:r>
          </w:p>
          <w:p w:rsidR="000215C5" w:rsidRDefault="00703023">
            <w:pPr>
              <w:tabs>
                <w:tab w:val="left" w:pos="2415"/>
              </w:tabs>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Grundvattenförekomstens unika EU-kod. Ange grundvattenförekomstens nationella unika kod före medlemsstatens ISO-landskod med två bokstäver</w:t>
            </w:r>
            <w:r>
              <w:rPr>
                <w:rStyle w:val="Fotnotsreferens"/>
              </w:rPr>
              <w:footnoteReference w:id="36"/>
            </w:r>
            <w:r>
              <w:t>.</w:t>
            </w:r>
          </w:p>
          <w:p w:rsidR="000215C5" w:rsidRDefault="00703023">
            <w:pPr>
              <w:spacing w:after="120"/>
              <w:jc w:val="both"/>
              <w:rPr>
                <w:szCs w:val="24"/>
              </w:rPr>
            </w:pPr>
            <w:r>
              <w:rPr>
                <w:b/>
              </w:rPr>
              <w:t>Kvalitetskontroller</w:t>
            </w:r>
            <w:r>
              <w:t>: Kontroll av posten: De första två bokstävern</w:t>
            </w:r>
            <w:r w:rsidR="00661070">
              <w:t>a måste vara medlemsstatens ISO</w:t>
            </w:r>
            <w:r w:rsidR="00661070">
              <w:noBreakHyphen/>
            </w:r>
            <w:r>
              <w:t xml:space="preserve">landskod med två bokstäver. </w:t>
            </w:r>
          </w:p>
          <w:p w:rsidR="000215C5" w:rsidRDefault="00703023">
            <w:pPr>
              <w:spacing w:after="120"/>
              <w:jc w:val="both"/>
              <w:rPr>
                <w:szCs w:val="24"/>
              </w:rPr>
            </w:pPr>
            <w:r>
              <w:t>Intern kontroll: euGroundWaterBodyCode måste vara unik.</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groundwaterBodyName</w:t>
            </w:r>
          </w:p>
          <w:p w:rsidR="000215C5" w:rsidRDefault="00703023">
            <w:pPr>
              <w:spacing w:after="120"/>
              <w:jc w:val="both"/>
              <w:rPr>
                <w:szCs w:val="24"/>
              </w:rPr>
            </w:pPr>
            <w:r>
              <w:rPr>
                <w:b/>
              </w:rPr>
              <w:t xml:space="preserve">Fälttyp/alternativ: </w:t>
            </w:r>
            <w:r>
              <w:t>String250Type</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xml:space="preserve">: Krävs. Lättförståeliga namn på grundvattenförekomsterna på engelska som är meningsfulla utanför avrinningsdistriktet eller medlemsstaten.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 xml:space="preserve">layered </w:t>
            </w:r>
          </w:p>
          <w:p w:rsidR="000215C5" w:rsidRDefault="00703023">
            <w:pPr>
              <w:spacing w:after="120"/>
              <w:jc w:val="both"/>
              <w:rPr>
                <w:szCs w:val="24"/>
              </w:rPr>
            </w:pPr>
            <w:r>
              <w:rPr>
                <w:b/>
              </w:rPr>
              <w:t xml:space="preserve">Fälttyp/alternativ: </w:t>
            </w:r>
            <w:r>
              <w:t>YesNoNoInformation_Union_Enum: Yes, No, No information</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om grundvattenförekomsten består av lager.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linkSurfaceWaterBody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grundvattenförekomsten är förbunden med en eller fler ytvattenförekomster.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linkSurfaceWaterBodyCode</w:t>
            </w:r>
          </w:p>
          <w:p w:rsidR="000215C5" w:rsidRDefault="00703023">
            <w:pPr>
              <w:spacing w:after="120"/>
              <w:jc w:val="both"/>
              <w:rPr>
                <w:szCs w:val="24"/>
              </w:rPr>
            </w:pPr>
            <w:r>
              <w:rPr>
                <w:b/>
              </w:rPr>
              <w:t xml:space="preserve">Fälttyp/alternativ: </w:t>
            </w:r>
            <w:r>
              <w:t>FeatureUniqueEUCodeType</w:t>
            </w:r>
          </w:p>
          <w:p w:rsidR="000215C5" w:rsidRDefault="00703023">
            <w:pPr>
              <w:spacing w:after="120"/>
              <w:jc w:val="both"/>
              <w:rPr>
                <w:szCs w:val="24"/>
              </w:rPr>
            </w:pPr>
            <w:r>
              <w:rPr>
                <w:b/>
              </w:rPr>
              <w:t>Egenskaper</w:t>
            </w:r>
            <w:r>
              <w:t>: maxOccurs = unbounded minOccurs = 0</w:t>
            </w:r>
          </w:p>
          <w:p w:rsidR="000215C5" w:rsidRDefault="00703023">
            <w:pPr>
              <w:spacing w:after="120"/>
              <w:jc w:val="both"/>
            </w:pPr>
            <w:r>
              <w:rPr>
                <w:b/>
              </w:rPr>
              <w:t>Vägledning om hur man fyller i mallposten</w:t>
            </w:r>
            <w:r>
              <w:t xml:space="preserve">: Villkorlig. Om grundvattenförekomsten är förbunden med en eller flera ytvattenförekomster, rapportera koderna för dessa förbundna ytvattenförekomster. </w:t>
            </w:r>
          </w:p>
          <w:p w:rsidR="000215C5" w:rsidRDefault="00703023">
            <w:pPr>
              <w:spacing w:after="120"/>
              <w:jc w:val="both"/>
              <w:rPr>
                <w:szCs w:val="24"/>
              </w:rPr>
            </w:pPr>
            <w:r>
              <w:rPr>
                <w:b/>
              </w:rPr>
              <w:t>Kvalitetskontroller</w:t>
            </w:r>
            <w:r>
              <w:t>: Kontroll av posten: De första två bokstävern</w:t>
            </w:r>
            <w:r w:rsidR="00661070">
              <w:t>a måste vara medlemsstatens ISO</w:t>
            </w:r>
            <w:r w:rsidR="00661070">
              <w:noBreakHyphen/>
            </w:r>
            <w:r>
              <w:t xml:space="preserve">landskod med två bokstäver. </w:t>
            </w:r>
          </w:p>
          <w:p w:rsidR="000215C5" w:rsidRDefault="00703023">
            <w:pPr>
              <w:spacing w:after="120"/>
              <w:jc w:val="both"/>
              <w:rPr>
                <w:szCs w:val="24"/>
              </w:rPr>
            </w:pPr>
            <w:r>
              <w:t xml:space="preserve">Villkorlig kontroll: Rapportera om linkSurfaceWaterBodies är ”Yes”. </w:t>
            </w:r>
          </w:p>
          <w:p w:rsidR="000215C5" w:rsidRDefault="00703023">
            <w:pPr>
              <w:spacing w:after="120"/>
              <w:jc w:val="both"/>
              <w:rPr>
                <w:b/>
                <w:szCs w:val="24"/>
              </w:rPr>
            </w:pPr>
            <w:r>
              <w:t>Dubbelkontroll av mallen: De rapporterade linkSurfaceWaterBodiesCodes måste överensstämma med de koder som rapporteras i SWB/SurfaceWaterBody/euSurfaceWaterBodyCode.</w:t>
            </w:r>
          </w:p>
        </w:tc>
      </w:tr>
      <w:tr w:rsidR="000215C5">
        <w:tc>
          <w:tcPr>
            <w:tcW w:w="9889" w:type="dxa"/>
            <w:shd w:val="clear" w:color="auto" w:fill="auto"/>
          </w:tcPr>
          <w:p w:rsidR="000215C5" w:rsidRPr="00D95552" w:rsidRDefault="00703023">
            <w:pPr>
              <w:spacing w:after="120"/>
              <w:jc w:val="both"/>
              <w:rPr>
                <w:b/>
                <w:szCs w:val="24"/>
                <w:lang w:val="de-DE"/>
              </w:rPr>
            </w:pPr>
            <w:r w:rsidRPr="00D95552">
              <w:rPr>
                <w:b/>
                <w:lang w:val="de-DE"/>
              </w:rPr>
              <w:t>Mallpost</w:t>
            </w:r>
            <w:r w:rsidRPr="00D95552">
              <w:rPr>
                <w:lang w:val="de-DE"/>
              </w:rPr>
              <w:t>:</w:t>
            </w:r>
            <w:r w:rsidRPr="00D95552">
              <w:rPr>
                <w:b/>
                <w:lang w:val="de-DE"/>
              </w:rPr>
              <w:t xml:space="preserve"> </w:t>
            </w:r>
            <w:r w:rsidRPr="00D95552">
              <w:rPr>
                <w:lang w:val="de-DE"/>
              </w:rPr>
              <w:t>linkTerrestrialEcosystem</w:t>
            </w:r>
          </w:p>
          <w:p w:rsidR="000215C5" w:rsidRPr="00D95552" w:rsidRDefault="00703023">
            <w:pPr>
              <w:tabs>
                <w:tab w:val="left" w:pos="2835"/>
              </w:tabs>
              <w:spacing w:after="120"/>
              <w:jc w:val="both"/>
              <w:rPr>
                <w:szCs w:val="24"/>
                <w:lang w:val="de-DE"/>
              </w:rPr>
            </w:pPr>
            <w:r w:rsidRPr="00D95552">
              <w:rPr>
                <w:b/>
                <w:lang w:val="de-DE"/>
              </w:rPr>
              <w:t xml:space="preserve">Fälttyp/alternativ: </w:t>
            </w:r>
            <w:r w:rsidRPr="00D95552">
              <w:rPr>
                <w:lang w:val="de-DE"/>
              </w:rPr>
              <w:t>YesNoCode_Enum: Yes, No</w:t>
            </w:r>
          </w:p>
          <w:p w:rsidR="000215C5" w:rsidRDefault="00703023">
            <w:pPr>
              <w:tabs>
                <w:tab w:val="left" w:pos="2835"/>
              </w:tabs>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terrestra ekosystem är direkt beroende av grundvattenförekomsten.</w:t>
            </w:r>
          </w:p>
          <w:p w:rsidR="000215C5" w:rsidRDefault="00703023">
            <w:pPr>
              <w:spacing w:after="120"/>
              <w:jc w:val="both"/>
              <w:rPr>
                <w:szCs w:val="24"/>
              </w:rPr>
            </w:pPr>
            <w:r>
              <w:t xml:space="preserve">För att terrestra ekosystem ska anses ingå i klassificeringen av grundvattenförekomster måste de vara ”direkt beroende” av grundvattenförekomsten. Detta innebär att grundvattenförekomsten bör ge den mängd (flöde, nivå) eller kvalitet på det vatten som behövs för att försörja de ekosystem som gör att det grundvattenberoende ekosystemet på land är betydande. Ett sådant kritiskt beroende av en grundvattenförekomst föreligger sannolikt om grundvattenförekomsten försörjer det grundvattenberoende ekosystemet på land med en betydande del av eller tidsperiod under året. Mer information finns i teknisk rapport nr 6: </w:t>
            </w:r>
            <w:r>
              <w:rPr>
                <w:i/>
              </w:rPr>
              <w:t>Technical Report on Groundwater Dependent Terrestrial Ecosystems</w:t>
            </w:r>
            <w:r>
              <w:rPr>
                <w:rStyle w:val="Fotnotsreferens"/>
                <w:noProof/>
              </w:rPr>
              <w:footnoteReference w:id="37"/>
            </w:r>
            <w:r>
              <w:t>.</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geologicalFormation</w:t>
            </w:r>
          </w:p>
          <w:p w:rsidR="000215C5" w:rsidRDefault="00703023">
            <w:pPr>
              <w:spacing w:after="120"/>
              <w:jc w:val="both"/>
              <w:rPr>
                <w:szCs w:val="24"/>
              </w:rPr>
            </w:pPr>
            <w:r>
              <w:rPr>
                <w:b/>
              </w:rPr>
              <w:t xml:space="preserve">Fälttyp/alternativ: </w:t>
            </w:r>
            <w:r>
              <w:t>GeologicalFormation_Enum:</w:t>
            </w:r>
          </w:p>
          <w:p w:rsidR="000215C5" w:rsidRPr="006E59C8" w:rsidRDefault="00703023">
            <w:pPr>
              <w:spacing w:after="120"/>
              <w:jc w:val="both"/>
              <w:rPr>
                <w:szCs w:val="24"/>
                <w:lang w:val="en-GB"/>
              </w:rPr>
            </w:pPr>
            <w:r w:rsidRPr="006E59C8">
              <w:rPr>
                <w:lang w:val="en-GB"/>
              </w:rPr>
              <w:t>Porous - highly productive</w:t>
            </w:r>
          </w:p>
          <w:p w:rsidR="000215C5" w:rsidRPr="006E59C8" w:rsidRDefault="00703023">
            <w:pPr>
              <w:spacing w:after="120"/>
              <w:jc w:val="both"/>
              <w:rPr>
                <w:szCs w:val="24"/>
                <w:lang w:val="en-GB"/>
              </w:rPr>
            </w:pPr>
            <w:r w:rsidRPr="006E59C8">
              <w:rPr>
                <w:lang w:val="en-GB"/>
              </w:rPr>
              <w:t>Porous - moderately productive</w:t>
            </w:r>
          </w:p>
          <w:p w:rsidR="000215C5" w:rsidRPr="006E59C8" w:rsidRDefault="00703023">
            <w:pPr>
              <w:spacing w:after="120"/>
              <w:jc w:val="both"/>
              <w:rPr>
                <w:szCs w:val="24"/>
                <w:lang w:val="en-GB"/>
              </w:rPr>
            </w:pPr>
            <w:r w:rsidRPr="006E59C8">
              <w:rPr>
                <w:lang w:val="en-GB"/>
              </w:rPr>
              <w:t>Fissured aquifers including karst - highly productive</w:t>
            </w:r>
          </w:p>
          <w:p w:rsidR="000215C5" w:rsidRPr="006E59C8" w:rsidRDefault="00703023">
            <w:pPr>
              <w:spacing w:after="120"/>
              <w:jc w:val="both"/>
              <w:rPr>
                <w:szCs w:val="24"/>
                <w:lang w:val="en-GB"/>
              </w:rPr>
            </w:pPr>
            <w:r w:rsidRPr="006E59C8">
              <w:rPr>
                <w:lang w:val="en-GB"/>
              </w:rPr>
              <w:t>Fissured aquifers including karst - moderately productive</w:t>
            </w:r>
          </w:p>
          <w:p w:rsidR="000215C5" w:rsidRPr="006E59C8" w:rsidRDefault="00703023">
            <w:pPr>
              <w:spacing w:after="120"/>
              <w:jc w:val="both"/>
              <w:rPr>
                <w:szCs w:val="24"/>
                <w:lang w:val="en-GB"/>
              </w:rPr>
            </w:pPr>
            <w:r w:rsidRPr="006E59C8">
              <w:rPr>
                <w:lang w:val="en-GB"/>
              </w:rPr>
              <w:t>Fractured aquifers - highly productive</w:t>
            </w:r>
          </w:p>
          <w:p w:rsidR="000215C5" w:rsidRPr="006E59C8" w:rsidRDefault="00703023">
            <w:pPr>
              <w:spacing w:after="120"/>
              <w:jc w:val="both"/>
              <w:rPr>
                <w:szCs w:val="24"/>
                <w:lang w:val="en-GB"/>
              </w:rPr>
            </w:pPr>
            <w:r w:rsidRPr="006E59C8">
              <w:rPr>
                <w:lang w:val="en-GB"/>
              </w:rPr>
              <w:t>Fractured aquifers - moderately productive</w:t>
            </w:r>
          </w:p>
          <w:p w:rsidR="000215C5" w:rsidRPr="006E59C8" w:rsidRDefault="00703023">
            <w:pPr>
              <w:spacing w:after="120"/>
              <w:jc w:val="both"/>
              <w:rPr>
                <w:szCs w:val="24"/>
                <w:lang w:val="en-GB"/>
              </w:rPr>
            </w:pPr>
            <w:r w:rsidRPr="006E59C8">
              <w:rPr>
                <w:lang w:val="en-GB"/>
              </w:rPr>
              <w:t>Insignificant aquifers - local and limited groundwater</w:t>
            </w:r>
          </w:p>
          <w:p w:rsidR="000215C5" w:rsidRPr="006E59C8" w:rsidRDefault="00703023">
            <w:pPr>
              <w:spacing w:after="120"/>
              <w:jc w:val="both"/>
              <w:rPr>
                <w:szCs w:val="24"/>
                <w:lang w:val="en-GB"/>
              </w:rPr>
            </w:pPr>
            <w:r w:rsidRPr="006E59C8">
              <w:rPr>
                <w:lang w:val="en-GB"/>
              </w:rPr>
              <w:t>Not available</w:t>
            </w:r>
          </w:p>
          <w:p w:rsidR="000215C5" w:rsidRPr="006E59C8" w:rsidRDefault="00703023">
            <w:pPr>
              <w:spacing w:after="120"/>
              <w:jc w:val="both"/>
              <w:rPr>
                <w:szCs w:val="24"/>
                <w:lang w:val="en-GB"/>
              </w:rPr>
            </w:pPr>
            <w:r w:rsidRPr="006E59C8">
              <w:rPr>
                <w:lang w:val="en-GB"/>
              </w:rPr>
              <w:t>Unknown</w:t>
            </w:r>
          </w:p>
          <w:p w:rsidR="000215C5" w:rsidRPr="006E59C8" w:rsidRDefault="00703023">
            <w:pPr>
              <w:spacing w:after="120"/>
              <w:jc w:val="both"/>
              <w:rPr>
                <w:szCs w:val="24"/>
                <w:lang w:val="en-GB"/>
              </w:rPr>
            </w:pPr>
            <w:r w:rsidRPr="006E59C8">
              <w:rPr>
                <w:b/>
                <w:lang w:val="en-GB"/>
              </w:rPr>
              <w:t xml:space="preserve">Egenskaper: </w:t>
            </w:r>
            <w:r w:rsidRPr="006E59C8">
              <w:rPr>
                <w:lang w:val="en-GB"/>
              </w:rPr>
              <w:t>maxOccurs = 1 minOccurs = 1</w:t>
            </w:r>
          </w:p>
          <w:p w:rsidR="000215C5" w:rsidRDefault="00703023">
            <w:pPr>
              <w:spacing w:after="120"/>
              <w:jc w:val="both"/>
              <w:rPr>
                <w:szCs w:val="24"/>
              </w:rPr>
            </w:pPr>
            <w:r>
              <w:rPr>
                <w:b/>
              </w:rPr>
              <w:t>Vägledning om hur man fyller i mallposten</w:t>
            </w:r>
            <w:r>
              <w:t>: Krävs. Beskriv huvuddragen i akvifertypens geologiska formation.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groundwaterBodyTransboundary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w:t>
            </w:r>
          </w:p>
          <w:p w:rsidR="000215C5" w:rsidRDefault="00703023">
            <w:pPr>
              <w:spacing w:after="120"/>
              <w:jc w:val="both"/>
              <w:rPr>
                <w:szCs w:val="24"/>
              </w:rPr>
            </w:pPr>
            <w:r>
              <w:t xml:space="preserve">Enligt direktivet ska medlemsstaterna samordna förvaltningen av gränsöverskridande vattenförekomster. Gränsöverskridande vattenförekomster är vattenförekomster som korsar gränser mellan länder eller utgör en del av gränsen mellan två länder för en viss längd. </w:t>
            </w:r>
          </w:p>
          <w:p w:rsidR="000215C5" w:rsidRDefault="00703023">
            <w:pPr>
              <w:spacing w:after="120"/>
              <w:jc w:val="both"/>
              <w:rPr>
                <w:szCs w:val="24"/>
              </w:rPr>
            </w:pPr>
            <w:r>
              <w:t>För rapporteringsändamål och när det gäller vattenförekomster som korsar gränser mellan länder bör varje medlemsstat för tydlighetens skull rapportera sin egen del av dessa gränsöverskridande vattenförekomster. Geografisk information bör därför lämnas för varje del av vattenförekomsten inom den rapporterande medlemsstatens gränser och likaså för alla faktorer med en tydlig geografisk hänvisning (t.ex. storlek, övervakningsstationer). Varje medlemsstat bör dessutom rapportera alla faktorer som gäller hela vattenförekomsten (status, påverkan osv.). I det senare fallet förväntar sig kommissionen att alla berörda medlemsstater lämnar identisk information, eftersom direktivet kräver samordnad förvaltning.</w:t>
            </w:r>
          </w:p>
          <w:p w:rsidR="000215C5" w:rsidRDefault="000215C5">
            <w:pPr>
              <w:spacing w:after="120"/>
              <w:jc w:val="both"/>
              <w:rPr>
                <w:szCs w:val="24"/>
              </w:rPr>
            </w:pPr>
          </w:p>
        </w:tc>
      </w:tr>
      <w:tr w:rsidR="000215C5">
        <w:tc>
          <w:tcPr>
            <w:tcW w:w="9889" w:type="dxa"/>
            <w:shd w:val="clear" w:color="auto" w:fill="auto"/>
          </w:tcPr>
          <w:p w:rsidR="000215C5" w:rsidRDefault="00703023">
            <w:pPr>
              <w:spacing w:after="120"/>
              <w:jc w:val="both"/>
              <w:rPr>
                <w:b/>
                <w:szCs w:val="24"/>
              </w:rPr>
            </w:pPr>
            <w:r>
              <w:rPr>
                <w:b/>
              </w:rPr>
              <w:t>Mallpost</w:t>
            </w:r>
            <w:r>
              <w:t>: gwAssociatedProtectedArea</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om grundvattenförekomsten har anknytning till ett skyddat område.</w:t>
            </w:r>
          </w:p>
        </w:tc>
      </w:tr>
    </w:tbl>
    <w:p w:rsidR="000215C5" w:rsidRDefault="000215C5">
      <w:pPr>
        <w:jc w:val="both"/>
      </w:pPr>
    </w:p>
    <w:p w:rsidR="000215C5" w:rsidRDefault="00703023">
      <w:pPr>
        <w:pStyle w:val="Rubrik4"/>
      </w:pPr>
      <w:bookmarkStart w:id="191" w:name="_Ref382295724"/>
      <w:r>
        <w:t>GIS-information:</w:t>
      </w:r>
      <w:bookmarkEnd w:id="191"/>
    </w:p>
    <w:p w:rsidR="000215C5" w:rsidRDefault="00703023">
      <w:pPr>
        <w:jc w:val="both"/>
      </w:pPr>
      <w:r>
        <w:t xml:space="preserve">GIS-information ska rapporteras i filformatet GML (se bilaga 5 för närmare information) för </w:t>
      </w:r>
      <w:r>
        <w:rPr>
          <w:b/>
        </w:rPr>
        <w:t>alla grundvattenförekomster</w:t>
      </w:r>
      <w:r>
        <w:t>, inte bara de som är större än 100 km</w:t>
      </w:r>
      <w:r>
        <w:rPr>
          <w:vertAlign w:val="superscript"/>
        </w:rPr>
        <w:t>2</w:t>
      </w:r>
      <w:r>
        <w:t>, vilket var fallet 2010.</w:t>
      </w:r>
    </w:p>
    <w:p w:rsidR="000215C5" w:rsidRDefault="00703023">
      <w:pPr>
        <w:jc w:val="both"/>
      </w:pPr>
      <w:r>
        <w:t>Se bilaga 5 (GIS-vägledning) för närmare information och specifikationer</w:t>
      </w:r>
      <w:r w:rsidR="00661070">
        <w:t xml:space="preserve"> om rapporteringen av GIS</w:t>
      </w:r>
      <w:r w:rsidR="00661070">
        <w:noBreakHyphen/>
      </w:r>
      <w:r>
        <w:t>data.</w:t>
      </w:r>
    </w:p>
    <w:p w:rsidR="000215C5" w:rsidRDefault="00703023">
      <w:pPr>
        <w:pStyle w:val="Rubrik2"/>
        <w:jc w:val="both"/>
      </w:pPr>
      <w:bookmarkStart w:id="192" w:name="_Toc400669379"/>
      <w:bookmarkStart w:id="193" w:name="_Toc400669845"/>
      <w:bookmarkStart w:id="194" w:name="_Toc400670184"/>
      <w:bookmarkStart w:id="195" w:name="_Toc400670521"/>
      <w:bookmarkStart w:id="196" w:name="_Toc400670856"/>
      <w:bookmarkStart w:id="197" w:name="_Toc400671161"/>
      <w:bookmarkStart w:id="198" w:name="_Toc400671473"/>
      <w:bookmarkStart w:id="199" w:name="_Toc400671768"/>
      <w:bookmarkStart w:id="200" w:name="_Toc400720337"/>
      <w:bookmarkStart w:id="201" w:name="_Toc375220060"/>
      <w:bookmarkStart w:id="202" w:name="_Toc375294160"/>
      <w:bookmarkStart w:id="203" w:name="_Toc386464219"/>
      <w:bookmarkStart w:id="204" w:name="_Toc425522047"/>
      <w:bookmarkStart w:id="205" w:name="_Toc432666059"/>
      <w:bookmarkStart w:id="206" w:name="_Toc437520255"/>
      <w:bookmarkEnd w:id="192"/>
      <w:bookmarkEnd w:id="193"/>
      <w:bookmarkEnd w:id="194"/>
      <w:bookmarkEnd w:id="195"/>
      <w:bookmarkEnd w:id="196"/>
      <w:bookmarkEnd w:id="197"/>
      <w:bookmarkEnd w:id="198"/>
      <w:bookmarkEnd w:id="199"/>
      <w:bookmarkEnd w:id="200"/>
      <w:r>
        <w:t>Påverkan och effekter</w:t>
      </w:r>
      <w:bookmarkEnd w:id="201"/>
      <w:bookmarkEnd w:id="202"/>
      <w:r>
        <w:t xml:space="preserve"> på grundvatten</w:t>
      </w:r>
      <w:bookmarkEnd w:id="203"/>
      <w:bookmarkEnd w:id="204"/>
      <w:bookmarkEnd w:id="205"/>
      <w:bookmarkEnd w:id="206"/>
    </w:p>
    <w:p w:rsidR="000215C5" w:rsidRDefault="00703023">
      <w:pPr>
        <w:pStyle w:val="Rubrik3"/>
      </w:pPr>
      <w:r>
        <w:t>Inledning</w:t>
      </w:r>
    </w:p>
    <w:p w:rsidR="000215C5" w:rsidRDefault="00703023">
      <w:pPr>
        <w:pStyle w:val="Brdtext"/>
        <w:jc w:val="both"/>
        <w:rPr>
          <w:szCs w:val="24"/>
        </w:rPr>
      </w:pPr>
      <w:r>
        <w:t>Enligt artikel 5 i vattendirektivet ska medlemsstaterna fastställa betydande påverkan i avrinningsdistriktet som kan leda till att grundvattenförekomster har sämre än god status. Medlemsstaterna ska dessutom bedöma effekterna på grundvattenförekomster som underlag till fastställande av status.</w:t>
      </w:r>
    </w:p>
    <w:p w:rsidR="000215C5" w:rsidRDefault="00703023">
      <w:pPr>
        <w:pStyle w:val="Brdtext"/>
        <w:jc w:val="both"/>
        <w:rPr>
          <w:szCs w:val="24"/>
        </w:rPr>
      </w:pPr>
      <w:r>
        <w:t>Mer bakgrundsinformation finns i avsnittet om påverkan och effekter för ytvattenförekomster.</w:t>
      </w:r>
    </w:p>
    <w:p w:rsidR="000215C5" w:rsidRDefault="00703023">
      <w:pPr>
        <w:pStyle w:val="Rubrik3"/>
      </w:pPr>
      <w:r>
        <w:t>Hur kommer kommissionen och Europeiska miljöbyrån att använda den rapporterade informationen?</w:t>
      </w:r>
    </w:p>
    <w:p w:rsidR="000215C5" w:rsidRDefault="00703023">
      <w:pPr>
        <w:pStyle w:val="Brdtext"/>
        <w:jc w:val="both"/>
      </w:pPr>
      <w:r>
        <w:t>Syftet med insamlingen av denna information är att identifiera de största källorna till påverkan inom avrinningsdistriktet. Sammanfattningarna av informationen kommer att användas för att sammanställa kartor över relevant påverkan på europeisk nivå och för att se till att all relevant påverkan har identifierats inom det berörda avrinningsdistriktet. På EU-nivå kommer statistik och information att lämnas till Europaparlamentet. Allmänheten kommer att få tillgång till informationen via Wise.</w:t>
      </w:r>
    </w:p>
    <w:p w:rsidR="000215C5" w:rsidRDefault="00703023">
      <w:pPr>
        <w:pStyle w:val="Rubrik4"/>
      </w:pPr>
      <w:bookmarkStart w:id="207" w:name="_Toc375220062"/>
      <w:r>
        <w:t>Produkter från rapporteringen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543"/>
        <w:gridCol w:w="1080"/>
        <w:gridCol w:w="1260"/>
        <w:gridCol w:w="1866"/>
        <w:gridCol w:w="1984"/>
        <w:gridCol w:w="1701"/>
      </w:tblGrid>
      <w:tr w:rsidR="000215C5" w:rsidTr="005C5273">
        <w:trPr>
          <w:cantSplit/>
          <w:tblHeader/>
        </w:trPr>
        <w:tc>
          <w:tcPr>
            <w:tcW w:w="455" w:type="dxa"/>
            <w:shd w:val="clear" w:color="auto" w:fill="auto"/>
          </w:tcPr>
          <w:p w:rsidR="000215C5" w:rsidRDefault="00703023">
            <w:pPr>
              <w:spacing w:after="0"/>
              <w:jc w:val="both"/>
              <w:rPr>
                <w:b/>
                <w:sz w:val="18"/>
                <w:szCs w:val="18"/>
              </w:rPr>
            </w:pPr>
            <w:r>
              <w:rPr>
                <w:b/>
                <w:sz w:val="18"/>
              </w:rPr>
              <w:t>Nb</w:t>
            </w:r>
          </w:p>
        </w:tc>
        <w:tc>
          <w:tcPr>
            <w:tcW w:w="1543" w:type="dxa"/>
            <w:shd w:val="clear" w:color="auto" w:fill="auto"/>
          </w:tcPr>
          <w:p w:rsidR="000215C5" w:rsidRDefault="00703023">
            <w:pPr>
              <w:spacing w:after="0"/>
              <w:jc w:val="both"/>
              <w:rPr>
                <w:b/>
                <w:sz w:val="18"/>
                <w:szCs w:val="18"/>
              </w:rPr>
            </w:pPr>
            <w:r>
              <w:rPr>
                <w:b/>
                <w:sz w:val="18"/>
              </w:rPr>
              <w:t>Produktens namn</w:t>
            </w:r>
          </w:p>
        </w:tc>
        <w:tc>
          <w:tcPr>
            <w:tcW w:w="1080" w:type="dxa"/>
            <w:shd w:val="clear" w:color="auto" w:fill="auto"/>
          </w:tcPr>
          <w:p w:rsidR="000215C5" w:rsidRDefault="00703023">
            <w:pPr>
              <w:spacing w:after="0"/>
              <w:jc w:val="both"/>
              <w:rPr>
                <w:b/>
                <w:sz w:val="18"/>
                <w:szCs w:val="18"/>
              </w:rPr>
            </w:pPr>
            <w:r>
              <w:rPr>
                <w:b/>
                <w:sz w:val="18"/>
              </w:rPr>
              <w:t>Produkttyp</w:t>
            </w:r>
          </w:p>
        </w:tc>
        <w:tc>
          <w:tcPr>
            <w:tcW w:w="1260" w:type="dxa"/>
            <w:shd w:val="clear" w:color="auto" w:fill="auto"/>
          </w:tcPr>
          <w:p w:rsidR="000215C5" w:rsidRDefault="00703023">
            <w:pPr>
              <w:spacing w:after="0"/>
              <w:jc w:val="both"/>
              <w:rPr>
                <w:b/>
                <w:sz w:val="18"/>
                <w:szCs w:val="18"/>
              </w:rPr>
            </w:pPr>
            <w:r>
              <w:rPr>
                <w:b/>
                <w:sz w:val="18"/>
              </w:rPr>
              <w:t>Informations</w:t>
            </w:r>
            <w:r w:rsidR="00A26894">
              <w:rPr>
                <w:b/>
                <w:sz w:val="18"/>
              </w:rPr>
              <w:t>-</w:t>
            </w:r>
            <w:r>
              <w:rPr>
                <w:b/>
                <w:sz w:val="18"/>
              </w:rPr>
              <w:t>nivå*</w:t>
            </w:r>
          </w:p>
        </w:tc>
        <w:tc>
          <w:tcPr>
            <w:tcW w:w="1866" w:type="dxa"/>
            <w:shd w:val="clear" w:color="auto" w:fill="auto"/>
          </w:tcPr>
          <w:p w:rsidR="000215C5" w:rsidRDefault="00703023">
            <w:pPr>
              <w:spacing w:after="0"/>
              <w:jc w:val="both"/>
              <w:rPr>
                <w:b/>
                <w:sz w:val="18"/>
                <w:szCs w:val="18"/>
              </w:rPr>
            </w:pPr>
            <w:r>
              <w:rPr>
                <w:b/>
                <w:sz w:val="18"/>
              </w:rPr>
              <w:t>Detaljerad information visas</w:t>
            </w:r>
          </w:p>
        </w:tc>
        <w:tc>
          <w:tcPr>
            <w:tcW w:w="1984"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701"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5C5273">
        <w:trPr>
          <w:cantSplit/>
        </w:trPr>
        <w:tc>
          <w:tcPr>
            <w:tcW w:w="455" w:type="dxa"/>
            <w:shd w:val="clear" w:color="auto" w:fill="auto"/>
          </w:tcPr>
          <w:p w:rsidR="000215C5" w:rsidRDefault="00703023">
            <w:pPr>
              <w:spacing w:after="0"/>
              <w:jc w:val="both"/>
              <w:rPr>
                <w:sz w:val="18"/>
                <w:szCs w:val="18"/>
              </w:rPr>
            </w:pPr>
            <w:r>
              <w:rPr>
                <w:sz w:val="18"/>
              </w:rPr>
              <w:t>1</w:t>
            </w:r>
          </w:p>
        </w:tc>
        <w:tc>
          <w:tcPr>
            <w:tcW w:w="1543" w:type="dxa"/>
            <w:shd w:val="clear" w:color="auto" w:fill="auto"/>
          </w:tcPr>
          <w:p w:rsidR="000215C5" w:rsidRDefault="00703023">
            <w:pPr>
              <w:spacing w:after="0"/>
              <w:jc w:val="both"/>
              <w:rPr>
                <w:sz w:val="18"/>
                <w:szCs w:val="18"/>
              </w:rPr>
            </w:pPr>
            <w:r>
              <w:rPr>
                <w:sz w:val="18"/>
              </w:rPr>
              <w:t>Betydande påverkan på grundvattenförekomster med otillfreds</w:t>
            </w:r>
            <w:r w:rsidR="00845C01">
              <w:rPr>
                <w:sz w:val="18"/>
              </w:rPr>
              <w:t>-</w:t>
            </w:r>
            <w:r>
              <w:rPr>
                <w:sz w:val="18"/>
              </w:rPr>
              <w:t>ställande status.</w:t>
            </w:r>
          </w:p>
        </w:tc>
        <w:tc>
          <w:tcPr>
            <w:tcW w:w="1080"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EU/MS/ RBD/</w:t>
            </w:r>
          </w:p>
          <w:p w:rsidR="000215C5" w:rsidRDefault="00703023">
            <w:pPr>
              <w:spacing w:after="0"/>
              <w:jc w:val="both"/>
              <w:rPr>
                <w:sz w:val="18"/>
                <w:szCs w:val="18"/>
              </w:rPr>
            </w:pPr>
            <w:r>
              <w:rPr>
                <w:sz w:val="18"/>
              </w:rPr>
              <w:t>SU</w:t>
            </w:r>
          </w:p>
        </w:tc>
        <w:tc>
          <w:tcPr>
            <w:tcW w:w="1866" w:type="dxa"/>
            <w:shd w:val="clear" w:color="auto" w:fill="auto"/>
          </w:tcPr>
          <w:p w:rsidR="000215C5" w:rsidRDefault="00703023">
            <w:pPr>
              <w:spacing w:after="0"/>
              <w:jc w:val="both"/>
              <w:rPr>
                <w:sz w:val="18"/>
                <w:szCs w:val="18"/>
              </w:rPr>
            </w:pPr>
            <w:r>
              <w:rPr>
                <w:sz w:val="18"/>
              </w:rPr>
              <w:t>Påverkan på grundvattenföre</w:t>
            </w:r>
            <w:r w:rsidR="00A26894">
              <w:rPr>
                <w:sz w:val="18"/>
              </w:rPr>
              <w:t>-</w:t>
            </w:r>
            <w:r>
              <w:rPr>
                <w:sz w:val="18"/>
              </w:rPr>
              <w:t>komster med otillfredsställande kvantitativ status.</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Ja</w:t>
            </w:r>
          </w:p>
        </w:tc>
      </w:tr>
      <w:tr w:rsidR="000215C5" w:rsidTr="005C5273">
        <w:trPr>
          <w:cantSplit/>
        </w:trPr>
        <w:tc>
          <w:tcPr>
            <w:tcW w:w="455" w:type="dxa"/>
            <w:shd w:val="clear" w:color="auto" w:fill="auto"/>
          </w:tcPr>
          <w:p w:rsidR="000215C5" w:rsidRDefault="00703023">
            <w:pPr>
              <w:spacing w:after="0"/>
              <w:jc w:val="both"/>
              <w:rPr>
                <w:sz w:val="18"/>
                <w:szCs w:val="18"/>
              </w:rPr>
            </w:pPr>
            <w:r>
              <w:rPr>
                <w:sz w:val="18"/>
              </w:rPr>
              <w:t>2</w:t>
            </w:r>
          </w:p>
        </w:tc>
        <w:tc>
          <w:tcPr>
            <w:tcW w:w="1543" w:type="dxa"/>
            <w:shd w:val="clear" w:color="auto" w:fill="auto"/>
          </w:tcPr>
          <w:p w:rsidR="005C5273" w:rsidRDefault="00703023">
            <w:pPr>
              <w:spacing w:after="0"/>
              <w:jc w:val="both"/>
              <w:rPr>
                <w:sz w:val="18"/>
              </w:rPr>
            </w:pPr>
            <w:r>
              <w:rPr>
                <w:sz w:val="18"/>
              </w:rPr>
              <w:t>Förorenande ämnen som orsakar risk/</w:t>
            </w:r>
          </w:p>
          <w:p w:rsidR="005C5273" w:rsidRDefault="00703023">
            <w:pPr>
              <w:spacing w:after="0"/>
              <w:jc w:val="both"/>
              <w:rPr>
                <w:sz w:val="18"/>
              </w:rPr>
            </w:pPr>
            <w:r>
              <w:rPr>
                <w:sz w:val="18"/>
              </w:rPr>
              <w:t xml:space="preserve">överskridande av </w:t>
            </w:r>
            <w:r w:rsidRPr="005C5273">
              <w:rPr>
                <w:sz w:val="18"/>
              </w:rPr>
              <w:t>gränsvärdena/</w:t>
            </w:r>
          </w:p>
          <w:p w:rsidR="000215C5" w:rsidRPr="005C5273" w:rsidRDefault="00703023">
            <w:pPr>
              <w:spacing w:after="0"/>
              <w:jc w:val="both"/>
              <w:rPr>
                <w:sz w:val="18"/>
              </w:rPr>
            </w:pPr>
            <w:r w:rsidRPr="005C5273">
              <w:rPr>
                <w:sz w:val="18"/>
              </w:rPr>
              <w:t>otillfredsställande</w:t>
            </w:r>
            <w:r>
              <w:rPr>
                <w:sz w:val="18"/>
              </w:rPr>
              <w:t xml:space="preserve"> status.</w:t>
            </w:r>
          </w:p>
        </w:tc>
        <w:tc>
          <w:tcPr>
            <w:tcW w:w="1080"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EU/MS/ RBD/</w:t>
            </w:r>
          </w:p>
          <w:p w:rsidR="000215C5" w:rsidRDefault="00703023">
            <w:pPr>
              <w:spacing w:after="0"/>
              <w:jc w:val="both"/>
              <w:rPr>
                <w:sz w:val="18"/>
                <w:szCs w:val="18"/>
              </w:rPr>
            </w:pPr>
            <w:r>
              <w:rPr>
                <w:sz w:val="18"/>
              </w:rPr>
              <w:t>SU</w:t>
            </w:r>
          </w:p>
        </w:tc>
        <w:tc>
          <w:tcPr>
            <w:tcW w:w="1866" w:type="dxa"/>
            <w:shd w:val="clear" w:color="auto" w:fill="auto"/>
          </w:tcPr>
          <w:p w:rsidR="000215C5" w:rsidRDefault="00703023">
            <w:pPr>
              <w:spacing w:after="0"/>
              <w:jc w:val="both"/>
              <w:rPr>
                <w:sz w:val="18"/>
                <w:szCs w:val="18"/>
              </w:rPr>
            </w:pPr>
            <w:r>
              <w:rPr>
                <w:sz w:val="18"/>
              </w:rPr>
              <w:t>Förorenande ämnen som orsakar risk i grundvattenföre</w:t>
            </w:r>
            <w:r w:rsidR="00A26894">
              <w:rPr>
                <w:sz w:val="18"/>
              </w:rPr>
              <w:t>-</w:t>
            </w:r>
            <w:r>
              <w:rPr>
                <w:sz w:val="18"/>
              </w:rPr>
              <w:t>komster.</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Nej</w:t>
            </w:r>
          </w:p>
        </w:tc>
      </w:tr>
    </w:tbl>
    <w:p w:rsidR="000215C5" w:rsidRDefault="000215C5">
      <w:pPr>
        <w:jc w:val="both"/>
      </w:pPr>
    </w:p>
    <w:p w:rsidR="000215C5" w:rsidRDefault="00703023">
      <w:pPr>
        <w:pStyle w:val="Rubrik3"/>
      </w:pPr>
      <w:r>
        <w:t>Innehåll i rapporteringen 2016</w:t>
      </w:r>
      <w:bookmarkEnd w:id="207"/>
    </w:p>
    <w:p w:rsidR="000215C5" w:rsidRDefault="00703023">
      <w:pPr>
        <w:pStyle w:val="Rubrik4"/>
      </w:pPr>
      <w:r>
        <w:t>Skiss över mallarna</w:t>
      </w:r>
    </w:p>
    <w:p w:rsidR="000215C5" w:rsidRDefault="00703023">
      <w:pPr>
        <w:jc w:val="both"/>
      </w:pPr>
      <w:r>
        <w:t>Se bilaga 10.3.</w:t>
      </w:r>
    </w:p>
    <w:p w:rsidR="000215C5" w:rsidRDefault="00703023">
      <w:pPr>
        <w:pStyle w:val="Rubrik4"/>
      </w:pPr>
      <w:r>
        <w:t>Information och uppgifter som ska rapporteras med hjälp av mallarna</w:t>
      </w:r>
    </w:p>
    <w:p w:rsidR="000215C5" w:rsidRDefault="00703023">
      <w:pPr>
        <w:jc w:val="both"/>
      </w:pPr>
      <w:r>
        <w:t>Information om påverkan och effekter på grundvattenförekomster ska rapporteras på grundvattenförekomstnivå enligt mallen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rPr>
            </w:pPr>
            <w:r>
              <w:rPr>
                <w:b/>
              </w:rPr>
              <w:t>Mall: GWB (fortsättning)</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rPr>
            </w:pPr>
            <w:r>
              <w:rPr>
                <w:b/>
                <w:i/>
              </w:rPr>
              <w:t>Klass: GroundWaterBody (fortsättning)</w:t>
            </w:r>
          </w:p>
          <w:p w:rsidR="000215C5" w:rsidRDefault="00703023">
            <w:pPr>
              <w:spacing w:after="120"/>
              <w:jc w:val="both"/>
              <w:rPr>
                <w:b/>
                <w:i/>
              </w:rPr>
            </w:pPr>
            <w:r>
              <w:rPr>
                <w:b/>
                <w:i/>
              </w:rPr>
              <w:t xml:space="preserve">Egenskaper: </w:t>
            </w:r>
            <w:r>
              <w:rPr>
                <w:i/>
              </w:rPr>
              <w:t>maxOccur: unbounded minOccur: 1</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rPr>
            </w:pPr>
            <w:r>
              <w:rPr>
                <w:b/>
              </w:rPr>
              <w:t>Mallpost</w:t>
            </w:r>
            <w:r>
              <w:t>:</w:t>
            </w:r>
            <w:r>
              <w:rPr>
                <w:b/>
              </w:rPr>
              <w:t xml:space="preserve"> </w:t>
            </w:r>
            <w:r>
              <w:t>gwSignificantPressureType</w:t>
            </w:r>
          </w:p>
          <w:p w:rsidR="000215C5" w:rsidRDefault="00703023">
            <w:pPr>
              <w:spacing w:after="120"/>
              <w:jc w:val="both"/>
            </w:pPr>
            <w:r>
              <w:rPr>
                <w:b/>
              </w:rPr>
              <w:t xml:space="preserve">Fälttyp/alternativ: </w:t>
            </w:r>
            <w:r>
              <w:t>SignificantPressureType_Enum (se bilaga 1a)</w:t>
            </w:r>
          </w:p>
          <w:p w:rsidR="000215C5" w:rsidRDefault="00703023">
            <w:pPr>
              <w:spacing w:after="120"/>
              <w:jc w:val="both"/>
            </w:pPr>
            <w:r>
              <w:rPr>
                <w:b/>
              </w:rPr>
              <w:t xml:space="preserve">Egenskaper: </w:t>
            </w:r>
            <w:r>
              <w:t>maxOccurs = unbounded minOccurs = 1</w:t>
            </w:r>
          </w:p>
          <w:p w:rsidR="000215C5" w:rsidRDefault="00703023">
            <w:pPr>
              <w:spacing w:after="120"/>
              <w:jc w:val="both"/>
            </w:pPr>
            <w:r>
              <w:rPr>
                <w:b/>
              </w:rPr>
              <w:t>Vägledning om hur man fyller i mallposten</w:t>
            </w:r>
            <w:r>
              <w:t>: Krävs. Ange typen eller typerna av betydande påverkan från uppräkningslistan.</w:t>
            </w:r>
          </w:p>
          <w:p w:rsidR="000215C5" w:rsidRDefault="00703023">
            <w:pPr>
              <w:spacing w:after="120"/>
              <w:jc w:val="both"/>
              <w:rPr>
                <w:szCs w:val="24"/>
              </w:rPr>
            </w:pPr>
            <w:r>
              <w:t>Om en kombination av påverkan och drivkraft inte är betydande i sig, men däremot i kombination med andra, välj all relevant påverkan av den typen som leder till att den totala påverkan är betydande (om uttag av industrier eller jordbruk t.ex. inte är relevanta var för sig, men är relevanta i kombination, välj båda).</w:t>
            </w:r>
          </w:p>
          <w:p w:rsidR="000215C5" w:rsidRDefault="00703023">
            <w:pPr>
              <w:spacing w:after="120"/>
              <w:jc w:val="both"/>
            </w:pPr>
            <w:r>
              <w:t>Om grundvattenförekomstens kvantitativa status är otillfredsställande, måste minst en typ av betydande påverkan rapporteras. Alternativet ”No significant pressure” är inte giltigt.</w:t>
            </w:r>
          </w:p>
          <w:p w:rsidR="000215C5" w:rsidRDefault="00703023">
            <w:pPr>
              <w:spacing w:after="120"/>
              <w:jc w:val="both"/>
            </w:pPr>
            <w:r>
              <w:t>Om grundvattenförekomstens kemiska status är otillfredsställande, måste minst en typ av betydande påverkan rapporteras. Alternativet ”No significant pressure” är inte giltigt.</w:t>
            </w:r>
          </w:p>
          <w:p w:rsidR="000215C5" w:rsidRDefault="00703023">
            <w:pPr>
              <w:spacing w:after="120"/>
              <w:jc w:val="both"/>
            </w:pPr>
            <w:r>
              <w:rPr>
                <w:b/>
              </w:rPr>
              <w:t>Kvalitetskontroller</w:t>
            </w:r>
            <w:r>
              <w:t xml:space="preserve">: </w:t>
            </w:r>
          </w:p>
          <w:p w:rsidR="000215C5" w:rsidRDefault="00703023">
            <w:pPr>
              <w:spacing w:after="120"/>
              <w:jc w:val="both"/>
            </w:pPr>
            <w:r>
              <w:t>Intern kontroll: alternativet ”No significant pressure” går inte att kombinera med andra alternativ.</w:t>
            </w:r>
          </w:p>
          <w:p w:rsidR="000215C5" w:rsidRDefault="00703023">
            <w:pPr>
              <w:spacing w:after="120"/>
              <w:jc w:val="both"/>
            </w:pPr>
            <w:r>
              <w:t xml:space="preserve">Intern kontroll: Om GroundWaterBody/gwQuantitativeStatusValue är 3 måste minst en typ av betydande påverkan väljas från uppräkningslistan (alternativ 8 – ”Unknown pressures” får väljas). Alternativet ”No significant pressure” är inte ett giltigt val. </w:t>
            </w:r>
          </w:p>
          <w:p w:rsidR="000215C5" w:rsidRDefault="00703023">
            <w:pPr>
              <w:spacing w:after="120"/>
              <w:jc w:val="both"/>
            </w:pPr>
            <w:r>
              <w:t>Alternativet ”Not applicable” är inte giltigt.</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rPr>
            </w:pPr>
            <w:r>
              <w:rPr>
                <w:b/>
              </w:rPr>
              <w:t>Mallpost</w:t>
            </w:r>
            <w:r>
              <w:t>:</w:t>
            </w:r>
            <w:r>
              <w:rPr>
                <w:b/>
              </w:rPr>
              <w:t xml:space="preserve"> </w:t>
            </w:r>
            <w:r>
              <w:t>gwSignificantPressureOther</w:t>
            </w:r>
          </w:p>
          <w:p w:rsidR="000215C5" w:rsidRDefault="00703023">
            <w:pPr>
              <w:spacing w:after="120"/>
              <w:jc w:val="both"/>
            </w:pPr>
            <w:r>
              <w:rPr>
                <w:b/>
              </w:rPr>
              <w:t xml:space="preserve">Fälttyp/alternativ: </w:t>
            </w:r>
            <w:r>
              <w:t>String1000Type</w:t>
            </w:r>
          </w:p>
          <w:p w:rsidR="000215C5" w:rsidRDefault="00703023">
            <w:pPr>
              <w:spacing w:after="120"/>
              <w:jc w:val="both"/>
            </w:pPr>
            <w:r>
              <w:rPr>
                <w:b/>
              </w:rPr>
              <w:t>Egenskaper</w:t>
            </w:r>
            <w:r>
              <w:t>: maxOccurs = 1 minOccurs = 0</w:t>
            </w:r>
          </w:p>
          <w:p w:rsidR="000215C5" w:rsidRDefault="00703023">
            <w:pPr>
              <w:spacing w:after="120"/>
              <w:jc w:val="both"/>
            </w:pPr>
            <w:r>
              <w:rPr>
                <w:b/>
              </w:rPr>
              <w:t>Vägledning om hur man fyller i mallposten</w:t>
            </w:r>
            <w:r>
              <w:t>: Villkorlig. Om alternativ ”</w:t>
            </w:r>
            <w:r>
              <w:rPr>
                <w:rFonts w:ascii="Calibri" w:hAnsi="Calibri"/>
                <w:color w:val="000000"/>
                <w:sz w:val="22"/>
              </w:rPr>
              <w:t>7 – Anthropogenic pressure - Other</w:t>
            </w:r>
            <w:r>
              <w:t xml:space="preserve">” väljs från uppräkningslistan och rapporteras under gwSignificantPressureType, ange eventuella andra typer av mänsklig påverkan som är relevanta i denna post. Denna post ska endast rapporteras om typen av påverkan inte finns med under gwSignificantPressureType i uppräkningslistan. </w:t>
            </w:r>
          </w:p>
          <w:p w:rsidR="000215C5" w:rsidRDefault="00703023">
            <w:pPr>
              <w:spacing w:after="120"/>
              <w:jc w:val="both"/>
              <w:rPr>
                <w:szCs w:val="24"/>
              </w:rPr>
            </w:pPr>
            <w:r>
              <w:rPr>
                <w:b/>
              </w:rPr>
              <w:t>Kvalitetskontroller</w:t>
            </w:r>
            <w:r>
              <w:t>: Villkorlig kontroll: Rapportera om ”</w:t>
            </w:r>
            <w:r>
              <w:rPr>
                <w:rFonts w:ascii="Calibri" w:hAnsi="Calibri"/>
                <w:color w:val="000000"/>
                <w:sz w:val="22"/>
              </w:rPr>
              <w:t>7 – Anthropogenic pressure - Other”</w:t>
            </w:r>
            <w:r>
              <w:t xml:space="preserve"> väljs under gwSignificantPressureType i uppräkningslistan.</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tabs>
                <w:tab w:val="left" w:pos="2400"/>
              </w:tabs>
              <w:spacing w:after="120"/>
              <w:jc w:val="both"/>
              <w:rPr>
                <w:b/>
              </w:rPr>
            </w:pPr>
            <w:r>
              <w:rPr>
                <w:b/>
              </w:rPr>
              <w:t>Mallpost</w:t>
            </w:r>
            <w:r>
              <w:t>:</w:t>
            </w:r>
            <w:r>
              <w:rPr>
                <w:b/>
              </w:rPr>
              <w:t xml:space="preserve"> </w:t>
            </w:r>
            <w:r>
              <w:t>gwSignificantImpactType</w:t>
            </w:r>
          </w:p>
          <w:p w:rsidR="000215C5" w:rsidRDefault="00703023">
            <w:pPr>
              <w:spacing w:after="120"/>
              <w:jc w:val="both"/>
              <w:rPr>
                <w:szCs w:val="24"/>
              </w:rPr>
            </w:pPr>
            <w:r>
              <w:rPr>
                <w:b/>
              </w:rPr>
              <w:t xml:space="preserve">Fälttyp/alternativ: </w:t>
            </w:r>
            <w:r>
              <w:t xml:space="preserve">SignificantImpactType_Enum (se bilaga 1b)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typen eller typerna av effekter från uppräkningslistan.</w:t>
            </w:r>
          </w:p>
          <w:p w:rsidR="000215C5" w:rsidRDefault="00703023">
            <w:pPr>
              <w:spacing w:after="120"/>
              <w:jc w:val="both"/>
            </w:pPr>
            <w:r>
              <w:t>Om grundvattenförekomstens kvantitativa status är otillfredsställande, måste minst en typ av betydande effekt eller alternativet ”</w:t>
            </w:r>
            <w:r>
              <w:rPr>
                <w:rFonts w:ascii="Calibri" w:hAnsi="Calibri"/>
                <w:color w:val="000000"/>
                <w:sz w:val="22"/>
              </w:rPr>
              <w:t>UNKN – Unknown impact type</w:t>
            </w:r>
            <w:r>
              <w:t>” rapporteras. Alternativet ”</w:t>
            </w:r>
            <w:r>
              <w:rPr>
                <w:rFonts w:ascii="Calibri" w:hAnsi="Calibri"/>
                <w:color w:val="000000"/>
                <w:sz w:val="22"/>
              </w:rPr>
              <w:t>NOSI – No significant impact</w:t>
            </w:r>
            <w:r>
              <w:t>” är inte giltigt.</w:t>
            </w:r>
          </w:p>
          <w:p w:rsidR="000215C5" w:rsidRDefault="00703023">
            <w:pPr>
              <w:spacing w:after="120"/>
              <w:jc w:val="both"/>
            </w:pPr>
            <w:r>
              <w:t>Om grundvattenförekomstens kemiska status är otillfredsställande, måste minst en typ av betydande effekt eller alternativet ”</w:t>
            </w:r>
            <w:r>
              <w:rPr>
                <w:rFonts w:ascii="Calibri" w:hAnsi="Calibri"/>
                <w:color w:val="000000"/>
                <w:sz w:val="22"/>
              </w:rPr>
              <w:t>UNKN – Unknown impact type</w:t>
            </w:r>
            <w:r>
              <w:t>” rapporteras. Alternativet ”</w:t>
            </w:r>
            <w:r>
              <w:rPr>
                <w:rFonts w:ascii="Calibri" w:hAnsi="Calibri"/>
                <w:color w:val="000000"/>
                <w:sz w:val="22"/>
              </w:rPr>
              <w:t>NOSI – No significant impact</w:t>
            </w:r>
            <w:r>
              <w:t>” är inte giltigt.</w:t>
            </w:r>
          </w:p>
          <w:p w:rsidR="000215C5" w:rsidRDefault="00703023">
            <w:pPr>
              <w:spacing w:after="120"/>
              <w:jc w:val="both"/>
            </w:pPr>
            <w:r>
              <w:rPr>
                <w:b/>
              </w:rPr>
              <w:t>Kvalitetskontroller</w:t>
            </w:r>
            <w:r>
              <w:t xml:space="preserve">: </w:t>
            </w:r>
          </w:p>
          <w:p w:rsidR="000215C5" w:rsidRDefault="00703023">
            <w:pPr>
              <w:spacing w:after="120"/>
              <w:jc w:val="both"/>
            </w:pPr>
            <w:r>
              <w:t>Intern kontroll: alternativet ”</w:t>
            </w:r>
            <w:r>
              <w:rPr>
                <w:rFonts w:ascii="Calibri" w:hAnsi="Calibri"/>
                <w:color w:val="000000"/>
                <w:sz w:val="22"/>
              </w:rPr>
              <w:t>NOSI – No significant impact</w:t>
            </w:r>
            <w:r>
              <w:t>” går inte att kombinera med andra alternativ.</w:t>
            </w:r>
          </w:p>
          <w:p w:rsidR="000215C5" w:rsidRDefault="00703023">
            <w:pPr>
              <w:spacing w:after="120"/>
              <w:jc w:val="both"/>
            </w:pPr>
            <w:r>
              <w:t>Intern kontroll: Om GroundWaterBody/gwQuantitativeStatusValue är 3 måste minst en typ av betydande effekt eller alternativet ‘”</w:t>
            </w:r>
            <w:r>
              <w:rPr>
                <w:rFonts w:ascii="Calibri" w:hAnsi="Calibri"/>
                <w:color w:val="000000"/>
                <w:sz w:val="22"/>
              </w:rPr>
              <w:t>UNKN – Unknown impact type”</w:t>
            </w:r>
            <w:r>
              <w:t xml:space="preserve"> väljas från uppräkningslistan. Alternativet ”</w:t>
            </w:r>
            <w:r>
              <w:rPr>
                <w:rFonts w:ascii="Calibri" w:hAnsi="Calibri"/>
                <w:color w:val="000000"/>
                <w:sz w:val="22"/>
              </w:rPr>
              <w:t>NOSI – No significant impact</w:t>
            </w:r>
            <w:r>
              <w:t xml:space="preserve">” är inte ett giltigt val. </w:t>
            </w:r>
          </w:p>
          <w:p w:rsidR="000215C5" w:rsidRDefault="00703023">
            <w:pPr>
              <w:spacing w:after="120"/>
              <w:jc w:val="both"/>
            </w:pPr>
            <w:r>
              <w:t>Intern kontroll: Om GroundWaterBody/gwChemicalStatusValue är 3 måste minst en typ av betydande effekt eller alternativet ‘”</w:t>
            </w:r>
            <w:r>
              <w:rPr>
                <w:rFonts w:ascii="Calibri" w:hAnsi="Calibri"/>
                <w:color w:val="000000"/>
                <w:sz w:val="22"/>
              </w:rPr>
              <w:t>UNKN – Unknown impact type”</w:t>
            </w:r>
            <w:r>
              <w:t xml:space="preserve"> väljas från uppräkningslistan. Alternativet ”</w:t>
            </w:r>
            <w:r>
              <w:rPr>
                <w:rFonts w:ascii="Calibri" w:hAnsi="Calibri"/>
                <w:color w:val="000000"/>
                <w:sz w:val="22"/>
              </w:rPr>
              <w:t>NOSI – No significant impact</w:t>
            </w:r>
            <w:r>
              <w:t>” är inte ett giltigt val.</w:t>
            </w:r>
          </w:p>
          <w:p w:rsidR="000215C5" w:rsidRDefault="00703023">
            <w:pPr>
              <w:spacing w:after="120"/>
              <w:jc w:val="both"/>
              <w:rPr>
                <w:b/>
                <w:sz w:val="20"/>
              </w:rPr>
            </w:pPr>
            <w:r>
              <w:t>Alternativet ”</w:t>
            </w:r>
            <w:r>
              <w:rPr>
                <w:rFonts w:ascii="Calibri" w:hAnsi="Calibri"/>
                <w:color w:val="000000"/>
                <w:sz w:val="22"/>
              </w:rPr>
              <w:t>NOTA – Not applicable (Territorial Waters)</w:t>
            </w:r>
            <w:r>
              <w:t>” är inte giltigt.</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rPr>
            </w:pPr>
            <w:r>
              <w:rPr>
                <w:b/>
              </w:rPr>
              <w:t>Mallpost</w:t>
            </w:r>
            <w:r>
              <w:t>:</w:t>
            </w:r>
            <w:r>
              <w:rPr>
                <w:b/>
              </w:rPr>
              <w:t xml:space="preserve"> </w:t>
            </w:r>
            <w:r>
              <w:t>gwSignificantImpactOther</w:t>
            </w:r>
          </w:p>
          <w:p w:rsidR="000215C5" w:rsidRDefault="00703023">
            <w:pPr>
              <w:spacing w:after="120"/>
              <w:jc w:val="both"/>
            </w:pPr>
            <w:r>
              <w:rPr>
                <w:b/>
              </w:rPr>
              <w:t xml:space="preserve">Fälttyp/alternativ: </w:t>
            </w:r>
            <w:r>
              <w:t>String1000Type</w:t>
            </w:r>
          </w:p>
          <w:p w:rsidR="000215C5" w:rsidRDefault="00703023">
            <w:pPr>
              <w:spacing w:after="120"/>
              <w:jc w:val="both"/>
            </w:pPr>
            <w:r>
              <w:rPr>
                <w:b/>
              </w:rPr>
              <w:t>Egenskaper</w:t>
            </w:r>
            <w:r>
              <w:t>: maxOccurs = 1 minOccurs = 0</w:t>
            </w:r>
          </w:p>
          <w:p w:rsidR="000215C5" w:rsidRDefault="00703023">
            <w:pPr>
              <w:tabs>
                <w:tab w:val="left" w:pos="4740"/>
              </w:tabs>
              <w:spacing w:after="120"/>
              <w:jc w:val="both"/>
            </w:pPr>
            <w:r>
              <w:rPr>
                <w:b/>
              </w:rPr>
              <w:t>Vägledning om hur man fyller i mallposten</w:t>
            </w:r>
            <w:r>
              <w:t>: Villkorlig. Om alternativet ”</w:t>
            </w:r>
            <w:r>
              <w:rPr>
                <w:rFonts w:ascii="Calibri" w:hAnsi="Calibri"/>
                <w:color w:val="000000"/>
                <w:sz w:val="22"/>
              </w:rPr>
              <w:t>OTHE – Other significant impact type”</w:t>
            </w:r>
            <w:r w:rsidR="00AC0A95">
              <w:rPr>
                <w:rFonts w:ascii="Calibri" w:hAnsi="Calibri"/>
                <w:color w:val="000000"/>
                <w:sz w:val="22"/>
              </w:rPr>
              <w:t xml:space="preserve"> </w:t>
            </w:r>
            <w:r>
              <w:t xml:space="preserve">väljs från uppräkningslistan och rapporteras under gwSignificantImpactType, ange eventuella andra typer av effekter som är relevanta i denna post. Denna post ska endast rapporteras om typen av effekt inte finns med under gwSignificantImpactType i uppräkningslistan. </w:t>
            </w:r>
          </w:p>
          <w:p w:rsidR="000215C5" w:rsidRDefault="00703023">
            <w:pPr>
              <w:spacing w:after="120"/>
              <w:jc w:val="both"/>
              <w:rPr>
                <w:b/>
                <w:sz w:val="20"/>
              </w:rPr>
            </w:pPr>
            <w:r>
              <w:rPr>
                <w:b/>
              </w:rPr>
              <w:t>Kvalitetskontroller</w:t>
            </w:r>
            <w:r>
              <w:t>: Villkorlig kontroll: Rapportera om alternativet ”</w:t>
            </w:r>
            <w:r>
              <w:rPr>
                <w:rFonts w:ascii="Calibri" w:hAnsi="Calibri"/>
                <w:color w:val="000000"/>
                <w:sz w:val="22"/>
              </w:rPr>
              <w:t>OTHE – Other significant impact type”</w:t>
            </w:r>
            <w:r>
              <w:t xml:space="preserve"> väljs under gwSignificantImpactType i uppräkningslistan.</w:t>
            </w:r>
          </w:p>
        </w:tc>
      </w:tr>
    </w:tbl>
    <w:p w:rsidR="000215C5" w:rsidRDefault="000215C5">
      <w:pPr>
        <w:jc w:val="both"/>
      </w:pPr>
      <w:bookmarkStart w:id="208" w:name="_Ref375222358"/>
    </w:p>
    <w:p w:rsidR="000215C5" w:rsidRDefault="00703023">
      <w:pPr>
        <w:pStyle w:val="Rubrik4"/>
      </w:pPr>
      <w:r>
        <w:t>Ordlista: förtydligande av begrepp och rapporteringskrav</w:t>
      </w:r>
    </w:p>
    <w:p w:rsidR="000215C5" w:rsidRDefault="00703023">
      <w:pPr>
        <w:jc w:val="both"/>
      </w:pPr>
      <w:r>
        <w:t>Vissa medlemsstater som har ett stort antal vattenförekomster med låg påverkan</w:t>
      </w:r>
      <w:r>
        <w:rPr>
          <w:b/>
        </w:rPr>
        <w:t xml:space="preserve"> grupperar grundvattenförekomster</w:t>
      </w:r>
      <w:r>
        <w:t xml:space="preserve"> för bedömningen av påverkan och status. Den information som rapporteras för grundvattenförekomster som tillhör en grupp är därför identisk.</w:t>
      </w:r>
    </w:p>
    <w:p w:rsidR="000215C5" w:rsidRDefault="00703023">
      <w:pPr>
        <w:pStyle w:val="Rubrik2"/>
        <w:jc w:val="both"/>
      </w:pPr>
      <w:bookmarkStart w:id="209" w:name="_Toc375220063"/>
      <w:bookmarkStart w:id="210" w:name="_Toc375294161"/>
      <w:bookmarkStart w:id="211" w:name="_Toc386464220"/>
      <w:bookmarkStart w:id="212" w:name="_Toc425522048"/>
      <w:bookmarkStart w:id="213" w:name="_Toc432666060"/>
      <w:bookmarkStart w:id="214" w:name="_Toc437520256"/>
      <w:bookmarkEnd w:id="208"/>
      <w:r>
        <w:t>Kvantitativ status</w:t>
      </w:r>
      <w:bookmarkEnd w:id="209"/>
      <w:bookmarkEnd w:id="210"/>
      <w:r>
        <w:t xml:space="preserve"> hos grundvatten</w:t>
      </w:r>
      <w:bookmarkEnd w:id="211"/>
      <w:r>
        <w:t xml:space="preserve"> samt undantag</w:t>
      </w:r>
      <w:bookmarkEnd w:id="212"/>
      <w:bookmarkEnd w:id="213"/>
      <w:bookmarkEnd w:id="214"/>
    </w:p>
    <w:p w:rsidR="000215C5" w:rsidRDefault="00703023">
      <w:pPr>
        <w:pStyle w:val="Rubrik3"/>
      </w:pPr>
      <w:bookmarkStart w:id="215" w:name="_Toc375220064"/>
      <w:r>
        <w:t>Inledning</w:t>
      </w:r>
    </w:p>
    <w:p w:rsidR="000215C5" w:rsidRDefault="00703023">
      <w:pPr>
        <w:spacing w:after="120"/>
        <w:jc w:val="both"/>
        <w:rPr>
          <w:bCs/>
        </w:rPr>
      </w:pPr>
      <w:r>
        <w:t>I bilaga V och artikel 4 i vattendirektivet anges hur medlemsstaterna ska övervaka grundvatten och presentera och rapportera resultaten från bedömningen av kvantitativ status samt den metod som använts för att klassificera grundvattenförekomsterna.</w:t>
      </w:r>
    </w:p>
    <w:p w:rsidR="000215C5" w:rsidRDefault="00703023">
      <w:pPr>
        <w:jc w:val="both"/>
      </w:pPr>
      <w:r>
        <w:t xml:space="preserve">Enligt artikel 4.4–4.9 i direktivet får medlemsstaterna förlänga tidsfristerna för uppnående av god status eller ställa upp mindre stränga mål under vissa angivna omständigheter. Dessa förtydliganden finns i CIS-vägledningsdokument nr 20: </w:t>
      </w:r>
      <w:r>
        <w:rPr>
          <w:i/>
        </w:rPr>
        <w:t>Guidance Document on Exemptions to the Environmental Objectives</w:t>
      </w:r>
      <w:r>
        <w:rPr>
          <w:rStyle w:val="Fotnotsreferens"/>
        </w:rPr>
        <w:footnoteReference w:id="38"/>
      </w:r>
      <w:r>
        <w:t>. Enligt artikel 4.4–4.9 ska medlemsstaterna dessutom i sina förvaltningsplaner informera om eventuella förlängda tidsfrister eller mindre stränga mål samt skälen till detta.</w:t>
      </w:r>
    </w:p>
    <w:bookmarkEnd w:id="215"/>
    <w:p w:rsidR="000215C5" w:rsidRDefault="00703023">
      <w:pPr>
        <w:pStyle w:val="Rubrik3"/>
      </w:pPr>
      <w:r>
        <w:t>Hur kommer kommissionen och Europeiska miljöbyrån att använda den rapporterade informationen?</w:t>
      </w:r>
    </w:p>
    <w:p w:rsidR="000215C5" w:rsidRDefault="00703023">
      <w:pPr>
        <w:spacing w:after="120"/>
        <w:jc w:val="both"/>
      </w:pPr>
      <w:r>
        <w:t>Nyckelindikatorer för att bedöma efterlevnaden av vattendirektivet är andelen grundvattenförekomster med god kvantitativ status i avrinningsdistriktet eller delavrinningsdistriktet samt antal grundvattenförekomster som riskerar att inte uppnå god kvantitativ status.</w:t>
      </w:r>
    </w:p>
    <w:p w:rsidR="000215C5" w:rsidRDefault="00703023">
      <w:pPr>
        <w:spacing w:after="120"/>
        <w:jc w:val="both"/>
      </w:pPr>
      <w:r>
        <w:t xml:space="preserve">Merparten av de uppgifter och den information som rapporteras av medlemsstaterna kommer att användas för visualisering i form av kartor och diagram och för att informera allmänheten via Wise. </w:t>
      </w:r>
      <w:r w:rsidR="00FD78F1" w:rsidRPr="00FD78F1">
        <w:t xml:space="preserve">Uppgifterna och kartorna kommer dessutom att användas för att jämföra nuvarande status med den grundstatus som rapporterades i den första förvaltningsplanen </w:t>
      </w:r>
      <w:r w:rsidR="00FD78F1">
        <w:t>(t.ex. genom</w:t>
      </w:r>
      <w:r>
        <w:t xml:space="preserve"> </w:t>
      </w:r>
      <w:r w:rsidR="00FD78F1">
        <w:t xml:space="preserve">att besvara frågan </w:t>
      </w:r>
      <w:r w:rsidR="00FD78F1" w:rsidRPr="00FD78F1">
        <w:t>om huruvida vattenkvaliteten</w:t>
      </w:r>
      <w:r w:rsidR="00FD78F1">
        <w:t xml:space="preserve"> har förbättrats sedan åtgärdsprogrammet enligt vattendirektivet inleddes</w:t>
      </w:r>
      <w:r>
        <w:t>). De uppgifter och kartor som ska lämnas är således mycket viktiga eftersom de ligger till grund för trendanalyser, utformning av politik och för bedömningen av hur effektiva de politiska åtgärderna är.</w:t>
      </w:r>
    </w:p>
    <w:p w:rsidR="000215C5" w:rsidRDefault="00703023">
      <w:pPr>
        <w:pStyle w:val="Rubrik4"/>
        <w:numPr>
          <w:ilvl w:val="0"/>
          <w:numId w:val="0"/>
        </w:numPr>
      </w:pPr>
      <w:r>
        <w:t xml:space="preserve">På EU-nivå kommer statistik och information att lämnas till Europaparlamentet. Allmänheten kommer att få tillgång till informationen via Wise. </w:t>
      </w:r>
    </w:p>
    <w:p w:rsidR="000215C5" w:rsidRDefault="00703023">
      <w:pPr>
        <w:pStyle w:val="Rubrik4"/>
      </w:pPr>
      <w:r>
        <w:t>Produkter från rapporteringen</w:t>
      </w:r>
    </w:p>
    <w:p w:rsidR="000215C5" w:rsidRDefault="00703023">
      <w:pPr>
        <w:jc w:val="both"/>
      </w:pPr>
      <w:r>
        <w:t>Obs: För alla relevanta produkter kommer information om grundvattenförekomster att presenteras per antal grundvattenförekomster, per storlek (yta) samt i procent.</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1037"/>
        <w:gridCol w:w="1260"/>
        <w:gridCol w:w="1956"/>
        <w:gridCol w:w="1984"/>
        <w:gridCol w:w="1701"/>
      </w:tblGrid>
      <w:tr w:rsidR="000215C5" w:rsidTr="00413F99">
        <w:trPr>
          <w:cantSplit/>
        </w:trPr>
        <w:tc>
          <w:tcPr>
            <w:tcW w:w="455" w:type="dxa"/>
            <w:shd w:val="clear" w:color="auto" w:fill="auto"/>
          </w:tcPr>
          <w:p w:rsidR="000215C5" w:rsidRDefault="00703023">
            <w:pPr>
              <w:spacing w:after="0"/>
              <w:jc w:val="both"/>
              <w:rPr>
                <w:b/>
                <w:sz w:val="18"/>
                <w:szCs w:val="18"/>
              </w:rPr>
            </w:pPr>
            <w:r>
              <w:rPr>
                <w:b/>
                <w:sz w:val="18"/>
              </w:rPr>
              <w:t>Nb</w:t>
            </w:r>
          </w:p>
        </w:tc>
        <w:tc>
          <w:tcPr>
            <w:tcW w:w="1496" w:type="dxa"/>
            <w:shd w:val="clear" w:color="auto" w:fill="auto"/>
          </w:tcPr>
          <w:p w:rsidR="000215C5" w:rsidRDefault="00703023">
            <w:pPr>
              <w:spacing w:after="0"/>
              <w:jc w:val="both"/>
              <w:rPr>
                <w:b/>
                <w:sz w:val="18"/>
                <w:szCs w:val="18"/>
              </w:rPr>
            </w:pPr>
            <w:r>
              <w:rPr>
                <w:b/>
                <w:sz w:val="18"/>
              </w:rPr>
              <w:t>Produktens namn</w:t>
            </w:r>
          </w:p>
        </w:tc>
        <w:tc>
          <w:tcPr>
            <w:tcW w:w="1037" w:type="dxa"/>
            <w:shd w:val="clear" w:color="auto" w:fill="auto"/>
          </w:tcPr>
          <w:p w:rsidR="000215C5" w:rsidRDefault="00703023">
            <w:pPr>
              <w:spacing w:after="0"/>
              <w:jc w:val="both"/>
              <w:rPr>
                <w:b/>
                <w:sz w:val="18"/>
                <w:szCs w:val="18"/>
              </w:rPr>
            </w:pPr>
            <w:r>
              <w:rPr>
                <w:b/>
                <w:sz w:val="18"/>
              </w:rPr>
              <w:t>Produkttyp</w:t>
            </w:r>
          </w:p>
        </w:tc>
        <w:tc>
          <w:tcPr>
            <w:tcW w:w="1260" w:type="dxa"/>
            <w:shd w:val="clear" w:color="auto" w:fill="auto"/>
          </w:tcPr>
          <w:p w:rsidR="000215C5" w:rsidRDefault="00703023">
            <w:pPr>
              <w:spacing w:after="0"/>
              <w:jc w:val="both"/>
              <w:rPr>
                <w:b/>
                <w:sz w:val="18"/>
                <w:szCs w:val="18"/>
              </w:rPr>
            </w:pPr>
            <w:r>
              <w:rPr>
                <w:b/>
                <w:sz w:val="18"/>
              </w:rPr>
              <w:t>Informations</w:t>
            </w:r>
            <w:r w:rsidR="00413F99">
              <w:rPr>
                <w:b/>
                <w:sz w:val="18"/>
              </w:rPr>
              <w:t>-</w:t>
            </w:r>
            <w:r>
              <w:rPr>
                <w:b/>
                <w:sz w:val="18"/>
              </w:rPr>
              <w:t>nivå*</w:t>
            </w:r>
          </w:p>
        </w:tc>
        <w:tc>
          <w:tcPr>
            <w:tcW w:w="1956" w:type="dxa"/>
            <w:shd w:val="clear" w:color="auto" w:fill="auto"/>
          </w:tcPr>
          <w:p w:rsidR="000215C5" w:rsidRDefault="00703023">
            <w:pPr>
              <w:spacing w:after="0"/>
              <w:jc w:val="both"/>
              <w:rPr>
                <w:b/>
                <w:sz w:val="18"/>
                <w:szCs w:val="18"/>
              </w:rPr>
            </w:pPr>
            <w:r>
              <w:rPr>
                <w:b/>
                <w:sz w:val="18"/>
              </w:rPr>
              <w:t>Detaljerad information visas</w:t>
            </w:r>
          </w:p>
        </w:tc>
        <w:tc>
          <w:tcPr>
            <w:tcW w:w="1984"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701"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413F99">
        <w:trPr>
          <w:cantSplit/>
        </w:trPr>
        <w:tc>
          <w:tcPr>
            <w:tcW w:w="455" w:type="dxa"/>
            <w:shd w:val="clear" w:color="auto" w:fill="auto"/>
          </w:tcPr>
          <w:p w:rsidR="000215C5" w:rsidRDefault="00703023">
            <w:pPr>
              <w:spacing w:after="0"/>
              <w:jc w:val="both"/>
              <w:rPr>
                <w:sz w:val="18"/>
                <w:szCs w:val="18"/>
              </w:rPr>
            </w:pPr>
            <w:r>
              <w:rPr>
                <w:sz w:val="18"/>
              </w:rPr>
              <w:t>1</w:t>
            </w:r>
          </w:p>
        </w:tc>
        <w:tc>
          <w:tcPr>
            <w:tcW w:w="1496" w:type="dxa"/>
            <w:shd w:val="clear" w:color="auto" w:fill="auto"/>
          </w:tcPr>
          <w:p w:rsidR="000215C5" w:rsidRDefault="00703023">
            <w:pPr>
              <w:spacing w:after="0"/>
              <w:jc w:val="both"/>
              <w:rPr>
                <w:b/>
                <w:sz w:val="18"/>
                <w:szCs w:val="18"/>
              </w:rPr>
            </w:pPr>
            <w:r>
              <w:rPr>
                <w:b/>
                <w:sz w:val="18"/>
              </w:rPr>
              <w:t>Antal, yta och procentandel grundvattenföre</w:t>
            </w:r>
            <w:r w:rsidR="005E3909">
              <w:rPr>
                <w:b/>
                <w:sz w:val="18"/>
              </w:rPr>
              <w:t>-</w:t>
            </w:r>
            <w:r>
              <w:rPr>
                <w:b/>
                <w:sz w:val="18"/>
              </w:rPr>
              <w:t>komster med god kvantitativ status samt förväntade förbättringar</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WB</w:t>
            </w:r>
          </w:p>
        </w:tc>
        <w:tc>
          <w:tcPr>
            <w:tcW w:w="1956" w:type="dxa"/>
            <w:shd w:val="clear" w:color="auto" w:fill="auto"/>
          </w:tcPr>
          <w:p w:rsidR="000215C5" w:rsidRDefault="00703023">
            <w:pPr>
              <w:spacing w:after="0"/>
              <w:jc w:val="both"/>
              <w:rPr>
                <w:sz w:val="18"/>
                <w:szCs w:val="18"/>
              </w:rPr>
            </w:pPr>
            <w:r>
              <w:rPr>
                <w:sz w:val="18"/>
              </w:rPr>
              <w:t>Antal, yta och procentandel grundvattenföre</w:t>
            </w:r>
            <w:r w:rsidR="005E3909">
              <w:rPr>
                <w:sz w:val="18"/>
              </w:rPr>
              <w:t>-</w:t>
            </w:r>
            <w:r>
              <w:rPr>
                <w:sz w:val="18"/>
              </w:rPr>
              <w:t>komster med god kvantitativ status samt förväntade förbättringar sedan de första förvaltningsplanerna.</w:t>
            </w:r>
          </w:p>
        </w:tc>
        <w:tc>
          <w:tcPr>
            <w:tcW w:w="1984" w:type="dxa"/>
            <w:shd w:val="clear" w:color="auto" w:fill="auto"/>
          </w:tcPr>
          <w:p w:rsidR="000215C5" w:rsidRDefault="00703023">
            <w:pPr>
              <w:spacing w:after="0"/>
              <w:jc w:val="both"/>
              <w:rPr>
                <w:sz w:val="18"/>
                <w:szCs w:val="18"/>
              </w:rPr>
            </w:pPr>
            <w:r>
              <w:rPr>
                <w:sz w:val="18"/>
              </w:rPr>
              <w:t>Aggregering på grundval av den information som lämnas på vattenförekomstnivå.</w:t>
            </w:r>
          </w:p>
        </w:tc>
        <w:tc>
          <w:tcPr>
            <w:tcW w:w="1701" w:type="dxa"/>
            <w:shd w:val="clear" w:color="auto" w:fill="auto"/>
          </w:tcPr>
          <w:p w:rsidR="000215C5" w:rsidRDefault="00703023">
            <w:pPr>
              <w:spacing w:after="0"/>
              <w:jc w:val="both"/>
              <w:rPr>
                <w:sz w:val="18"/>
                <w:szCs w:val="18"/>
              </w:rPr>
            </w:pPr>
            <w:r>
              <w:rPr>
                <w:sz w:val="18"/>
              </w:rPr>
              <w:t>Ja</w:t>
            </w:r>
          </w:p>
        </w:tc>
      </w:tr>
      <w:tr w:rsidR="000215C5" w:rsidTr="00413F99">
        <w:trPr>
          <w:cantSplit/>
        </w:trPr>
        <w:tc>
          <w:tcPr>
            <w:tcW w:w="455" w:type="dxa"/>
            <w:shd w:val="clear" w:color="auto" w:fill="auto"/>
          </w:tcPr>
          <w:p w:rsidR="000215C5" w:rsidRDefault="00703023">
            <w:pPr>
              <w:spacing w:after="0"/>
              <w:jc w:val="both"/>
              <w:rPr>
                <w:sz w:val="18"/>
                <w:szCs w:val="18"/>
              </w:rPr>
            </w:pPr>
            <w:r>
              <w:rPr>
                <w:sz w:val="18"/>
              </w:rPr>
              <w:t>2</w:t>
            </w:r>
          </w:p>
        </w:tc>
        <w:tc>
          <w:tcPr>
            <w:tcW w:w="1496" w:type="dxa"/>
            <w:shd w:val="clear" w:color="auto" w:fill="auto"/>
          </w:tcPr>
          <w:p w:rsidR="000215C5" w:rsidRDefault="00703023">
            <w:pPr>
              <w:spacing w:after="0"/>
              <w:jc w:val="both"/>
              <w:rPr>
                <w:b/>
                <w:sz w:val="18"/>
                <w:szCs w:val="18"/>
              </w:rPr>
            </w:pPr>
            <w:r>
              <w:rPr>
                <w:b/>
                <w:sz w:val="18"/>
              </w:rPr>
              <w:t>Drivkrafter som leder till att vattenföre</w:t>
            </w:r>
            <w:r w:rsidR="005E3909">
              <w:rPr>
                <w:b/>
                <w:sz w:val="18"/>
              </w:rPr>
              <w:t>-</w:t>
            </w:r>
            <w:r>
              <w:rPr>
                <w:b/>
                <w:sz w:val="18"/>
              </w:rPr>
              <w:t>komsten inte uppnår god kvantitativ status</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RBD</w:t>
            </w:r>
          </w:p>
        </w:tc>
        <w:tc>
          <w:tcPr>
            <w:tcW w:w="1956" w:type="dxa"/>
            <w:shd w:val="clear" w:color="auto" w:fill="auto"/>
          </w:tcPr>
          <w:p w:rsidR="000215C5" w:rsidRDefault="00703023">
            <w:pPr>
              <w:spacing w:after="120"/>
              <w:jc w:val="both"/>
              <w:rPr>
                <w:sz w:val="18"/>
                <w:szCs w:val="18"/>
              </w:rPr>
            </w:pPr>
            <w:r>
              <w:rPr>
                <w:sz w:val="18"/>
              </w:rPr>
              <w:t>Antal samt yta för grundvattenföre</w:t>
            </w:r>
            <w:r w:rsidR="005E3909">
              <w:rPr>
                <w:sz w:val="18"/>
              </w:rPr>
              <w:t>-</w:t>
            </w:r>
            <w:r>
              <w:rPr>
                <w:sz w:val="18"/>
              </w:rPr>
              <w:t>komster som inte uppnår god kvantitativ status på grund av varje drivkraft.</w:t>
            </w:r>
          </w:p>
          <w:p w:rsidR="000215C5" w:rsidRDefault="00703023">
            <w:pPr>
              <w:spacing w:after="0"/>
              <w:jc w:val="both"/>
              <w:rPr>
                <w:sz w:val="18"/>
                <w:szCs w:val="18"/>
              </w:rPr>
            </w:pPr>
            <w:r>
              <w:rPr>
                <w:sz w:val="18"/>
              </w:rPr>
              <w:t>Procentandel grundvattenföre</w:t>
            </w:r>
            <w:r w:rsidR="005E3909">
              <w:rPr>
                <w:sz w:val="18"/>
              </w:rPr>
              <w:t>-</w:t>
            </w:r>
            <w:r>
              <w:rPr>
                <w:sz w:val="18"/>
              </w:rPr>
              <w:t>komster som inte uppnår god status på grund av varje drivkraft i förhållande till det totala antalet grundvattenföre</w:t>
            </w:r>
            <w:r w:rsidR="005E3909">
              <w:rPr>
                <w:sz w:val="18"/>
              </w:rPr>
              <w:t>-</w:t>
            </w:r>
            <w:r>
              <w:rPr>
                <w:sz w:val="18"/>
              </w:rPr>
              <w:t>komster som inte uppnår god status.</w:t>
            </w:r>
          </w:p>
        </w:tc>
        <w:tc>
          <w:tcPr>
            <w:tcW w:w="1984" w:type="dxa"/>
            <w:shd w:val="clear" w:color="auto" w:fill="auto"/>
          </w:tcPr>
          <w:p w:rsidR="000215C5" w:rsidRDefault="00703023">
            <w:pPr>
              <w:spacing w:after="0"/>
              <w:jc w:val="both"/>
              <w:rPr>
                <w:sz w:val="18"/>
                <w:szCs w:val="18"/>
              </w:rPr>
            </w:pPr>
            <w:r>
              <w:rPr>
                <w:sz w:val="18"/>
              </w:rPr>
              <w:t xml:space="preserve">Aggregering på grundval av den information om påverkan som lämnas på vattenförekomstnivå. </w:t>
            </w:r>
          </w:p>
        </w:tc>
        <w:tc>
          <w:tcPr>
            <w:tcW w:w="1701" w:type="dxa"/>
            <w:shd w:val="clear" w:color="auto" w:fill="auto"/>
          </w:tcPr>
          <w:p w:rsidR="000215C5" w:rsidRDefault="00703023">
            <w:pPr>
              <w:spacing w:after="0"/>
              <w:jc w:val="both"/>
              <w:rPr>
                <w:sz w:val="18"/>
                <w:szCs w:val="18"/>
              </w:rPr>
            </w:pPr>
            <w:r>
              <w:rPr>
                <w:sz w:val="18"/>
              </w:rPr>
              <w:t>Ej möjligt (drivkrafter rapporterades inte om de inte var kopplade till påverkan som rapporterats på detaljerad nivå, vilket var valfritt).</w:t>
            </w:r>
          </w:p>
        </w:tc>
      </w:tr>
      <w:tr w:rsidR="000215C5" w:rsidTr="00413F99">
        <w:trPr>
          <w:cantSplit/>
        </w:trPr>
        <w:tc>
          <w:tcPr>
            <w:tcW w:w="455" w:type="dxa"/>
            <w:shd w:val="clear" w:color="auto" w:fill="auto"/>
          </w:tcPr>
          <w:p w:rsidR="000215C5" w:rsidRDefault="00703023">
            <w:pPr>
              <w:spacing w:after="0"/>
              <w:jc w:val="both"/>
              <w:rPr>
                <w:sz w:val="18"/>
                <w:szCs w:val="18"/>
              </w:rPr>
            </w:pPr>
            <w:r>
              <w:rPr>
                <w:sz w:val="18"/>
              </w:rPr>
              <w:t>3</w:t>
            </w:r>
          </w:p>
        </w:tc>
        <w:tc>
          <w:tcPr>
            <w:tcW w:w="1496" w:type="dxa"/>
            <w:shd w:val="clear" w:color="auto" w:fill="auto"/>
          </w:tcPr>
          <w:p w:rsidR="000215C5" w:rsidRDefault="00703023">
            <w:pPr>
              <w:spacing w:after="0"/>
              <w:jc w:val="both"/>
              <w:rPr>
                <w:b/>
                <w:sz w:val="18"/>
                <w:szCs w:val="18"/>
              </w:rPr>
            </w:pPr>
            <w:r>
              <w:rPr>
                <w:b/>
                <w:sz w:val="18"/>
              </w:rPr>
              <w:t>Kvantitativ status hos grundvattenföre</w:t>
            </w:r>
            <w:r w:rsidR="005E3909">
              <w:rPr>
                <w:b/>
                <w:sz w:val="18"/>
              </w:rPr>
              <w:t>-</w:t>
            </w:r>
            <w:r>
              <w:rPr>
                <w:b/>
                <w:sz w:val="18"/>
              </w:rPr>
              <w:t>komster</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Nationell nivå</w:t>
            </w:r>
          </w:p>
        </w:tc>
        <w:tc>
          <w:tcPr>
            <w:tcW w:w="1956" w:type="dxa"/>
            <w:shd w:val="clear" w:color="auto" w:fill="auto"/>
          </w:tcPr>
          <w:p w:rsidR="000215C5" w:rsidRDefault="00703023">
            <w:pPr>
              <w:spacing w:after="0"/>
              <w:jc w:val="both"/>
              <w:rPr>
                <w:sz w:val="18"/>
                <w:szCs w:val="18"/>
              </w:rPr>
            </w:pPr>
            <w:r>
              <w:rPr>
                <w:sz w:val="18"/>
              </w:rPr>
              <w:t>Procentandel grundvattenföre</w:t>
            </w:r>
            <w:r w:rsidR="005E3909">
              <w:rPr>
                <w:sz w:val="18"/>
              </w:rPr>
              <w:t>-</w:t>
            </w:r>
            <w:r>
              <w:rPr>
                <w:sz w:val="18"/>
              </w:rPr>
              <w:t xml:space="preserve">komster med otillfredsställande respektive god kvantitativ status per yta. </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Nej</w:t>
            </w:r>
          </w:p>
        </w:tc>
      </w:tr>
      <w:tr w:rsidR="000215C5" w:rsidTr="00413F99">
        <w:trPr>
          <w:cantSplit/>
        </w:trPr>
        <w:tc>
          <w:tcPr>
            <w:tcW w:w="455" w:type="dxa"/>
            <w:shd w:val="clear" w:color="auto" w:fill="auto"/>
          </w:tcPr>
          <w:p w:rsidR="000215C5" w:rsidRDefault="00703023">
            <w:pPr>
              <w:spacing w:after="0"/>
              <w:jc w:val="both"/>
              <w:rPr>
                <w:sz w:val="18"/>
                <w:szCs w:val="18"/>
              </w:rPr>
            </w:pPr>
            <w:r>
              <w:rPr>
                <w:sz w:val="18"/>
              </w:rPr>
              <w:t>4</w:t>
            </w:r>
          </w:p>
        </w:tc>
        <w:tc>
          <w:tcPr>
            <w:tcW w:w="1496" w:type="dxa"/>
            <w:shd w:val="clear" w:color="auto" w:fill="auto"/>
          </w:tcPr>
          <w:p w:rsidR="000215C5" w:rsidRDefault="00703023">
            <w:pPr>
              <w:spacing w:after="0"/>
              <w:jc w:val="both"/>
              <w:rPr>
                <w:b/>
                <w:sz w:val="18"/>
                <w:szCs w:val="18"/>
              </w:rPr>
            </w:pPr>
            <w:r>
              <w:rPr>
                <w:b/>
                <w:sz w:val="18"/>
              </w:rPr>
              <w:t>Kvantitativ status hos grundvattenföre</w:t>
            </w:r>
            <w:r w:rsidR="005E3909">
              <w:rPr>
                <w:b/>
                <w:sz w:val="18"/>
              </w:rPr>
              <w:t>-</w:t>
            </w:r>
            <w:r>
              <w:rPr>
                <w:b/>
                <w:sz w:val="18"/>
              </w:rPr>
              <w:t>komster</w:t>
            </w:r>
          </w:p>
        </w:tc>
        <w:tc>
          <w:tcPr>
            <w:tcW w:w="1037" w:type="dxa"/>
            <w:shd w:val="clear" w:color="auto" w:fill="auto"/>
          </w:tcPr>
          <w:p w:rsidR="000215C5" w:rsidRDefault="00703023">
            <w:pPr>
              <w:spacing w:after="0"/>
              <w:jc w:val="both"/>
              <w:rPr>
                <w:sz w:val="18"/>
                <w:szCs w:val="18"/>
              </w:rPr>
            </w:pPr>
            <w:r>
              <w:rPr>
                <w:sz w:val="18"/>
              </w:rPr>
              <w:t>Karta</w:t>
            </w:r>
          </w:p>
        </w:tc>
        <w:tc>
          <w:tcPr>
            <w:tcW w:w="1260" w:type="dxa"/>
            <w:shd w:val="clear" w:color="auto" w:fill="auto"/>
          </w:tcPr>
          <w:p w:rsidR="000215C5" w:rsidRDefault="00703023">
            <w:pPr>
              <w:spacing w:after="0"/>
              <w:jc w:val="both"/>
              <w:rPr>
                <w:sz w:val="18"/>
                <w:szCs w:val="18"/>
              </w:rPr>
            </w:pPr>
            <w:r>
              <w:rPr>
                <w:sz w:val="18"/>
              </w:rPr>
              <w:t>RBD</w:t>
            </w:r>
          </w:p>
        </w:tc>
        <w:tc>
          <w:tcPr>
            <w:tcW w:w="1956" w:type="dxa"/>
            <w:shd w:val="clear" w:color="auto" w:fill="auto"/>
          </w:tcPr>
          <w:p w:rsidR="000215C5" w:rsidRDefault="00703023">
            <w:pPr>
              <w:spacing w:after="0"/>
              <w:jc w:val="both"/>
              <w:rPr>
                <w:sz w:val="18"/>
                <w:szCs w:val="18"/>
              </w:rPr>
            </w:pPr>
            <w:r>
              <w:rPr>
                <w:sz w:val="18"/>
              </w:rPr>
              <w:t>Procentandel grundvattenföre</w:t>
            </w:r>
            <w:r w:rsidR="005E3909">
              <w:rPr>
                <w:sz w:val="18"/>
              </w:rPr>
              <w:t>-</w:t>
            </w:r>
            <w:r>
              <w:rPr>
                <w:sz w:val="18"/>
              </w:rPr>
              <w:t>komster som inte uppnår god kvantitativ status per yta.</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701" w:type="dxa"/>
            <w:shd w:val="clear" w:color="auto" w:fill="auto"/>
          </w:tcPr>
          <w:p w:rsidR="000215C5" w:rsidRDefault="00703023">
            <w:pPr>
              <w:spacing w:after="0"/>
              <w:jc w:val="both"/>
              <w:rPr>
                <w:sz w:val="18"/>
                <w:szCs w:val="18"/>
              </w:rPr>
            </w:pPr>
            <w:r>
              <w:rPr>
                <w:sz w:val="18"/>
              </w:rPr>
              <w:t>Ja</w:t>
            </w:r>
          </w:p>
        </w:tc>
      </w:tr>
      <w:tr w:rsidR="000215C5" w:rsidTr="00413F99">
        <w:trPr>
          <w:cantSplit/>
        </w:trPr>
        <w:tc>
          <w:tcPr>
            <w:tcW w:w="455" w:type="dxa"/>
            <w:shd w:val="clear" w:color="auto" w:fill="auto"/>
          </w:tcPr>
          <w:p w:rsidR="000215C5" w:rsidRDefault="00703023">
            <w:pPr>
              <w:spacing w:after="0"/>
              <w:jc w:val="both"/>
              <w:rPr>
                <w:sz w:val="18"/>
                <w:szCs w:val="18"/>
              </w:rPr>
            </w:pPr>
            <w:r>
              <w:rPr>
                <w:sz w:val="18"/>
              </w:rPr>
              <w:t>5</w:t>
            </w:r>
          </w:p>
        </w:tc>
        <w:tc>
          <w:tcPr>
            <w:tcW w:w="1496" w:type="dxa"/>
            <w:shd w:val="clear" w:color="auto" w:fill="auto"/>
          </w:tcPr>
          <w:p w:rsidR="000215C5" w:rsidRDefault="00703023">
            <w:pPr>
              <w:spacing w:after="0"/>
              <w:jc w:val="both"/>
              <w:rPr>
                <w:b/>
                <w:sz w:val="18"/>
                <w:szCs w:val="18"/>
              </w:rPr>
            </w:pPr>
            <w:r w:rsidRPr="005E3909">
              <w:rPr>
                <w:b/>
                <w:sz w:val="18"/>
              </w:rPr>
              <w:t>Aggregerings</w:t>
            </w:r>
            <w:r w:rsidR="005E3909" w:rsidRPr="005E3909">
              <w:rPr>
                <w:b/>
                <w:sz w:val="18"/>
              </w:rPr>
              <w:t>-</w:t>
            </w:r>
            <w:r w:rsidRPr="005E3909">
              <w:rPr>
                <w:b/>
                <w:sz w:val="18"/>
              </w:rPr>
              <w:t>tabeller</w:t>
            </w:r>
            <w:r>
              <w:rPr>
                <w:b/>
                <w:sz w:val="18"/>
              </w:rPr>
              <w:t xml:space="preserve"> Kvantitativ och kemisk status hos grundvattenföre</w:t>
            </w:r>
            <w:r w:rsidR="005E3909">
              <w:rPr>
                <w:b/>
                <w:sz w:val="18"/>
              </w:rPr>
              <w:t>-</w:t>
            </w:r>
            <w:r>
              <w:rPr>
                <w:b/>
                <w:sz w:val="18"/>
              </w:rPr>
              <w:t xml:space="preserve">komster </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MS/RBD</w:t>
            </w:r>
          </w:p>
        </w:tc>
        <w:tc>
          <w:tcPr>
            <w:tcW w:w="1956" w:type="dxa"/>
            <w:shd w:val="clear" w:color="auto" w:fill="auto"/>
          </w:tcPr>
          <w:p w:rsidR="000215C5" w:rsidRDefault="00703023">
            <w:pPr>
              <w:spacing w:after="0"/>
              <w:jc w:val="both"/>
              <w:rPr>
                <w:sz w:val="18"/>
                <w:szCs w:val="18"/>
              </w:rPr>
            </w:pPr>
            <w:r>
              <w:rPr>
                <w:sz w:val="18"/>
              </w:rPr>
              <w:t>Antal och storlek (yta) för grundvattenföre</w:t>
            </w:r>
            <w:r w:rsidR="005E3909">
              <w:rPr>
                <w:sz w:val="18"/>
              </w:rPr>
              <w:t>-</w:t>
            </w:r>
            <w:r>
              <w:rPr>
                <w:sz w:val="18"/>
              </w:rPr>
              <w:t>komster per kvantitativ statusklass.</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Ja</w:t>
            </w:r>
          </w:p>
        </w:tc>
      </w:tr>
      <w:tr w:rsidR="000215C5" w:rsidTr="00413F99">
        <w:trPr>
          <w:cantSplit/>
        </w:trPr>
        <w:tc>
          <w:tcPr>
            <w:tcW w:w="455" w:type="dxa"/>
            <w:shd w:val="clear" w:color="auto" w:fill="auto"/>
          </w:tcPr>
          <w:p w:rsidR="000215C5" w:rsidRDefault="00703023">
            <w:pPr>
              <w:spacing w:after="0"/>
              <w:jc w:val="both"/>
              <w:rPr>
                <w:sz w:val="18"/>
                <w:szCs w:val="18"/>
              </w:rPr>
            </w:pPr>
            <w:r>
              <w:rPr>
                <w:sz w:val="18"/>
              </w:rPr>
              <w:t>6</w:t>
            </w:r>
          </w:p>
        </w:tc>
        <w:tc>
          <w:tcPr>
            <w:tcW w:w="1496" w:type="dxa"/>
            <w:shd w:val="clear" w:color="auto" w:fill="auto"/>
          </w:tcPr>
          <w:p w:rsidR="000215C5" w:rsidRDefault="00703023">
            <w:pPr>
              <w:spacing w:after="0"/>
              <w:jc w:val="both"/>
              <w:rPr>
                <w:b/>
                <w:sz w:val="18"/>
                <w:szCs w:val="18"/>
              </w:rPr>
            </w:pPr>
            <w:r>
              <w:rPr>
                <w:b/>
                <w:sz w:val="18"/>
              </w:rPr>
              <w:t>Framsteg mot att uppnå god kvantitativ status sedan den första förvaltnings</w:t>
            </w:r>
            <w:r w:rsidR="00AC0A95">
              <w:rPr>
                <w:b/>
                <w:sz w:val="18"/>
              </w:rPr>
              <w:t>-</w:t>
            </w:r>
            <w:r>
              <w:rPr>
                <w:b/>
                <w:sz w:val="18"/>
              </w:rPr>
              <w:t>planen</w:t>
            </w:r>
          </w:p>
        </w:tc>
        <w:tc>
          <w:tcPr>
            <w:tcW w:w="1037" w:type="dxa"/>
            <w:shd w:val="clear" w:color="auto" w:fill="auto"/>
          </w:tcPr>
          <w:p w:rsidR="000215C5" w:rsidRDefault="00703023">
            <w:pPr>
              <w:spacing w:after="0"/>
              <w:jc w:val="both"/>
              <w:rPr>
                <w:sz w:val="18"/>
                <w:szCs w:val="18"/>
              </w:rPr>
            </w:pPr>
            <w:r>
              <w:rPr>
                <w:sz w:val="18"/>
              </w:rPr>
              <w:t>Karta/diagram</w:t>
            </w:r>
          </w:p>
        </w:tc>
        <w:tc>
          <w:tcPr>
            <w:tcW w:w="1260" w:type="dxa"/>
            <w:shd w:val="clear" w:color="auto" w:fill="auto"/>
          </w:tcPr>
          <w:p w:rsidR="000215C5" w:rsidRDefault="00703023">
            <w:pPr>
              <w:spacing w:after="0"/>
              <w:jc w:val="both"/>
              <w:rPr>
                <w:sz w:val="18"/>
                <w:szCs w:val="18"/>
              </w:rPr>
            </w:pPr>
            <w:r>
              <w:rPr>
                <w:sz w:val="18"/>
              </w:rPr>
              <w:t>MS/RBD</w:t>
            </w:r>
          </w:p>
        </w:tc>
        <w:tc>
          <w:tcPr>
            <w:tcW w:w="1956" w:type="dxa"/>
            <w:shd w:val="clear" w:color="auto" w:fill="auto"/>
          </w:tcPr>
          <w:p w:rsidR="000215C5" w:rsidRDefault="00703023">
            <w:pPr>
              <w:spacing w:after="0"/>
              <w:jc w:val="both"/>
              <w:rPr>
                <w:sz w:val="18"/>
                <w:szCs w:val="18"/>
              </w:rPr>
            </w:pPr>
            <w:r>
              <w:rPr>
                <w:sz w:val="18"/>
              </w:rPr>
              <w:t>Antal, yta och procentandel grundvattenföre</w:t>
            </w:r>
            <w:r w:rsidR="005E3909">
              <w:rPr>
                <w:sz w:val="18"/>
              </w:rPr>
              <w:t>-</w:t>
            </w:r>
            <w:r>
              <w:rPr>
                <w:sz w:val="18"/>
              </w:rPr>
              <w:t>komster som har uppnått god kvantitativ status sedan de första förvaltningsplanerna.</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grundvattenföre</w:t>
            </w:r>
            <w:r w:rsidR="005E3909">
              <w:rPr>
                <w:sz w:val="18"/>
              </w:rPr>
              <w:t>-</w:t>
            </w:r>
            <w:r>
              <w:rPr>
                <w:sz w:val="18"/>
              </w:rPr>
              <w:t>komstnivå.</w:t>
            </w:r>
          </w:p>
        </w:tc>
        <w:tc>
          <w:tcPr>
            <w:tcW w:w="1701" w:type="dxa"/>
            <w:shd w:val="clear" w:color="auto" w:fill="auto"/>
          </w:tcPr>
          <w:p w:rsidR="000215C5" w:rsidRDefault="00703023">
            <w:pPr>
              <w:spacing w:after="0"/>
              <w:jc w:val="both"/>
              <w:rPr>
                <w:sz w:val="18"/>
                <w:szCs w:val="18"/>
              </w:rPr>
            </w:pPr>
            <w:r>
              <w:rPr>
                <w:sz w:val="18"/>
              </w:rPr>
              <w:t>Ej relevant för rapporteringen 2010.</w:t>
            </w:r>
          </w:p>
        </w:tc>
      </w:tr>
      <w:tr w:rsidR="000215C5" w:rsidTr="00413F99">
        <w:trPr>
          <w:cantSplit/>
        </w:trPr>
        <w:tc>
          <w:tcPr>
            <w:tcW w:w="455" w:type="dxa"/>
            <w:shd w:val="clear" w:color="auto" w:fill="auto"/>
          </w:tcPr>
          <w:p w:rsidR="000215C5" w:rsidRDefault="00703023">
            <w:pPr>
              <w:spacing w:after="0"/>
              <w:jc w:val="both"/>
              <w:rPr>
                <w:sz w:val="18"/>
                <w:szCs w:val="18"/>
              </w:rPr>
            </w:pPr>
            <w:r>
              <w:rPr>
                <w:sz w:val="18"/>
              </w:rPr>
              <w:t>7</w:t>
            </w:r>
          </w:p>
        </w:tc>
        <w:tc>
          <w:tcPr>
            <w:tcW w:w="1496" w:type="dxa"/>
            <w:shd w:val="clear" w:color="auto" w:fill="auto"/>
          </w:tcPr>
          <w:p w:rsidR="000215C5" w:rsidRDefault="00703023">
            <w:pPr>
              <w:spacing w:after="0"/>
              <w:jc w:val="both"/>
              <w:rPr>
                <w:b/>
                <w:sz w:val="18"/>
                <w:szCs w:val="18"/>
              </w:rPr>
            </w:pPr>
            <w:r>
              <w:rPr>
                <w:b/>
                <w:sz w:val="18"/>
              </w:rPr>
              <w:t>Förbättringar av kvantitativ status sedan den första förvaltnings</w:t>
            </w:r>
            <w:r w:rsidR="005E3909">
              <w:rPr>
                <w:b/>
                <w:sz w:val="18"/>
              </w:rPr>
              <w:t>-</w:t>
            </w:r>
            <w:r>
              <w:rPr>
                <w:b/>
                <w:sz w:val="18"/>
              </w:rPr>
              <w:t xml:space="preserve">planen </w:t>
            </w:r>
          </w:p>
        </w:tc>
        <w:tc>
          <w:tcPr>
            <w:tcW w:w="1037" w:type="dxa"/>
            <w:shd w:val="clear" w:color="auto" w:fill="auto"/>
          </w:tcPr>
          <w:p w:rsidR="000215C5" w:rsidRDefault="00703023">
            <w:pPr>
              <w:spacing w:after="0"/>
              <w:jc w:val="both"/>
              <w:rPr>
                <w:sz w:val="18"/>
                <w:szCs w:val="18"/>
              </w:rPr>
            </w:pPr>
            <w:r>
              <w:rPr>
                <w:sz w:val="18"/>
              </w:rPr>
              <w:t>Karta/diagram</w:t>
            </w:r>
          </w:p>
        </w:tc>
        <w:tc>
          <w:tcPr>
            <w:tcW w:w="1260" w:type="dxa"/>
            <w:shd w:val="clear" w:color="auto" w:fill="auto"/>
          </w:tcPr>
          <w:p w:rsidR="000215C5" w:rsidRDefault="00703023">
            <w:pPr>
              <w:spacing w:after="0"/>
              <w:jc w:val="both"/>
              <w:rPr>
                <w:sz w:val="18"/>
                <w:szCs w:val="18"/>
              </w:rPr>
            </w:pPr>
            <w:r>
              <w:rPr>
                <w:sz w:val="18"/>
              </w:rPr>
              <w:t>Nationellt/RBD</w:t>
            </w:r>
          </w:p>
        </w:tc>
        <w:tc>
          <w:tcPr>
            <w:tcW w:w="1956" w:type="dxa"/>
            <w:shd w:val="clear" w:color="auto" w:fill="auto"/>
          </w:tcPr>
          <w:p w:rsidR="000215C5" w:rsidRDefault="00703023">
            <w:pPr>
              <w:spacing w:after="0"/>
              <w:jc w:val="both"/>
              <w:rPr>
                <w:sz w:val="18"/>
                <w:szCs w:val="18"/>
              </w:rPr>
            </w:pPr>
            <w:r>
              <w:rPr>
                <w:sz w:val="18"/>
              </w:rPr>
              <w:t xml:space="preserve">Procentandel vattenförekomster med förbättrad kvantitativ status sedan den första förvaltningsplanen. </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Ej relevant för rapporteringen 2010.</w:t>
            </w:r>
          </w:p>
        </w:tc>
      </w:tr>
      <w:tr w:rsidR="000215C5" w:rsidTr="00413F99">
        <w:trPr>
          <w:cantSplit/>
        </w:trPr>
        <w:tc>
          <w:tcPr>
            <w:tcW w:w="455" w:type="dxa"/>
            <w:shd w:val="clear" w:color="auto" w:fill="auto"/>
          </w:tcPr>
          <w:p w:rsidR="000215C5" w:rsidRDefault="00703023">
            <w:pPr>
              <w:spacing w:after="0"/>
              <w:jc w:val="both"/>
              <w:rPr>
                <w:sz w:val="18"/>
                <w:szCs w:val="18"/>
              </w:rPr>
            </w:pPr>
            <w:r>
              <w:rPr>
                <w:sz w:val="18"/>
              </w:rPr>
              <w:t>8</w:t>
            </w:r>
          </w:p>
        </w:tc>
        <w:tc>
          <w:tcPr>
            <w:tcW w:w="1496" w:type="dxa"/>
            <w:shd w:val="clear" w:color="auto" w:fill="auto"/>
          </w:tcPr>
          <w:p w:rsidR="000215C5" w:rsidRDefault="00703023">
            <w:pPr>
              <w:spacing w:after="0"/>
              <w:jc w:val="both"/>
              <w:rPr>
                <w:b/>
                <w:sz w:val="18"/>
                <w:szCs w:val="18"/>
              </w:rPr>
            </w:pPr>
            <w:r>
              <w:rPr>
                <w:b/>
                <w:sz w:val="18"/>
              </w:rPr>
              <w:t>Orsaker till undantagen enligt artikel 4.4</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Undantag som rapporterats av medlemsstaterna för att förlänga tidsfristen för uppnående av god kvantitativ status efter 2015 samt angivna orsaker (naturliga förhållanden, teknisk genomförbarhet, oproportionerliga kostnader eller en kombination av dessa orsaker).</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Ja</w:t>
            </w:r>
          </w:p>
        </w:tc>
      </w:tr>
      <w:tr w:rsidR="000215C5" w:rsidTr="00413F99">
        <w:trPr>
          <w:cantSplit/>
        </w:trPr>
        <w:tc>
          <w:tcPr>
            <w:tcW w:w="455" w:type="dxa"/>
            <w:shd w:val="clear" w:color="auto" w:fill="auto"/>
          </w:tcPr>
          <w:p w:rsidR="000215C5" w:rsidRDefault="00703023">
            <w:pPr>
              <w:spacing w:after="0"/>
              <w:jc w:val="both"/>
              <w:rPr>
                <w:sz w:val="18"/>
                <w:szCs w:val="18"/>
              </w:rPr>
            </w:pPr>
            <w:r>
              <w:rPr>
                <w:sz w:val="18"/>
              </w:rPr>
              <w:t>9</w:t>
            </w:r>
          </w:p>
        </w:tc>
        <w:tc>
          <w:tcPr>
            <w:tcW w:w="1496" w:type="dxa"/>
            <w:shd w:val="clear" w:color="auto" w:fill="auto"/>
          </w:tcPr>
          <w:p w:rsidR="000215C5" w:rsidRDefault="00703023">
            <w:pPr>
              <w:spacing w:after="0"/>
              <w:jc w:val="both"/>
              <w:rPr>
                <w:b/>
                <w:sz w:val="18"/>
                <w:szCs w:val="18"/>
              </w:rPr>
            </w:pPr>
            <w:r>
              <w:rPr>
                <w:b/>
                <w:sz w:val="18"/>
              </w:rPr>
              <w:t>Procentandel grundvattenföre</w:t>
            </w:r>
            <w:r w:rsidR="005E3909">
              <w:rPr>
                <w:b/>
                <w:sz w:val="18"/>
              </w:rPr>
              <w:t>-</w:t>
            </w:r>
            <w:r>
              <w:rPr>
                <w:b/>
                <w:sz w:val="18"/>
              </w:rPr>
              <w:t>komster som förväntas ha god kvantitativ status 2015</w:t>
            </w:r>
          </w:p>
        </w:tc>
        <w:tc>
          <w:tcPr>
            <w:tcW w:w="1037" w:type="dxa"/>
            <w:shd w:val="clear" w:color="auto" w:fill="auto"/>
          </w:tcPr>
          <w:p w:rsidR="000215C5" w:rsidRDefault="00703023">
            <w:pPr>
              <w:spacing w:after="0"/>
              <w:jc w:val="both"/>
              <w:rPr>
                <w:sz w:val="18"/>
                <w:szCs w:val="18"/>
              </w:rPr>
            </w:pPr>
            <w:r>
              <w:rPr>
                <w:sz w:val="18"/>
              </w:rPr>
              <w:t>Karta/diagram/tabell</w:t>
            </w:r>
          </w:p>
        </w:tc>
        <w:tc>
          <w:tcPr>
            <w:tcW w:w="1260" w:type="dxa"/>
            <w:shd w:val="clear" w:color="auto" w:fill="auto"/>
          </w:tcPr>
          <w:p w:rsidR="000215C5" w:rsidRDefault="00703023">
            <w:pPr>
              <w:spacing w:after="0"/>
              <w:jc w:val="both"/>
              <w:rPr>
                <w:sz w:val="18"/>
                <w:szCs w:val="18"/>
              </w:rPr>
            </w:pPr>
            <w:r>
              <w:rPr>
                <w:sz w:val="18"/>
              </w:rPr>
              <w:t>EU/MS/RBD</w:t>
            </w:r>
          </w:p>
        </w:tc>
        <w:tc>
          <w:tcPr>
            <w:tcW w:w="1956" w:type="dxa"/>
            <w:shd w:val="clear" w:color="auto" w:fill="auto"/>
          </w:tcPr>
          <w:p w:rsidR="000215C5" w:rsidRDefault="00703023">
            <w:pPr>
              <w:spacing w:after="0"/>
              <w:jc w:val="both"/>
              <w:rPr>
                <w:sz w:val="18"/>
                <w:szCs w:val="18"/>
              </w:rPr>
            </w:pPr>
            <w:r>
              <w:rPr>
                <w:sz w:val="18"/>
              </w:rPr>
              <w:t>Antal, yta och procentandel grundvattenföre</w:t>
            </w:r>
            <w:r w:rsidR="005E3909">
              <w:rPr>
                <w:sz w:val="18"/>
              </w:rPr>
              <w:t>-</w:t>
            </w:r>
            <w:r>
              <w:rPr>
                <w:sz w:val="18"/>
              </w:rPr>
              <w:t>komster som förväntas ha god kvantitativ status 2015.</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Nej</w:t>
            </w:r>
          </w:p>
        </w:tc>
      </w:tr>
    </w:tbl>
    <w:p w:rsidR="000215C5" w:rsidRDefault="00703023">
      <w:pPr>
        <w:jc w:val="both"/>
        <w:rPr>
          <w:sz w:val="20"/>
        </w:rPr>
      </w:pPr>
      <w:r>
        <w:rPr>
          <w:b/>
          <w:sz w:val="20"/>
        </w:rPr>
        <w:t>Anmärkningar:</w:t>
      </w:r>
      <w:r>
        <w:rPr>
          <w:sz w:val="20"/>
        </w:rPr>
        <w:t xml:space="preserve"> * Informationsnivå: EU = europeisk nivå, MS = nationell nivå, medlemsstatsnivå, RBD = avrinningsdistrikt, SU = delavrinningsdistrikt, WB = vattenförekomst.</w:t>
      </w:r>
    </w:p>
    <w:p w:rsidR="000215C5" w:rsidRDefault="00703023">
      <w:pPr>
        <w:pStyle w:val="Rubrik3"/>
      </w:pPr>
      <w:bookmarkStart w:id="216" w:name="_Toc375220065"/>
      <w:r>
        <w:t>Innehåll i rapporteringen 2016</w:t>
      </w:r>
      <w:bookmarkEnd w:id="216"/>
    </w:p>
    <w:p w:rsidR="000215C5" w:rsidRDefault="00703023">
      <w:pPr>
        <w:pStyle w:val="Rubrik4"/>
      </w:pPr>
      <w:bookmarkStart w:id="217" w:name="_Ref375222476"/>
      <w:r>
        <w:t>Skiss över mallarna</w:t>
      </w:r>
    </w:p>
    <w:p w:rsidR="000215C5" w:rsidRDefault="00703023">
      <w:pPr>
        <w:jc w:val="both"/>
      </w:pPr>
      <w:r>
        <w:t>Se bilaga 10.3.</w:t>
      </w:r>
    </w:p>
    <w:p w:rsidR="000215C5" w:rsidRDefault="00703023">
      <w:pPr>
        <w:pStyle w:val="Rubrik4"/>
      </w:pPr>
      <w:bookmarkStart w:id="218" w:name="_Ref382298467"/>
      <w:bookmarkEnd w:id="217"/>
      <w:r>
        <w:t>Information och uppgifter som ska rapporteras med hjälp av mallarna</w:t>
      </w:r>
      <w:bookmarkEnd w:id="218"/>
    </w:p>
    <w:p w:rsidR="000215C5" w:rsidRDefault="00703023">
      <w:pPr>
        <w:jc w:val="both"/>
      </w:pPr>
      <w:r>
        <w:t>Information om kvantitativ status hos grundvattenförekomster ska rapporteras på grundvattenförekomstnivå enligt mallen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GWB (fortsättning)</w:t>
            </w:r>
          </w:p>
        </w:tc>
      </w:tr>
      <w:tr w:rsidR="000215C5">
        <w:tc>
          <w:tcPr>
            <w:tcW w:w="9889" w:type="dxa"/>
            <w:shd w:val="clear" w:color="auto" w:fill="auto"/>
          </w:tcPr>
          <w:p w:rsidR="000215C5" w:rsidRDefault="00703023">
            <w:pPr>
              <w:spacing w:after="120"/>
              <w:jc w:val="both"/>
              <w:rPr>
                <w:b/>
                <w:i/>
                <w:szCs w:val="24"/>
              </w:rPr>
            </w:pPr>
            <w:r>
              <w:rPr>
                <w:b/>
                <w:i/>
              </w:rPr>
              <w:t xml:space="preserve">Klass: GroundWaterBody (fortsättning) </w:t>
            </w:r>
          </w:p>
          <w:p w:rsidR="000215C5" w:rsidRDefault="00703023">
            <w:pPr>
              <w:spacing w:after="120"/>
              <w:jc w:val="both"/>
              <w:rPr>
                <w:i/>
                <w:szCs w:val="24"/>
              </w:rPr>
            </w:pPr>
            <w:r>
              <w:rPr>
                <w:b/>
                <w:i/>
              </w:rPr>
              <w:t xml:space="preserve">Egenskaper: </w:t>
            </w:r>
            <w:r>
              <w:rPr>
                <w:i/>
              </w:rPr>
              <w:t>maxOccurs = unbounded minOccurs = 1</w:t>
            </w:r>
          </w:p>
        </w:tc>
      </w:tr>
      <w:tr w:rsidR="000215C5">
        <w:tc>
          <w:tcPr>
            <w:tcW w:w="9889" w:type="dxa"/>
            <w:shd w:val="clear" w:color="auto" w:fill="auto"/>
          </w:tcPr>
          <w:p w:rsidR="000215C5" w:rsidRDefault="00703023">
            <w:pPr>
              <w:spacing w:after="120"/>
              <w:jc w:val="both"/>
              <w:rPr>
                <w:szCs w:val="24"/>
              </w:rPr>
            </w:pPr>
            <w:r>
              <w:rPr>
                <w:b/>
              </w:rPr>
              <w:t xml:space="preserve">Mallpost: </w:t>
            </w:r>
            <w:r>
              <w:t>gwAtRiskQuantitative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tabs>
                <w:tab w:val="center" w:pos="4153"/>
              </w:tabs>
              <w:spacing w:after="120"/>
              <w:jc w:val="both"/>
              <w:rPr>
                <w:szCs w:val="24"/>
              </w:rPr>
            </w:pPr>
            <w:r>
              <w:rPr>
                <w:b/>
              </w:rPr>
              <w:t>Vägledning om hur man fyller i mallposten</w:t>
            </w:r>
            <w:r>
              <w:t>: Krävs. Rapportera om grundvattenförekomsten riskerar att inte uppnå god kvantitativ status.</w:t>
            </w:r>
          </w:p>
          <w:p w:rsidR="000215C5" w:rsidRDefault="00703023">
            <w:pPr>
              <w:tabs>
                <w:tab w:val="center" w:pos="4153"/>
              </w:tabs>
              <w:spacing w:after="120"/>
              <w:jc w:val="both"/>
              <w:rPr>
                <w:szCs w:val="24"/>
              </w:rPr>
            </w:pPr>
            <w:r>
              <w:t xml:space="preserve">Följ den metod som anges i CIS-vägledningsdokument nr 26: </w:t>
            </w:r>
            <w:r>
              <w:rPr>
                <w:i/>
              </w:rPr>
              <w:t>Risk assessment and the use of conceptual models</w:t>
            </w:r>
            <w:r>
              <w:rPr>
                <w:rStyle w:val="Fotnotsreferens"/>
              </w:rPr>
              <w:footnoteReference w:id="39"/>
            </w:r>
            <w:r>
              <w:t>.</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gwReasonsForRiskQuantitative</w:t>
            </w:r>
          </w:p>
          <w:p w:rsidR="000215C5" w:rsidRDefault="00703023">
            <w:pPr>
              <w:spacing w:after="120"/>
              <w:jc w:val="both"/>
              <w:rPr>
                <w:szCs w:val="24"/>
              </w:rPr>
            </w:pPr>
            <w:r>
              <w:rPr>
                <w:b/>
              </w:rPr>
              <w:t xml:space="preserve">Fälttyp/alternativ: </w:t>
            </w:r>
            <w:r>
              <w:t>QuantitativeFailure_Enum:</w:t>
            </w:r>
          </w:p>
          <w:p w:rsidR="000215C5" w:rsidRDefault="00703023">
            <w:pPr>
              <w:spacing w:after="120"/>
              <w:jc w:val="both"/>
              <w:rPr>
                <w:szCs w:val="24"/>
              </w:rPr>
            </w:pPr>
            <w:r>
              <w:t>Water balance</w:t>
            </w:r>
          </w:p>
          <w:p w:rsidR="000215C5" w:rsidRDefault="00703023">
            <w:pPr>
              <w:spacing w:after="120"/>
              <w:jc w:val="both"/>
              <w:rPr>
                <w:szCs w:val="24"/>
              </w:rPr>
            </w:pPr>
            <w:r>
              <w:t>Surface water</w:t>
            </w:r>
          </w:p>
          <w:p w:rsidR="000215C5" w:rsidRDefault="00703023">
            <w:pPr>
              <w:spacing w:after="120"/>
              <w:jc w:val="both"/>
              <w:rPr>
                <w:szCs w:val="24"/>
              </w:rPr>
            </w:pPr>
            <w:r>
              <w:t>Groundwater dependent terrestrial ecosystems</w:t>
            </w:r>
          </w:p>
          <w:p w:rsidR="000215C5" w:rsidRPr="00D95552" w:rsidRDefault="00703023">
            <w:pPr>
              <w:spacing w:after="120"/>
              <w:jc w:val="both"/>
              <w:rPr>
                <w:szCs w:val="24"/>
                <w:lang w:val="en-GB"/>
              </w:rPr>
            </w:pPr>
            <w:r w:rsidRPr="00D95552">
              <w:rPr>
                <w:lang w:val="en-GB"/>
              </w:rPr>
              <w:t>Saline or other intrusion</w:t>
            </w:r>
          </w:p>
          <w:p w:rsidR="000215C5" w:rsidRPr="00D95552" w:rsidRDefault="00703023">
            <w:pPr>
              <w:spacing w:after="120"/>
              <w:jc w:val="both"/>
              <w:rPr>
                <w:szCs w:val="24"/>
                <w:lang w:val="en-GB"/>
              </w:rPr>
            </w:pPr>
            <w:r w:rsidRPr="00D95552">
              <w:rPr>
                <w:b/>
                <w:lang w:val="en-GB"/>
              </w:rPr>
              <w:t>Egenskaper</w:t>
            </w:r>
            <w:r w:rsidRPr="00D95552">
              <w:rPr>
                <w:lang w:val="en-GB"/>
              </w:rPr>
              <w:t>: maxOccurs = unbounded minOccurs = 0</w:t>
            </w:r>
          </w:p>
          <w:p w:rsidR="000215C5" w:rsidRDefault="00703023">
            <w:pPr>
              <w:spacing w:after="120"/>
              <w:jc w:val="both"/>
              <w:rPr>
                <w:szCs w:val="24"/>
              </w:rPr>
            </w:pPr>
            <w:r>
              <w:rPr>
                <w:b/>
              </w:rPr>
              <w:t>Vägledning om hur man fyller i mallposten</w:t>
            </w:r>
            <w:r>
              <w:t>: Villkorlig. Om grundvattenförekomsten riskerar att inte uppnå god kvantitativ status, välj orsaker från uppräkningslistan.</w:t>
            </w:r>
          </w:p>
          <w:p w:rsidR="000215C5" w:rsidRDefault="00703023">
            <w:pPr>
              <w:spacing w:after="120"/>
              <w:jc w:val="both"/>
              <w:rPr>
                <w:szCs w:val="24"/>
              </w:rPr>
            </w:pPr>
            <w:r>
              <w:t>”Water balance” = Den tillgängliga grundvattenresursen överskrids på grund av den långsiktiga genomsnittliga uttagsnivån per år, som kan leda till en minskning av grundvattennivåerna.</w:t>
            </w:r>
          </w:p>
          <w:p w:rsidR="000215C5" w:rsidRDefault="00703023">
            <w:pPr>
              <w:spacing w:after="120"/>
              <w:jc w:val="both"/>
              <w:rPr>
                <w:szCs w:val="24"/>
              </w:rPr>
            </w:pPr>
            <w:r>
              <w:t>”Surface water” = Miljömålen uppnås inte (artikel 4 i vattendirektivet) för förbundna ytvattenförekomster som beror på ändringar av vattennivån eller flödesförhållanden till följd av mänsklig påverkan; betydande sänkning av ytvattenförekomsters status som beror på ändringar av vattennivån eller flödesförhållanden till följd av mänsklig påverkan.</w:t>
            </w:r>
          </w:p>
          <w:p w:rsidR="000215C5" w:rsidRDefault="00703023">
            <w:pPr>
              <w:spacing w:after="120"/>
              <w:jc w:val="both"/>
              <w:rPr>
                <w:szCs w:val="24"/>
              </w:rPr>
            </w:pPr>
            <w:r>
              <w:t>”Groundwater dependent terrestrial ecosystems” = Betydande skada på grundvattenberoende terrestra ekosystem till följd av en ändring av vattennivån till följd av mänsklig påverkan.</w:t>
            </w:r>
          </w:p>
          <w:p w:rsidR="000215C5" w:rsidRDefault="00703023">
            <w:pPr>
              <w:spacing w:after="120"/>
              <w:jc w:val="both"/>
              <w:rPr>
                <w:szCs w:val="24"/>
              </w:rPr>
            </w:pPr>
            <w:r>
              <w:t>”Saline or other intrusion” = Regional saltinträngning eller annan inträngning till följd av långsiktiga ändringar i flödesriktningen till följd av mänsklig påverkan.</w:t>
            </w:r>
          </w:p>
          <w:p w:rsidR="000215C5" w:rsidRDefault="00703023">
            <w:pPr>
              <w:spacing w:after="120"/>
              <w:jc w:val="both"/>
              <w:rPr>
                <w:szCs w:val="24"/>
              </w:rPr>
            </w:pPr>
            <w:r>
              <w:t xml:space="preserve">Mer vägledning finns i CIS-vägledningsdokument nr 18: </w:t>
            </w:r>
            <w:r>
              <w:rPr>
                <w:i/>
              </w:rPr>
              <w:t>Groundwater Status and Trends Assessment</w:t>
            </w:r>
            <w:r>
              <w:rPr>
                <w:rStyle w:val="Fotnotsreferens"/>
                <w:noProof/>
              </w:rPr>
              <w:footnoteReference w:id="40"/>
            </w:r>
            <w:r>
              <w:t>.</w:t>
            </w:r>
          </w:p>
          <w:p w:rsidR="000215C5" w:rsidRDefault="00703023">
            <w:pPr>
              <w:spacing w:after="120"/>
              <w:jc w:val="both"/>
              <w:rPr>
                <w:b/>
                <w:szCs w:val="24"/>
              </w:rPr>
            </w:pPr>
            <w:r>
              <w:rPr>
                <w:b/>
              </w:rPr>
              <w:t>Kvalitetskontroller</w:t>
            </w:r>
            <w:r>
              <w:t>: Villkorlig kontroll: Rapportera om gwAtRiskQuantitative är ”Yes”.</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gwEORiskQuantitative</w:t>
            </w:r>
          </w:p>
          <w:p w:rsidR="000215C5" w:rsidRDefault="00703023">
            <w:pPr>
              <w:spacing w:after="120"/>
              <w:jc w:val="both"/>
              <w:rPr>
                <w:szCs w:val="24"/>
              </w:rPr>
            </w:pPr>
            <w:r>
              <w:rPr>
                <w:b/>
              </w:rPr>
              <w:t xml:space="preserve">Fälttyp/alternativ: </w:t>
            </w:r>
            <w:r>
              <w:t>GWEORiskQuantitative_Enum:</w:t>
            </w:r>
          </w:p>
          <w:p w:rsidR="000215C5" w:rsidRPr="006E59C8" w:rsidRDefault="00703023">
            <w:pPr>
              <w:spacing w:after="120"/>
              <w:jc w:val="both"/>
              <w:rPr>
                <w:szCs w:val="24"/>
                <w:lang w:val="en-GB"/>
              </w:rPr>
            </w:pPr>
            <w:r w:rsidRPr="006E59C8">
              <w:rPr>
                <w:lang w:val="en-GB"/>
              </w:rPr>
              <w:t>Uses or functions</w:t>
            </w:r>
          </w:p>
          <w:p w:rsidR="000215C5" w:rsidRPr="006E59C8" w:rsidRDefault="00703023">
            <w:pPr>
              <w:spacing w:after="120"/>
              <w:jc w:val="both"/>
              <w:rPr>
                <w:szCs w:val="24"/>
                <w:lang w:val="en-GB"/>
              </w:rPr>
            </w:pPr>
            <w:r w:rsidRPr="006E59C8">
              <w:rPr>
                <w:lang w:val="en-GB"/>
              </w:rPr>
              <w:t>Surface waters / terrestrial ecosystems</w:t>
            </w:r>
          </w:p>
          <w:p w:rsidR="000215C5" w:rsidRDefault="00703023">
            <w:pPr>
              <w:spacing w:after="120"/>
              <w:jc w:val="both"/>
              <w:rPr>
                <w:szCs w:val="24"/>
              </w:rPr>
            </w:pPr>
            <w:r>
              <w:t>Both</w:t>
            </w:r>
          </w:p>
          <w:p w:rsidR="000215C5" w:rsidRDefault="00703023">
            <w:pPr>
              <w:spacing w:after="120"/>
              <w:jc w:val="both"/>
              <w:rPr>
                <w:szCs w:val="24"/>
              </w:rPr>
            </w:pPr>
            <w:r>
              <w:rPr>
                <w:b/>
              </w:rPr>
              <w:t>Egenskaper</w:t>
            </w:r>
            <w:r>
              <w:t>: maxOccurs = 1 minOccurs = 0</w:t>
            </w:r>
          </w:p>
          <w:p w:rsidR="000215C5" w:rsidRDefault="00703023">
            <w:pPr>
              <w:tabs>
                <w:tab w:val="center" w:pos="4153"/>
              </w:tabs>
              <w:spacing w:after="120"/>
              <w:jc w:val="both"/>
              <w:rPr>
                <w:szCs w:val="24"/>
              </w:rPr>
            </w:pPr>
            <w:r>
              <w:rPr>
                <w:b/>
              </w:rPr>
              <w:t>Vägledning om hur man fyller i mallposten</w:t>
            </w:r>
            <w:r>
              <w:t>: Villkorlig. Om grundvattenförekomsten riskerar att inte uppnå god kvantitativ status, välj det miljömål som är relaterat till risken från uppräkningslistan.</w:t>
            </w:r>
          </w:p>
          <w:p w:rsidR="000215C5" w:rsidRDefault="00703023">
            <w:pPr>
              <w:spacing w:after="120"/>
              <w:jc w:val="both"/>
              <w:rPr>
                <w:szCs w:val="24"/>
              </w:rPr>
            </w:pPr>
            <w:r>
              <w:t>”Uses or functions” = Faktiska eller potentiella användningsområden eller funktioner för grundvattenförekomsten.</w:t>
            </w:r>
          </w:p>
          <w:p w:rsidR="000215C5" w:rsidRDefault="00703023">
            <w:pPr>
              <w:spacing w:after="120"/>
              <w:jc w:val="both"/>
              <w:rPr>
                <w:szCs w:val="24"/>
              </w:rPr>
            </w:pPr>
            <w:r>
              <w:t>”Surface waters / terrestrial ecosystems” = Förhållandet mellan grundvattenförekomster och förbundna ytvattenförekomster och direkt beroende terrestra ekosystem.</w:t>
            </w:r>
          </w:p>
          <w:p w:rsidR="000215C5" w:rsidRDefault="00703023">
            <w:pPr>
              <w:spacing w:after="120"/>
              <w:jc w:val="both"/>
              <w:rPr>
                <w:b/>
                <w:szCs w:val="24"/>
              </w:rPr>
            </w:pPr>
            <w:r>
              <w:rPr>
                <w:b/>
              </w:rPr>
              <w:t>Kvalitetskontroller</w:t>
            </w:r>
            <w:r>
              <w:t>: Villkorlig kontroll: Rapportera om gwAtRiskQuantitative är ”Yes”.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gwQuantitativeStatusValue</w:t>
            </w:r>
          </w:p>
          <w:p w:rsidR="000215C5" w:rsidRDefault="00703023">
            <w:pPr>
              <w:spacing w:after="120"/>
              <w:jc w:val="both"/>
              <w:rPr>
                <w:szCs w:val="24"/>
              </w:rPr>
            </w:pPr>
            <w:r>
              <w:rPr>
                <w:b/>
              </w:rPr>
              <w:t xml:space="preserve">Fälttyp/alternativ: </w:t>
            </w:r>
            <w:r>
              <w:t>StatusCode_Enum: 2, 3, U</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grundvattenförekomstens kvantitativa status baserat på den status grundvattenförekomsten fått i den senaste bedömningen.</w:t>
            </w:r>
          </w:p>
          <w:p w:rsidR="000215C5" w:rsidRDefault="00703023">
            <w:pPr>
              <w:spacing w:after="120"/>
              <w:jc w:val="both"/>
              <w:rPr>
                <w:szCs w:val="24"/>
              </w:rPr>
            </w:pPr>
            <w:r>
              <w:t>2 = God status.</w:t>
            </w:r>
          </w:p>
          <w:p w:rsidR="000215C5" w:rsidRDefault="00703023">
            <w:pPr>
              <w:spacing w:after="120"/>
              <w:jc w:val="both"/>
              <w:rPr>
                <w:szCs w:val="24"/>
              </w:rPr>
            </w:pPr>
            <w:r>
              <w:t>3 = Otillfredsställande status.</w:t>
            </w:r>
          </w:p>
          <w:p w:rsidR="000215C5" w:rsidRDefault="00703023">
            <w:pPr>
              <w:spacing w:after="120"/>
              <w:jc w:val="both"/>
              <w:rPr>
                <w:szCs w:val="24"/>
              </w:rPr>
            </w:pPr>
            <w:r>
              <w:t>Unknown = Okänd status eller potential.</w:t>
            </w:r>
          </w:p>
        </w:tc>
      </w:tr>
      <w:tr w:rsidR="000215C5">
        <w:tc>
          <w:tcPr>
            <w:tcW w:w="9889" w:type="dxa"/>
            <w:shd w:val="clear" w:color="auto" w:fill="auto"/>
          </w:tcPr>
          <w:p w:rsidR="000215C5" w:rsidRDefault="00703023">
            <w:pPr>
              <w:spacing w:after="120"/>
              <w:jc w:val="both"/>
              <w:rPr>
                <w:b/>
              </w:rPr>
            </w:pPr>
            <w:r>
              <w:rPr>
                <w:b/>
              </w:rPr>
              <w:t>Mallpost</w:t>
            </w:r>
            <w:r>
              <w:t>:</w:t>
            </w:r>
            <w:r>
              <w:rPr>
                <w:b/>
              </w:rPr>
              <w:t xml:space="preserve"> </w:t>
            </w:r>
            <w:r>
              <w:t>gwQuantitativeReasonsForFailure</w:t>
            </w:r>
          </w:p>
          <w:p w:rsidR="000215C5" w:rsidRDefault="00703023">
            <w:pPr>
              <w:spacing w:after="120"/>
              <w:jc w:val="both"/>
            </w:pPr>
            <w:r>
              <w:rPr>
                <w:b/>
              </w:rPr>
              <w:t xml:space="preserve">Fälttyp/alternativ: </w:t>
            </w:r>
            <w:r>
              <w:t>QuantitativeFailure_Enum:</w:t>
            </w:r>
          </w:p>
          <w:p w:rsidR="000215C5" w:rsidRPr="006E59C8" w:rsidRDefault="00703023">
            <w:pPr>
              <w:spacing w:after="120"/>
              <w:jc w:val="both"/>
              <w:rPr>
                <w:szCs w:val="24"/>
                <w:lang w:val="en-GB"/>
              </w:rPr>
            </w:pPr>
            <w:r w:rsidRPr="006E59C8">
              <w:rPr>
                <w:lang w:val="en-GB"/>
              </w:rPr>
              <w:t>Water balance</w:t>
            </w:r>
          </w:p>
          <w:p w:rsidR="000215C5" w:rsidRPr="006E59C8" w:rsidRDefault="00703023">
            <w:pPr>
              <w:spacing w:after="120"/>
              <w:jc w:val="both"/>
              <w:rPr>
                <w:szCs w:val="24"/>
                <w:lang w:val="en-GB"/>
              </w:rPr>
            </w:pPr>
            <w:r w:rsidRPr="006E59C8">
              <w:rPr>
                <w:lang w:val="en-GB"/>
              </w:rPr>
              <w:t>Surface water</w:t>
            </w:r>
          </w:p>
          <w:p w:rsidR="000215C5" w:rsidRPr="006E59C8" w:rsidRDefault="00703023">
            <w:pPr>
              <w:spacing w:after="120"/>
              <w:jc w:val="both"/>
              <w:rPr>
                <w:szCs w:val="24"/>
                <w:lang w:val="en-GB"/>
              </w:rPr>
            </w:pPr>
            <w:r w:rsidRPr="006E59C8">
              <w:rPr>
                <w:lang w:val="en-GB"/>
              </w:rPr>
              <w:t>Groundwater dependent terrestrial ecosystems</w:t>
            </w:r>
          </w:p>
          <w:p w:rsidR="000215C5" w:rsidRPr="00D95552" w:rsidRDefault="00703023">
            <w:pPr>
              <w:spacing w:after="120"/>
              <w:jc w:val="both"/>
              <w:rPr>
                <w:szCs w:val="24"/>
                <w:lang w:val="en-GB"/>
              </w:rPr>
            </w:pPr>
            <w:r w:rsidRPr="00D95552">
              <w:rPr>
                <w:lang w:val="en-GB"/>
              </w:rPr>
              <w:t>Saline or other intrusion</w:t>
            </w:r>
          </w:p>
          <w:p w:rsidR="000215C5" w:rsidRPr="00D95552" w:rsidRDefault="00703023">
            <w:pPr>
              <w:spacing w:after="120"/>
              <w:jc w:val="both"/>
              <w:rPr>
                <w:szCs w:val="24"/>
                <w:lang w:val="en-GB"/>
              </w:rPr>
            </w:pPr>
            <w:r w:rsidRPr="00D95552">
              <w:rPr>
                <w:b/>
                <w:lang w:val="en-GB"/>
              </w:rPr>
              <w:t xml:space="preserve">Egenskaper: </w:t>
            </w:r>
            <w:r w:rsidRPr="00D95552">
              <w:rPr>
                <w:lang w:val="en-GB"/>
              </w:rPr>
              <w:t>maxOccurs = unbounded minOccurs = 0</w:t>
            </w:r>
          </w:p>
          <w:p w:rsidR="000215C5" w:rsidRDefault="00703023">
            <w:pPr>
              <w:spacing w:after="120"/>
              <w:jc w:val="both"/>
              <w:rPr>
                <w:szCs w:val="24"/>
              </w:rPr>
            </w:pPr>
            <w:r>
              <w:rPr>
                <w:b/>
              </w:rPr>
              <w:t>Vägledning om hur man fyller i mallposten</w:t>
            </w:r>
            <w:r>
              <w:t>: Villkorlig. Om grundvattenförekomsten har otillfredsställande kvantitativ status, välj orsaker från uppräkningslistan.</w:t>
            </w:r>
          </w:p>
          <w:p w:rsidR="000215C5" w:rsidRDefault="00703023">
            <w:pPr>
              <w:spacing w:after="120"/>
              <w:jc w:val="both"/>
              <w:rPr>
                <w:szCs w:val="24"/>
              </w:rPr>
            </w:pPr>
            <w:r>
              <w:t>”Water balance” = Den tillgängliga grundvattenresursen överskrids på grund av den långsiktiga genomsnittliga uttagsnivån per år, som kan leda till en minskning av grundvattennivåerna.</w:t>
            </w:r>
          </w:p>
          <w:p w:rsidR="000215C5" w:rsidRDefault="00703023">
            <w:pPr>
              <w:spacing w:after="120"/>
              <w:jc w:val="both"/>
              <w:rPr>
                <w:szCs w:val="24"/>
              </w:rPr>
            </w:pPr>
            <w:r>
              <w:t>”Surface water” = Miljömålen uppnås inte (artikel 4 i vattendirektivet) för förbundna ytvattenförekomster som beror på ändringar av vattennivån eller flödesförhållanden till följd av mänsklig påverkan; betydande sänkning av ytvattenförekomsters status som beror på ändringar av vattennivån eller flödesförhållanden till följd av mänsklig påverkan.</w:t>
            </w:r>
          </w:p>
          <w:p w:rsidR="000215C5" w:rsidRDefault="00703023">
            <w:pPr>
              <w:spacing w:after="120"/>
              <w:jc w:val="both"/>
              <w:rPr>
                <w:szCs w:val="24"/>
              </w:rPr>
            </w:pPr>
            <w:r>
              <w:t>”Groundwater dependent terrestrial ecosystems” = Betydande skada på grundvattenberoende terrestra ekosystem till följd av en ändring av vattennivån till följd av mänsklig påverkan.</w:t>
            </w:r>
          </w:p>
          <w:p w:rsidR="000215C5" w:rsidRDefault="00703023">
            <w:pPr>
              <w:spacing w:after="120"/>
              <w:jc w:val="both"/>
              <w:rPr>
                <w:szCs w:val="24"/>
              </w:rPr>
            </w:pPr>
            <w:r>
              <w:t>”Saline or other intrusion” = Regional saltinträngning eller annan inträngning till följd av långsiktiga ändringar i flödesriktningen till följd av mänsklig påverkan.</w:t>
            </w:r>
          </w:p>
          <w:p w:rsidR="000215C5" w:rsidRDefault="00703023">
            <w:pPr>
              <w:spacing w:after="120"/>
              <w:jc w:val="both"/>
              <w:rPr>
                <w:szCs w:val="24"/>
              </w:rPr>
            </w:pPr>
            <w:r>
              <w:t xml:space="preserve">Närmare vägledning finns i CIS-vägledningsdokument nr18: </w:t>
            </w:r>
            <w:r>
              <w:rPr>
                <w:i/>
              </w:rPr>
              <w:t>Groundwater Status and Trends Assessment</w:t>
            </w:r>
            <w:r>
              <w:rPr>
                <w:rStyle w:val="Fotnotsreferens"/>
                <w:noProof/>
              </w:rPr>
              <w:footnoteReference w:id="41"/>
            </w:r>
            <w:r>
              <w:t>.</w:t>
            </w:r>
          </w:p>
          <w:p w:rsidR="000215C5" w:rsidRDefault="00703023">
            <w:pPr>
              <w:spacing w:after="120"/>
              <w:jc w:val="both"/>
              <w:rPr>
                <w:szCs w:val="24"/>
              </w:rPr>
            </w:pPr>
            <w:r>
              <w:rPr>
                <w:b/>
              </w:rPr>
              <w:t>Kvalitetskontroller</w:t>
            </w:r>
            <w:r>
              <w:t>: Villkorlig kontroll: Rapportera om gwQuantitativeStatusValue är 3.</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gwQuantitativeAssessmentYear</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det år som bedömningen av status baseras på. Det kan vara det år då grundvattenförekomsten övervakades. Vid gruppering kan det vara det år då övervakning genomfördes av grundvattenförekomster i en grupp som används för att extrapolera resultat till grundvattenförekomster inom samma grupp som inte övervakas. En period får anges (t.ex. 2011–2013).</w:t>
            </w:r>
          </w:p>
        </w:tc>
      </w:tr>
      <w:tr w:rsidR="000215C5">
        <w:tc>
          <w:tcPr>
            <w:tcW w:w="9889" w:type="dxa"/>
            <w:shd w:val="clear" w:color="auto" w:fill="auto"/>
          </w:tcPr>
          <w:p w:rsidR="000215C5" w:rsidRDefault="00703023">
            <w:pPr>
              <w:spacing w:after="120"/>
              <w:jc w:val="both"/>
              <w:rPr>
                <w:b/>
                <w:szCs w:val="24"/>
              </w:rPr>
            </w:pPr>
            <w:r>
              <w:rPr>
                <w:b/>
              </w:rPr>
              <w:t>Mallpost</w:t>
            </w:r>
            <w:r>
              <w:t>: gwQuantitativeAssessmentConfidence</w:t>
            </w:r>
          </w:p>
          <w:p w:rsidR="000215C5" w:rsidRDefault="00703023">
            <w:pPr>
              <w:spacing w:after="120"/>
              <w:jc w:val="both"/>
              <w:rPr>
                <w:szCs w:val="24"/>
              </w:rPr>
            </w:pPr>
            <w:r>
              <w:rPr>
                <w:b/>
              </w:rPr>
              <w:t xml:space="preserve">Fälttyp/alternativ: </w:t>
            </w:r>
            <w:r>
              <w:t>Confidence_Enum: 0, 1, 2, 3</w:t>
            </w:r>
          </w:p>
          <w:p w:rsidR="000215C5" w:rsidRDefault="00703023">
            <w:pPr>
              <w:spacing w:after="120"/>
              <w:jc w:val="both"/>
              <w:rPr>
                <w:szCs w:val="24"/>
              </w:rPr>
            </w:pPr>
            <w:r>
              <w:rPr>
                <w:b/>
              </w:rPr>
              <w:t>Egenskaper</w:t>
            </w:r>
            <w:r>
              <w:t>: maxOccurs = 1 minOccurs = 1</w:t>
            </w:r>
          </w:p>
          <w:p w:rsidR="000215C5" w:rsidRDefault="00703023">
            <w:pPr>
              <w:autoSpaceDE w:val="0"/>
              <w:autoSpaceDN w:val="0"/>
              <w:adjustRightInd w:val="0"/>
              <w:spacing w:after="120"/>
              <w:jc w:val="both"/>
              <w:rPr>
                <w:szCs w:val="24"/>
              </w:rPr>
            </w:pPr>
            <w:r>
              <w:rPr>
                <w:b/>
              </w:rPr>
              <w:t>Vägledning om hur man fyller i mallposten</w:t>
            </w:r>
            <w:r>
              <w:t>: Krävs. Ange förtroendet för tilldelad kvantitativ status.</w:t>
            </w:r>
          </w:p>
          <w:p w:rsidR="000215C5" w:rsidRDefault="00703023">
            <w:pPr>
              <w:autoSpaceDE w:val="0"/>
              <w:autoSpaceDN w:val="0"/>
              <w:adjustRightInd w:val="0"/>
              <w:spacing w:after="120"/>
              <w:jc w:val="both"/>
              <w:rPr>
                <w:szCs w:val="24"/>
              </w:rPr>
            </w:pPr>
            <w:r>
              <w:t>0 = Ingen information.</w:t>
            </w:r>
          </w:p>
          <w:p w:rsidR="000215C5" w:rsidRDefault="00703023">
            <w:pPr>
              <w:autoSpaceDE w:val="0"/>
              <w:autoSpaceDN w:val="0"/>
              <w:adjustRightInd w:val="0"/>
              <w:spacing w:after="120"/>
              <w:jc w:val="both"/>
              <w:rPr>
                <w:szCs w:val="24"/>
              </w:rPr>
            </w:pPr>
            <w:r>
              <w:t>1 = Lågt förtroende (t.ex. inga övervakningsuppgifter, ingen begreppsmodell eller bristande förståelse för systemet).</w:t>
            </w:r>
          </w:p>
          <w:p w:rsidR="000215C5" w:rsidRDefault="00703023">
            <w:pPr>
              <w:autoSpaceDE w:val="0"/>
              <w:autoSpaceDN w:val="0"/>
              <w:adjustRightInd w:val="0"/>
              <w:spacing w:after="120"/>
              <w:jc w:val="both"/>
              <w:rPr>
                <w:szCs w:val="24"/>
              </w:rPr>
            </w:pPr>
            <w:r>
              <w:t>2 = Medelhögt förtroende (t.ex. begränsade eller inte tillräckligt hållfasta övervakningsuppgifter, expertutlåtanden spelar en viktig roll i statusbedömningen).</w:t>
            </w:r>
          </w:p>
          <w:p w:rsidR="000215C5" w:rsidRDefault="00703023">
            <w:pPr>
              <w:autoSpaceDE w:val="0"/>
              <w:autoSpaceDN w:val="0"/>
              <w:adjustRightInd w:val="0"/>
              <w:spacing w:after="120"/>
              <w:jc w:val="both"/>
              <w:rPr>
                <w:szCs w:val="24"/>
              </w:rPr>
            </w:pPr>
            <w:r>
              <w:t>3 = Högt förtroende (t.ex. bra övervakningsuppgifter och bra begreppsmodell eller förståelse för systemet baserat på information om vattenförekomstens naturliga egenskaper och påverkan).</w:t>
            </w:r>
          </w:p>
          <w:p w:rsidR="000215C5" w:rsidRDefault="00703023">
            <w:pPr>
              <w:autoSpaceDE w:val="0"/>
              <w:autoSpaceDN w:val="0"/>
              <w:adjustRightInd w:val="0"/>
              <w:spacing w:after="120"/>
              <w:jc w:val="both"/>
              <w:rPr>
                <w:bCs/>
                <w:szCs w:val="24"/>
              </w:rPr>
            </w:pPr>
            <w:r>
              <w:t>De kriterier som används av medlemsstaterna för att bedöma förtroende varierar betydligt, men ovanstående exempel kan tjäna som allmän vägledning.</w:t>
            </w:r>
          </w:p>
          <w:p w:rsidR="000215C5" w:rsidRDefault="00703023">
            <w:pPr>
              <w:autoSpaceDE w:val="0"/>
              <w:autoSpaceDN w:val="0"/>
              <w:adjustRightInd w:val="0"/>
              <w:spacing w:after="120"/>
              <w:jc w:val="both"/>
              <w:rPr>
                <w:b/>
                <w:bCs/>
                <w:szCs w:val="24"/>
              </w:rPr>
            </w:pPr>
            <w:r>
              <w:t xml:space="preserve">Närmare information finns i CIS-vägledningsdokument nr 7: </w:t>
            </w:r>
            <w:r>
              <w:rPr>
                <w:i/>
              </w:rPr>
              <w:t>Monitoring under the Water Framework Directive</w:t>
            </w:r>
            <w:r>
              <w:rPr>
                <w:rStyle w:val="Fotnotsreferens"/>
              </w:rPr>
              <w:footnoteReference w:id="42"/>
            </w:r>
            <w:r>
              <w:t xml:space="preserve"> och CIS-vägledningsdokument nr 15: </w:t>
            </w:r>
            <w:r>
              <w:rPr>
                <w:i/>
              </w:rPr>
              <w:t>Groundwater monitoring</w:t>
            </w:r>
            <w:r>
              <w:rPr>
                <w:rStyle w:val="Fotnotsreferens"/>
              </w:rPr>
              <w:footnoteReference w:id="43"/>
            </w:r>
            <w:r>
              <w:t>.</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gwQuantitativeStatusExpectedGoodIn2015</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w:t>
            </w:r>
          </w:p>
          <w:p w:rsidR="000215C5" w:rsidRDefault="00703023">
            <w:pPr>
              <w:spacing w:after="120"/>
              <w:jc w:val="both"/>
              <w:rPr>
                <w:szCs w:val="24"/>
              </w:rPr>
            </w:pPr>
            <w:r>
              <w:t>Krävs. Ange om grundvattenförekomsten i fråga förväntas uppnå god kvantitativ status till årsslutet 2015.</w:t>
            </w:r>
          </w:p>
          <w:p w:rsidR="000215C5" w:rsidRDefault="00703023">
            <w:pPr>
              <w:spacing w:after="120"/>
              <w:jc w:val="both"/>
              <w:rPr>
                <w:szCs w:val="24"/>
              </w:rPr>
            </w:pPr>
            <w:r>
              <w:t>Dessa uppgifter kan skilja sig från de uppgifter som rapporteras under gwQuantitativeStatusValue, eftersom statusbedömningen i den andra versionen av förvaltningsplanerna sannolikt baseras på uppgifter från övervakningsperioden 2010–2014 med tanke på att den andra versionen av förvaltningsplanerna kommer att utarbetas under 2014 för offentligt samråd. Den status som anges i den andra versionen av förvaltningsplanerna återspeglar därför inte nödvändigtvis förväntad status 2015. En tydlig förklaring av bedömningsmetoden ska ges i förvaltningsplanen eller i bakgrundsdokumenten (hänvisning rapporteras under klassificeringsmetoder). Vid tillämpning av undantag för kvantitativ status enligt artikel 4.5 ska alternativet ”No” väljas.</w:t>
            </w:r>
          </w:p>
          <w:p w:rsidR="000215C5" w:rsidRDefault="00703023">
            <w:pPr>
              <w:spacing w:after="120"/>
              <w:jc w:val="both"/>
              <w:rPr>
                <w:szCs w:val="24"/>
              </w:rPr>
            </w:pPr>
            <w:r>
              <w:rPr>
                <w:b/>
              </w:rPr>
              <w:t>Kvalitetskontroller</w:t>
            </w:r>
            <w:r>
              <w:t>: Intern kontroll: Om gwQuantitativeExemptionType är ”Article 4(4)…” eller ”Article 4(5)…” måste alternativet ”No” väljas från uppräkningslistan.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gwQuantitativeStatusExpectedAchievementDate</w:t>
            </w:r>
          </w:p>
          <w:p w:rsidR="000215C5" w:rsidRDefault="00703023">
            <w:pPr>
              <w:spacing w:after="120"/>
              <w:jc w:val="both"/>
              <w:rPr>
                <w:szCs w:val="24"/>
              </w:rPr>
            </w:pPr>
            <w:r>
              <w:rPr>
                <w:b/>
              </w:rPr>
              <w:t xml:space="preserve">Fälttyp/alternativ: </w:t>
            </w:r>
            <w:r>
              <w:t>GoodStatus_Enum:</w:t>
            </w:r>
          </w:p>
          <w:p w:rsidR="000215C5" w:rsidRPr="006E59C8" w:rsidRDefault="00703023">
            <w:pPr>
              <w:spacing w:after="120"/>
              <w:jc w:val="both"/>
              <w:rPr>
                <w:szCs w:val="24"/>
                <w:lang w:val="en-GB"/>
              </w:rPr>
            </w:pPr>
            <w:r w:rsidRPr="006E59C8">
              <w:rPr>
                <w:lang w:val="en-GB"/>
              </w:rPr>
              <w:t>2016–2021</w:t>
            </w:r>
          </w:p>
          <w:p w:rsidR="000215C5" w:rsidRPr="006E59C8" w:rsidRDefault="00703023">
            <w:pPr>
              <w:spacing w:after="120"/>
              <w:jc w:val="both"/>
              <w:rPr>
                <w:szCs w:val="24"/>
                <w:lang w:val="en-GB"/>
              </w:rPr>
            </w:pPr>
            <w:r w:rsidRPr="006E59C8">
              <w:rPr>
                <w:lang w:val="en-GB"/>
              </w:rPr>
              <w:t>2022–2027</w:t>
            </w:r>
          </w:p>
          <w:p w:rsidR="000215C5" w:rsidRPr="006E59C8" w:rsidRDefault="00703023">
            <w:pPr>
              <w:spacing w:after="120"/>
              <w:jc w:val="both"/>
              <w:rPr>
                <w:szCs w:val="24"/>
                <w:lang w:val="en-GB"/>
              </w:rPr>
            </w:pPr>
            <w:r w:rsidRPr="006E59C8">
              <w:rPr>
                <w:lang w:val="en-GB"/>
              </w:rPr>
              <w:t>Beyond 2027</w:t>
            </w:r>
          </w:p>
          <w:p w:rsidR="000215C5" w:rsidRPr="006E59C8" w:rsidRDefault="00703023">
            <w:pPr>
              <w:spacing w:after="120"/>
              <w:jc w:val="both"/>
              <w:rPr>
                <w:szCs w:val="24"/>
                <w:lang w:val="en-GB"/>
              </w:rPr>
            </w:pPr>
            <w:r w:rsidRPr="006E59C8">
              <w:rPr>
                <w:lang w:val="en-GB"/>
              </w:rPr>
              <w:t>Unknown</w:t>
            </w:r>
          </w:p>
          <w:p w:rsidR="000215C5" w:rsidRPr="006E59C8" w:rsidRDefault="00703023">
            <w:pPr>
              <w:spacing w:after="120"/>
              <w:jc w:val="both"/>
              <w:rPr>
                <w:szCs w:val="24"/>
                <w:lang w:val="en-GB"/>
              </w:rPr>
            </w:pPr>
            <w:r w:rsidRPr="006E59C8">
              <w:rPr>
                <w:lang w:val="en-GB"/>
              </w:rPr>
              <w:t>Less stringent objectives already achieved</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xml:space="preserve">: Villkorlig. Om god kvantitativ status inte kommer att uppnås till 2015 (gwQuantitativeStatusExpectedGoodIn2015 is No) ska det datum då god ekologisk status förväntas uppnås fullständigt rapporteras. En tydlig förklaring av bedömningsmetoden ska ges i förvaltningsplanen eller i bakgrundsdokumenten (hänvisning rapporteras under klassificeringsmetoder). </w:t>
            </w:r>
          </w:p>
          <w:p w:rsidR="000215C5" w:rsidRDefault="00703023">
            <w:pPr>
              <w:spacing w:after="120"/>
              <w:jc w:val="both"/>
              <w:rPr>
                <w:szCs w:val="24"/>
              </w:rPr>
            </w:pPr>
            <w:r>
              <w:t>Om god kvantitativ status inte kommer att uppnås till 2015 bör undantag tillämpas. Rapportera det datum då god kvantitativ status förväntas uppnås fullständigt, inte datum för individuella undantag. Tänk dock på följande:</w:t>
            </w:r>
          </w:p>
          <w:p w:rsidR="000215C5" w:rsidRDefault="00703023">
            <w:pPr>
              <w:spacing w:after="120"/>
              <w:jc w:val="both"/>
              <w:rPr>
                <w:szCs w:val="24"/>
              </w:rPr>
            </w:pPr>
            <w:r>
              <w:t xml:space="preserve">Undantag enligt artikel 4.4 rör förlängning av tidsfrister. Enligt artikel 4.4 c i vattendirektivet är det endast möjligt att förlänga tidsfristen för uppnåendet av målen till efter 2027 på grund av naturliga förhållanden. </w:t>
            </w:r>
          </w:p>
          <w:p w:rsidR="000215C5" w:rsidRDefault="00703023">
            <w:pPr>
              <w:spacing w:after="120"/>
              <w:jc w:val="both"/>
              <w:rPr>
                <w:szCs w:val="24"/>
              </w:rPr>
            </w:pPr>
            <w:r>
              <w:t>Om undantagen enligt artikel 4.5 gäller ska det datum då det mindre stränga målet uppnås rapporteras. Om det mindre stränga målet redan har uppnåtts ska ”Less stringent objectives already achieved” väljas.</w:t>
            </w:r>
          </w:p>
          <w:p w:rsidR="000215C5" w:rsidRDefault="00703023">
            <w:pPr>
              <w:spacing w:after="120"/>
              <w:jc w:val="both"/>
              <w:rPr>
                <w:szCs w:val="24"/>
              </w:rPr>
            </w:pPr>
            <w:r>
              <w:t>Om god kvantitativ status kommer att uppnås till 2015 (gwQuantitativeStatusExpectedGoodIn2015 is Yes) ska denna post inte rapporteras.</w:t>
            </w:r>
          </w:p>
          <w:p w:rsidR="000215C5" w:rsidRDefault="00703023">
            <w:pPr>
              <w:spacing w:after="120"/>
              <w:jc w:val="both"/>
              <w:rPr>
                <w:szCs w:val="24"/>
              </w:rPr>
            </w:pPr>
            <w:r>
              <w:rPr>
                <w:b/>
              </w:rPr>
              <w:t>Kvalitetskontroller</w:t>
            </w:r>
            <w:r>
              <w:t xml:space="preserve">: Villkorlig kontroll: Rapportera om gwQuantitativeStatusExpectedGoodIn2015 är ”No”. </w:t>
            </w:r>
          </w:p>
          <w:p w:rsidR="000215C5" w:rsidRDefault="00703023">
            <w:pPr>
              <w:spacing w:after="120"/>
              <w:jc w:val="both"/>
              <w:rPr>
                <w:szCs w:val="24"/>
              </w:rPr>
            </w:pPr>
            <w:r>
              <w:t>Intern kontroll: ”Less stringent objectives already achieved” är endast en giltig post om ”Article 4(5)…” rapporteras under gwQuantitativeExemptionType.</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gwQuantitativeExemptionType</w:t>
            </w:r>
          </w:p>
          <w:p w:rsidR="000215C5" w:rsidRDefault="00703023">
            <w:pPr>
              <w:spacing w:after="120"/>
              <w:jc w:val="both"/>
              <w:rPr>
                <w:szCs w:val="24"/>
              </w:rPr>
            </w:pPr>
            <w:r>
              <w:rPr>
                <w:b/>
              </w:rPr>
              <w:t xml:space="preserve">Fälttyp/alternativ: </w:t>
            </w:r>
            <w:r>
              <w:t xml:space="preserve">ExemptionType_Enum (se bilaga 8g)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Rapportera vilken eller vilka typer av undantag som gäller om god kvantitativ status inte förväntas uppnås till 2015. Fler än ett undantag kan vara tillämpligt på grundvattenförekomsten. </w:t>
            </w:r>
          </w:p>
          <w:p w:rsidR="000215C5" w:rsidRDefault="00703023">
            <w:pPr>
              <w:spacing w:after="120"/>
              <w:jc w:val="both"/>
              <w:rPr>
                <w:szCs w:val="24"/>
              </w:rPr>
            </w:pPr>
            <w:r>
              <w:rPr>
                <w:b/>
              </w:rPr>
              <w:t>Kvalitetskontroller</w:t>
            </w:r>
            <w:r>
              <w:t xml:space="preserve">: </w:t>
            </w:r>
          </w:p>
          <w:p w:rsidR="000215C5" w:rsidRDefault="00703023">
            <w:pPr>
              <w:spacing w:after="120"/>
              <w:jc w:val="both"/>
              <w:rPr>
                <w:szCs w:val="24"/>
              </w:rPr>
            </w:pPr>
            <w:r>
              <w:t>Intern kontroll: ”No exemption” är inte förenligt med något annat alternativ.</w:t>
            </w:r>
          </w:p>
          <w:p w:rsidR="000215C5" w:rsidRDefault="00703023">
            <w:pPr>
              <w:spacing w:after="120"/>
              <w:jc w:val="both"/>
              <w:rPr>
                <w:szCs w:val="24"/>
              </w:rPr>
            </w:pPr>
            <w:r>
              <w:t>Om gwQuantitativeStatusExpectedGoodIn2015 är ”No” är alternativet ”No exemption” inte möjligt. Ett eller flera av de andra alternativen måste väljas.</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gwQuantitativeExemptionPressure</w:t>
            </w:r>
          </w:p>
          <w:p w:rsidR="000215C5" w:rsidRDefault="00703023">
            <w:pPr>
              <w:spacing w:after="120"/>
              <w:jc w:val="both"/>
              <w:rPr>
                <w:szCs w:val="24"/>
              </w:rPr>
            </w:pPr>
            <w:r>
              <w:rPr>
                <w:b/>
              </w:rPr>
              <w:t xml:space="preserve">Fälttyp/alternativ: </w:t>
            </w:r>
            <w:r>
              <w:t>SignificantPressureType_Enum (se bilaga 1a)</w:t>
            </w:r>
          </w:p>
          <w:p w:rsidR="000215C5" w:rsidRDefault="00703023">
            <w:pPr>
              <w:spacing w:after="120"/>
              <w:jc w:val="both"/>
              <w:rPr>
                <w:szCs w:val="24"/>
              </w:rPr>
            </w:pPr>
            <w:r>
              <w:rPr>
                <w:b/>
              </w:rPr>
              <w:t>Egenskaper</w:t>
            </w:r>
            <w:r>
              <w:t>: maxOccurs = unbounded minOccurs = 0</w:t>
            </w:r>
          </w:p>
          <w:p w:rsidR="000215C5" w:rsidRDefault="00703023">
            <w:pPr>
              <w:spacing w:after="120"/>
              <w:jc w:val="both"/>
              <w:rPr>
                <w:szCs w:val="24"/>
              </w:rPr>
            </w:pPr>
            <w:r>
              <w:rPr>
                <w:b/>
              </w:rPr>
              <w:t>Vägledning om hur man fyller i mallposten</w:t>
            </w:r>
            <w:r>
              <w:t>: Villkorlig. Om något undantag enligt artikel 4.4, 4.5, 4.6 och/eller 4.7 är tillämpligt på denna grundvattenförekomst för kvantitativ status ska typen eller typerna av betydande påverkan som leder till att målen inte uppnås rapporteras för att motivera undantagen.</w:t>
            </w:r>
          </w:p>
          <w:p w:rsidR="000215C5" w:rsidRDefault="00703023">
            <w:pPr>
              <w:spacing w:after="120"/>
              <w:jc w:val="both"/>
              <w:rPr>
                <w:szCs w:val="24"/>
              </w:rPr>
            </w:pPr>
            <w:r>
              <w:rPr>
                <w:b/>
              </w:rPr>
              <w:t>Kvalitetskontroller</w:t>
            </w:r>
            <w:r>
              <w:t>: Villkorlig kontroll: Om gwQuantitativeExemptionType inte är ”No exemption” ska minst en typ av betydande påverkan väljas från uppräkningslistan.</w:t>
            </w:r>
          </w:p>
          <w:p w:rsidR="000215C5" w:rsidRDefault="00703023">
            <w:pPr>
              <w:spacing w:after="120"/>
              <w:jc w:val="both"/>
              <w:rPr>
                <w:b/>
                <w:szCs w:val="24"/>
              </w:rPr>
            </w:pPr>
            <w:r>
              <w:t>Alternativen ”No significant pressure”’ och ”Not applicable” är inte giltiga.</w:t>
            </w:r>
          </w:p>
        </w:tc>
      </w:tr>
    </w:tbl>
    <w:p w:rsidR="000215C5" w:rsidRDefault="000215C5">
      <w:pPr>
        <w:jc w:val="both"/>
      </w:pPr>
    </w:p>
    <w:p w:rsidR="000215C5" w:rsidRDefault="00703023">
      <w:pPr>
        <w:pStyle w:val="Rubrik2"/>
        <w:jc w:val="both"/>
      </w:pPr>
      <w:bookmarkStart w:id="219" w:name="_Toc375220066"/>
      <w:bookmarkStart w:id="220" w:name="_Toc375294162"/>
      <w:bookmarkStart w:id="221" w:name="_Toc386464221"/>
      <w:bookmarkStart w:id="222" w:name="_Toc425522049"/>
      <w:bookmarkStart w:id="223" w:name="_Toc432666061"/>
      <w:bookmarkStart w:id="224" w:name="_Toc437520257"/>
      <w:r>
        <w:t>Kemisk status hos grundvatten samt undantag</w:t>
      </w:r>
      <w:bookmarkEnd w:id="219"/>
      <w:bookmarkEnd w:id="220"/>
      <w:bookmarkEnd w:id="221"/>
      <w:bookmarkEnd w:id="222"/>
      <w:bookmarkEnd w:id="223"/>
      <w:bookmarkEnd w:id="224"/>
      <w:r>
        <w:t xml:space="preserve"> </w:t>
      </w:r>
    </w:p>
    <w:p w:rsidR="000215C5" w:rsidRDefault="00703023">
      <w:pPr>
        <w:pStyle w:val="Rubrik3"/>
      </w:pPr>
      <w:bookmarkStart w:id="225" w:name="_Toc375220067"/>
      <w:r>
        <w:t>Inledning</w:t>
      </w:r>
    </w:p>
    <w:p w:rsidR="000215C5" w:rsidRDefault="00703023">
      <w:pPr>
        <w:spacing w:after="120"/>
        <w:jc w:val="both"/>
      </w:pPr>
      <w:r>
        <w:t>I bilaga V till vattendirektivet anges hur medlemsstaterna ska övervaka grundvatten och presentera resultaten av den kemiska statusklassificeringen. Detaljerade bestämmelser och kriterier för statusbedömningar fastställs i direktivet om grundvatten (GWD) (2006/118/EG)</w:t>
      </w:r>
      <w:r>
        <w:rPr>
          <w:rStyle w:val="Fotnotsreferens"/>
        </w:rPr>
        <w:footnoteReference w:id="44"/>
      </w:r>
      <w:r>
        <w:t>.</w:t>
      </w:r>
    </w:p>
    <w:p w:rsidR="000215C5" w:rsidRDefault="00703023">
      <w:pPr>
        <w:spacing w:after="120"/>
        <w:jc w:val="both"/>
      </w:pPr>
      <w:r>
        <w:t>Förutom vattendirektivets rapporteringskrav införs genom grundvattendirektivet flera kompletterande rapporteringskrav för att säkerställa att grundvattenförekomsternas status har fastställts enligt dess bestämmelser på ett konsekvent och jämförbart sätt inom EU.</w:t>
      </w:r>
    </w:p>
    <w:p w:rsidR="000215C5" w:rsidRDefault="00703023">
      <w:pPr>
        <w:spacing w:after="120"/>
        <w:jc w:val="both"/>
      </w:pPr>
      <w:r>
        <w:t>Både vattendirektivet och grundvattendirektivet innehåller krav på rapportering av resultaten av bedömningen av kemisk status och den metod som används för att klassificera grundvattenförekomster. Kraven fastställs i bilaga V till vattendirektivet samt artikel 4 och bilaga III till grundvattendirektivet (rapporteringskraven i grundvattendirektivet anges i artikel 4.4 och bilaga III punkt 5).</w:t>
      </w:r>
    </w:p>
    <w:p w:rsidR="000215C5" w:rsidRDefault="00703023">
      <w:pPr>
        <w:spacing w:after="120"/>
        <w:jc w:val="both"/>
      </w:pPr>
      <w:r>
        <w:t xml:space="preserve">Enligt artikel 4.4–4.9 i vattendirektivet får medlemsstaterna förlänga tidsfristerna för uppnående av god status eller ställa upp andra mål under vissa angivna omständigheter. Dessa förtydliganden finns i CIS-vägledningsdokument nr 20: </w:t>
      </w:r>
      <w:r>
        <w:rPr>
          <w:i/>
        </w:rPr>
        <w:t>Exemptions to the Environmental Objectives</w:t>
      </w:r>
      <w:r>
        <w:rPr>
          <w:rStyle w:val="Fotnotsreferens"/>
        </w:rPr>
        <w:footnoteReference w:id="45"/>
      </w:r>
      <w:r>
        <w:t>, som överenskoms 2005.</w:t>
      </w:r>
    </w:p>
    <w:p w:rsidR="000215C5" w:rsidRDefault="00703023">
      <w:pPr>
        <w:spacing w:after="120"/>
        <w:jc w:val="both"/>
      </w:pPr>
      <w:r>
        <w:t>Enligt artikel 4.4–4.9 ska medlemsstaterna dessutom i sina förvaltningsplaner informera om eventuella förlängda tidsfrister eller andra mål samt skälen till detta.</w:t>
      </w:r>
    </w:p>
    <w:bookmarkEnd w:id="225"/>
    <w:p w:rsidR="000215C5" w:rsidRDefault="00703023">
      <w:pPr>
        <w:pStyle w:val="Rubrik3"/>
      </w:pPr>
      <w:r>
        <w:t>Hur kommer kommissionen och Europeiska miljöbyrån att använda den rapporterade informationen?</w:t>
      </w:r>
    </w:p>
    <w:p w:rsidR="000215C5" w:rsidRDefault="00703023">
      <w:pPr>
        <w:pStyle w:val="Brdtext"/>
        <w:jc w:val="both"/>
      </w:pPr>
      <w:r>
        <w:t xml:space="preserve">Den information som rapporteras av medlemsstaterna kommer att användas för att fastställa nyckelindikatorn för andelen grundvattenförekomster med god kemisk status i avrinningsdistriktet eller delavrinningsdistriktet samt antalet grundvattenförekomster som riskerar att inte uppnå god kemisk status. Merparten av den rapporterade informationen kommer att användas för visualiseringsändamål och för information till allmänheten via Wise. </w:t>
      </w:r>
      <w:r w:rsidR="006E59C8" w:rsidRPr="006E59C8">
        <w:t>Uppgifterna och kartorna kommer dessutom att användas för att jämföra nuvarande status med den grundstatus som rapporterades i den första förvaltningsplanen för att besvara frågan om huruvida vattenkvaliteten har förbättrats sedan åtgärdsprogrammet enligt vattendirektivet inleddes.</w:t>
      </w:r>
      <w:r w:rsidR="006E59C8">
        <w:t xml:space="preserve"> </w:t>
      </w:r>
      <w:r>
        <w:t xml:space="preserve">De uppgifter och kartor som ska lämnas är således mycket viktiga eftersom de ligger till grund för trendanalyser, utformning av politik och för bedömningen av hur effektiva de politiska åtgärderna är. </w:t>
      </w:r>
    </w:p>
    <w:p w:rsidR="000215C5" w:rsidRDefault="00703023">
      <w:pPr>
        <w:pStyle w:val="Rubrik4"/>
        <w:numPr>
          <w:ilvl w:val="0"/>
          <w:numId w:val="0"/>
        </w:numPr>
      </w:pPr>
      <w:r>
        <w:t xml:space="preserve">På EU-nivå kommer statistik och information att lämnas till Europaparlamentet. Allmänheten kommer att få tillgång till informationen via Wise. </w:t>
      </w:r>
    </w:p>
    <w:p w:rsidR="000215C5" w:rsidRDefault="00703023">
      <w:pPr>
        <w:pStyle w:val="Rubrik4"/>
      </w:pPr>
      <w:r>
        <w:t>Produkter från rapporteringen</w:t>
      </w:r>
    </w:p>
    <w:p w:rsidR="000215C5" w:rsidRDefault="00703023">
      <w:pPr>
        <w:jc w:val="both"/>
      </w:pPr>
      <w:r>
        <w:t>Obs: För alla relevanta produkter kommer information om grundvattenförekomster att presenteras per antal grundvattenförekomster, per storlek (yta) samt i procent.</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732"/>
        <w:gridCol w:w="1071"/>
        <w:gridCol w:w="1260"/>
        <w:gridCol w:w="1922"/>
        <w:gridCol w:w="1984"/>
        <w:gridCol w:w="1701"/>
      </w:tblGrid>
      <w:tr w:rsidR="000215C5" w:rsidTr="00056EC0">
        <w:trPr>
          <w:cantSplit/>
        </w:trPr>
        <w:tc>
          <w:tcPr>
            <w:tcW w:w="455" w:type="dxa"/>
            <w:shd w:val="clear" w:color="auto" w:fill="auto"/>
          </w:tcPr>
          <w:p w:rsidR="000215C5" w:rsidRDefault="00703023">
            <w:pPr>
              <w:spacing w:after="0"/>
              <w:jc w:val="both"/>
              <w:rPr>
                <w:b/>
                <w:sz w:val="18"/>
                <w:szCs w:val="18"/>
              </w:rPr>
            </w:pPr>
            <w:r>
              <w:rPr>
                <w:b/>
                <w:sz w:val="18"/>
              </w:rPr>
              <w:t>Nb</w:t>
            </w:r>
          </w:p>
        </w:tc>
        <w:tc>
          <w:tcPr>
            <w:tcW w:w="1732" w:type="dxa"/>
            <w:shd w:val="clear" w:color="auto" w:fill="auto"/>
          </w:tcPr>
          <w:p w:rsidR="000215C5" w:rsidRDefault="00703023">
            <w:pPr>
              <w:spacing w:after="0"/>
              <w:jc w:val="both"/>
              <w:rPr>
                <w:b/>
                <w:sz w:val="18"/>
                <w:szCs w:val="18"/>
              </w:rPr>
            </w:pPr>
            <w:r>
              <w:rPr>
                <w:b/>
                <w:sz w:val="18"/>
              </w:rPr>
              <w:t>Produktens namn</w:t>
            </w:r>
          </w:p>
        </w:tc>
        <w:tc>
          <w:tcPr>
            <w:tcW w:w="1071" w:type="dxa"/>
            <w:shd w:val="clear" w:color="auto" w:fill="auto"/>
          </w:tcPr>
          <w:p w:rsidR="000215C5" w:rsidRDefault="00703023">
            <w:pPr>
              <w:spacing w:after="0"/>
              <w:jc w:val="both"/>
              <w:rPr>
                <w:b/>
                <w:sz w:val="18"/>
                <w:szCs w:val="18"/>
              </w:rPr>
            </w:pPr>
            <w:r>
              <w:rPr>
                <w:b/>
                <w:sz w:val="18"/>
              </w:rPr>
              <w:t>Produkttyp</w:t>
            </w:r>
          </w:p>
        </w:tc>
        <w:tc>
          <w:tcPr>
            <w:tcW w:w="1260" w:type="dxa"/>
            <w:shd w:val="clear" w:color="auto" w:fill="auto"/>
          </w:tcPr>
          <w:p w:rsidR="000215C5" w:rsidRDefault="00703023">
            <w:pPr>
              <w:spacing w:after="0"/>
              <w:jc w:val="both"/>
              <w:rPr>
                <w:b/>
                <w:sz w:val="18"/>
                <w:szCs w:val="18"/>
              </w:rPr>
            </w:pPr>
            <w:r>
              <w:rPr>
                <w:b/>
                <w:sz w:val="18"/>
              </w:rPr>
              <w:t>Informations</w:t>
            </w:r>
            <w:r w:rsidR="00056EC0">
              <w:rPr>
                <w:b/>
                <w:sz w:val="18"/>
              </w:rPr>
              <w:t>-</w:t>
            </w:r>
            <w:r>
              <w:rPr>
                <w:b/>
                <w:sz w:val="18"/>
              </w:rPr>
              <w:t>nivå*</w:t>
            </w:r>
          </w:p>
        </w:tc>
        <w:tc>
          <w:tcPr>
            <w:tcW w:w="1922" w:type="dxa"/>
            <w:shd w:val="clear" w:color="auto" w:fill="auto"/>
          </w:tcPr>
          <w:p w:rsidR="000215C5" w:rsidRDefault="00703023">
            <w:pPr>
              <w:spacing w:after="0"/>
              <w:jc w:val="both"/>
              <w:rPr>
                <w:b/>
                <w:sz w:val="18"/>
                <w:szCs w:val="18"/>
              </w:rPr>
            </w:pPr>
            <w:r>
              <w:rPr>
                <w:b/>
                <w:sz w:val="18"/>
              </w:rPr>
              <w:t>Detaljerad information visas</w:t>
            </w:r>
          </w:p>
        </w:tc>
        <w:tc>
          <w:tcPr>
            <w:tcW w:w="1984"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701"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1</w:t>
            </w:r>
          </w:p>
        </w:tc>
        <w:tc>
          <w:tcPr>
            <w:tcW w:w="1732" w:type="dxa"/>
            <w:shd w:val="clear" w:color="auto" w:fill="auto"/>
          </w:tcPr>
          <w:p w:rsidR="000215C5" w:rsidRDefault="00703023">
            <w:pPr>
              <w:spacing w:after="0"/>
              <w:jc w:val="both"/>
              <w:rPr>
                <w:b/>
                <w:sz w:val="18"/>
                <w:szCs w:val="18"/>
              </w:rPr>
            </w:pPr>
            <w:r>
              <w:rPr>
                <w:b/>
                <w:sz w:val="18"/>
              </w:rPr>
              <w:t>Antal, yta och procentandel grundvattenföre</w:t>
            </w:r>
            <w:r w:rsidR="00AC0A95">
              <w:rPr>
                <w:b/>
                <w:sz w:val="18"/>
              </w:rPr>
              <w:t>-</w:t>
            </w:r>
            <w:r>
              <w:rPr>
                <w:b/>
                <w:sz w:val="18"/>
              </w:rPr>
              <w:t>komster med god kemisk status samt förväntade förbättringar</w:t>
            </w:r>
          </w:p>
        </w:tc>
        <w:tc>
          <w:tcPr>
            <w:tcW w:w="1071"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WB</w:t>
            </w:r>
          </w:p>
        </w:tc>
        <w:tc>
          <w:tcPr>
            <w:tcW w:w="1922" w:type="dxa"/>
            <w:shd w:val="clear" w:color="auto" w:fill="auto"/>
          </w:tcPr>
          <w:p w:rsidR="000215C5" w:rsidRDefault="00703023">
            <w:pPr>
              <w:spacing w:after="0"/>
              <w:jc w:val="both"/>
              <w:rPr>
                <w:sz w:val="18"/>
                <w:szCs w:val="18"/>
              </w:rPr>
            </w:pPr>
            <w:r>
              <w:rPr>
                <w:sz w:val="18"/>
              </w:rPr>
              <w:t>Antal, yta och procentandel grundvattenföre</w:t>
            </w:r>
            <w:r w:rsidR="00056EC0">
              <w:rPr>
                <w:sz w:val="18"/>
              </w:rPr>
              <w:t>-</w:t>
            </w:r>
            <w:r>
              <w:rPr>
                <w:sz w:val="18"/>
              </w:rPr>
              <w:t>komster med god kemisk status samt förväntade förbättringar sedan de första förvaltningsplanerna.</w:t>
            </w:r>
          </w:p>
        </w:tc>
        <w:tc>
          <w:tcPr>
            <w:tcW w:w="1984" w:type="dxa"/>
            <w:shd w:val="clear" w:color="auto" w:fill="auto"/>
          </w:tcPr>
          <w:p w:rsidR="000215C5" w:rsidRDefault="00703023">
            <w:pPr>
              <w:spacing w:after="0"/>
              <w:jc w:val="both"/>
              <w:rPr>
                <w:sz w:val="18"/>
                <w:szCs w:val="18"/>
              </w:rPr>
            </w:pPr>
            <w:r>
              <w:rPr>
                <w:sz w:val="18"/>
              </w:rPr>
              <w:t>Aggregering på grundval av den information som lämnas på vattenförekomstnivå.</w:t>
            </w:r>
          </w:p>
        </w:tc>
        <w:tc>
          <w:tcPr>
            <w:tcW w:w="1701" w:type="dxa"/>
            <w:shd w:val="clear" w:color="auto" w:fill="auto"/>
          </w:tcPr>
          <w:p w:rsidR="000215C5" w:rsidRDefault="00703023">
            <w:pPr>
              <w:spacing w:after="0"/>
              <w:jc w:val="both"/>
              <w:rPr>
                <w:sz w:val="18"/>
                <w:szCs w:val="18"/>
              </w:rPr>
            </w:pPr>
            <w:r>
              <w:rPr>
                <w:sz w:val="18"/>
              </w:rPr>
              <w:t>Ja</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2</w:t>
            </w:r>
          </w:p>
        </w:tc>
        <w:tc>
          <w:tcPr>
            <w:tcW w:w="1732" w:type="dxa"/>
            <w:shd w:val="clear" w:color="auto" w:fill="auto"/>
          </w:tcPr>
          <w:p w:rsidR="000215C5" w:rsidRDefault="00703023">
            <w:pPr>
              <w:spacing w:after="0"/>
              <w:jc w:val="both"/>
              <w:rPr>
                <w:b/>
                <w:sz w:val="18"/>
                <w:szCs w:val="18"/>
              </w:rPr>
            </w:pPr>
            <w:r>
              <w:rPr>
                <w:b/>
                <w:sz w:val="18"/>
              </w:rPr>
              <w:t>Drivkrafter som leder till att vattenförekomsten inte uppnår god kemisk status</w:t>
            </w:r>
          </w:p>
        </w:tc>
        <w:tc>
          <w:tcPr>
            <w:tcW w:w="1071"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RBD/SU</w:t>
            </w:r>
          </w:p>
        </w:tc>
        <w:tc>
          <w:tcPr>
            <w:tcW w:w="1922" w:type="dxa"/>
            <w:shd w:val="clear" w:color="auto" w:fill="auto"/>
          </w:tcPr>
          <w:p w:rsidR="000215C5" w:rsidRDefault="00703023">
            <w:pPr>
              <w:spacing w:after="120"/>
              <w:jc w:val="both"/>
              <w:rPr>
                <w:sz w:val="18"/>
                <w:szCs w:val="18"/>
              </w:rPr>
            </w:pPr>
            <w:r>
              <w:rPr>
                <w:sz w:val="18"/>
              </w:rPr>
              <w:t>Antal samt yta för grundvattenföre</w:t>
            </w:r>
            <w:r w:rsidR="00056EC0">
              <w:rPr>
                <w:sz w:val="18"/>
              </w:rPr>
              <w:t>-</w:t>
            </w:r>
            <w:r>
              <w:rPr>
                <w:sz w:val="18"/>
              </w:rPr>
              <w:t>komster som inte uppnår god kemisk status på grund av varje drivkraft</w:t>
            </w:r>
          </w:p>
          <w:p w:rsidR="000215C5" w:rsidRDefault="00703023">
            <w:pPr>
              <w:spacing w:after="0"/>
              <w:jc w:val="both"/>
              <w:rPr>
                <w:sz w:val="18"/>
                <w:szCs w:val="18"/>
              </w:rPr>
            </w:pPr>
            <w:r>
              <w:rPr>
                <w:sz w:val="18"/>
              </w:rPr>
              <w:t>Procentandel grundvattenföre</w:t>
            </w:r>
            <w:r w:rsidR="00056EC0">
              <w:rPr>
                <w:sz w:val="18"/>
              </w:rPr>
              <w:t>-</w:t>
            </w:r>
            <w:r>
              <w:rPr>
                <w:sz w:val="18"/>
              </w:rPr>
              <w:t>komster som inte uppnår god kemisk status på grund av varje drivkraft i förhållande till det totala antalet grundvattenföre</w:t>
            </w:r>
            <w:r w:rsidR="00056EC0">
              <w:rPr>
                <w:sz w:val="18"/>
              </w:rPr>
              <w:t>-</w:t>
            </w:r>
            <w:r>
              <w:rPr>
                <w:sz w:val="18"/>
              </w:rPr>
              <w:t>komster som inte uppnår god status.</w:t>
            </w:r>
          </w:p>
        </w:tc>
        <w:tc>
          <w:tcPr>
            <w:tcW w:w="1984" w:type="dxa"/>
            <w:shd w:val="clear" w:color="auto" w:fill="auto"/>
          </w:tcPr>
          <w:p w:rsidR="000215C5" w:rsidRDefault="00703023">
            <w:pPr>
              <w:spacing w:after="0"/>
              <w:jc w:val="both"/>
              <w:rPr>
                <w:sz w:val="18"/>
                <w:szCs w:val="18"/>
              </w:rPr>
            </w:pPr>
            <w:r>
              <w:rPr>
                <w:sz w:val="18"/>
              </w:rPr>
              <w:t>Aggregering på grundval av den information om påverkan som lämnas på vattenförekomstnivå.</w:t>
            </w:r>
          </w:p>
        </w:tc>
        <w:tc>
          <w:tcPr>
            <w:tcW w:w="1701" w:type="dxa"/>
            <w:shd w:val="clear" w:color="auto" w:fill="auto"/>
          </w:tcPr>
          <w:p w:rsidR="000215C5" w:rsidRDefault="00703023">
            <w:pPr>
              <w:spacing w:after="0"/>
              <w:jc w:val="both"/>
              <w:rPr>
                <w:sz w:val="18"/>
                <w:szCs w:val="18"/>
              </w:rPr>
            </w:pPr>
            <w:r>
              <w:rPr>
                <w:sz w:val="18"/>
              </w:rPr>
              <w:t>Ej möjligt (drivkrafter rapporterades inte om de inte var kopplade till påverkan som rapporterats på detaljerad nivå, vilket var valfritt).</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3</w:t>
            </w:r>
          </w:p>
        </w:tc>
        <w:tc>
          <w:tcPr>
            <w:tcW w:w="1732" w:type="dxa"/>
            <w:shd w:val="clear" w:color="auto" w:fill="auto"/>
          </w:tcPr>
          <w:p w:rsidR="000215C5" w:rsidRDefault="00703023">
            <w:pPr>
              <w:spacing w:after="0"/>
              <w:jc w:val="both"/>
              <w:rPr>
                <w:b/>
                <w:sz w:val="18"/>
                <w:szCs w:val="18"/>
              </w:rPr>
            </w:pPr>
            <w:r>
              <w:rPr>
                <w:b/>
                <w:sz w:val="18"/>
              </w:rPr>
              <w:t>Kemisk status hos grundvattenföre</w:t>
            </w:r>
            <w:r w:rsidR="00056EC0">
              <w:rPr>
                <w:b/>
                <w:sz w:val="18"/>
              </w:rPr>
              <w:t>-</w:t>
            </w:r>
            <w:r>
              <w:rPr>
                <w:b/>
                <w:sz w:val="18"/>
              </w:rPr>
              <w:t>komster</w:t>
            </w:r>
          </w:p>
        </w:tc>
        <w:tc>
          <w:tcPr>
            <w:tcW w:w="1071" w:type="dxa"/>
            <w:shd w:val="clear" w:color="auto" w:fill="auto"/>
          </w:tcPr>
          <w:p w:rsidR="000215C5" w:rsidRDefault="00AC0A95">
            <w:pPr>
              <w:spacing w:after="0"/>
              <w:jc w:val="both"/>
              <w:rPr>
                <w:sz w:val="18"/>
                <w:szCs w:val="18"/>
              </w:rPr>
            </w:pPr>
            <w:r>
              <w:rPr>
                <w:sz w:val="18"/>
              </w:rPr>
              <w:t>D</w:t>
            </w:r>
            <w:r w:rsidR="00703023">
              <w:rPr>
                <w:sz w:val="18"/>
              </w:rPr>
              <w:t>iagram</w:t>
            </w:r>
          </w:p>
        </w:tc>
        <w:tc>
          <w:tcPr>
            <w:tcW w:w="1260" w:type="dxa"/>
            <w:shd w:val="clear" w:color="auto" w:fill="auto"/>
          </w:tcPr>
          <w:p w:rsidR="000215C5" w:rsidRDefault="00703023">
            <w:pPr>
              <w:spacing w:after="0"/>
              <w:jc w:val="both"/>
              <w:rPr>
                <w:sz w:val="18"/>
                <w:szCs w:val="18"/>
              </w:rPr>
            </w:pPr>
            <w:r>
              <w:rPr>
                <w:sz w:val="18"/>
              </w:rPr>
              <w:t>MS</w:t>
            </w:r>
          </w:p>
        </w:tc>
        <w:tc>
          <w:tcPr>
            <w:tcW w:w="1922" w:type="dxa"/>
            <w:shd w:val="clear" w:color="auto" w:fill="auto"/>
          </w:tcPr>
          <w:p w:rsidR="000215C5" w:rsidRDefault="00703023">
            <w:pPr>
              <w:spacing w:after="0"/>
              <w:jc w:val="both"/>
              <w:rPr>
                <w:sz w:val="18"/>
                <w:szCs w:val="18"/>
              </w:rPr>
            </w:pPr>
            <w:r>
              <w:rPr>
                <w:sz w:val="18"/>
              </w:rPr>
              <w:t>Procentandel grundvattenföre</w:t>
            </w:r>
            <w:r w:rsidR="00056EC0">
              <w:rPr>
                <w:sz w:val="18"/>
              </w:rPr>
              <w:t>-</w:t>
            </w:r>
            <w:r>
              <w:rPr>
                <w:sz w:val="18"/>
              </w:rPr>
              <w:t xml:space="preserve">komster med otillfredsställande respektive god kemisk status per yta. </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701" w:type="dxa"/>
            <w:shd w:val="clear" w:color="auto" w:fill="auto"/>
          </w:tcPr>
          <w:p w:rsidR="000215C5" w:rsidRDefault="00703023">
            <w:pPr>
              <w:spacing w:after="0"/>
              <w:jc w:val="both"/>
              <w:rPr>
                <w:sz w:val="18"/>
                <w:szCs w:val="18"/>
              </w:rPr>
            </w:pPr>
            <w:r>
              <w:rPr>
                <w:sz w:val="18"/>
              </w:rPr>
              <w:t>Ja</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4</w:t>
            </w:r>
          </w:p>
        </w:tc>
        <w:tc>
          <w:tcPr>
            <w:tcW w:w="1732" w:type="dxa"/>
            <w:shd w:val="clear" w:color="auto" w:fill="auto"/>
          </w:tcPr>
          <w:p w:rsidR="000215C5" w:rsidRDefault="00703023">
            <w:pPr>
              <w:spacing w:after="0"/>
              <w:jc w:val="both"/>
              <w:rPr>
                <w:b/>
                <w:sz w:val="18"/>
                <w:szCs w:val="18"/>
              </w:rPr>
            </w:pPr>
            <w:r>
              <w:rPr>
                <w:b/>
                <w:sz w:val="18"/>
              </w:rPr>
              <w:t>Kemisk status hos grundvattenföre</w:t>
            </w:r>
            <w:r w:rsidR="00056EC0">
              <w:rPr>
                <w:b/>
                <w:sz w:val="18"/>
              </w:rPr>
              <w:t>-</w:t>
            </w:r>
            <w:r>
              <w:rPr>
                <w:b/>
                <w:sz w:val="18"/>
              </w:rPr>
              <w:t>komster</w:t>
            </w:r>
          </w:p>
        </w:tc>
        <w:tc>
          <w:tcPr>
            <w:tcW w:w="1071" w:type="dxa"/>
            <w:shd w:val="clear" w:color="auto" w:fill="auto"/>
          </w:tcPr>
          <w:p w:rsidR="000215C5" w:rsidRDefault="00703023">
            <w:pPr>
              <w:spacing w:after="0"/>
              <w:jc w:val="both"/>
              <w:rPr>
                <w:sz w:val="18"/>
                <w:szCs w:val="18"/>
              </w:rPr>
            </w:pPr>
            <w:r>
              <w:rPr>
                <w:sz w:val="18"/>
              </w:rPr>
              <w:t>Karta</w:t>
            </w:r>
          </w:p>
        </w:tc>
        <w:tc>
          <w:tcPr>
            <w:tcW w:w="1260" w:type="dxa"/>
            <w:shd w:val="clear" w:color="auto" w:fill="auto"/>
          </w:tcPr>
          <w:p w:rsidR="000215C5" w:rsidRDefault="00703023">
            <w:pPr>
              <w:spacing w:after="0"/>
              <w:jc w:val="both"/>
              <w:rPr>
                <w:sz w:val="18"/>
                <w:szCs w:val="18"/>
              </w:rPr>
            </w:pPr>
            <w:r>
              <w:rPr>
                <w:sz w:val="18"/>
              </w:rPr>
              <w:t>RBD</w:t>
            </w:r>
          </w:p>
        </w:tc>
        <w:tc>
          <w:tcPr>
            <w:tcW w:w="1922" w:type="dxa"/>
            <w:shd w:val="clear" w:color="auto" w:fill="auto"/>
          </w:tcPr>
          <w:p w:rsidR="000215C5" w:rsidRDefault="00703023">
            <w:pPr>
              <w:spacing w:after="0"/>
              <w:jc w:val="both"/>
              <w:rPr>
                <w:sz w:val="18"/>
                <w:szCs w:val="18"/>
              </w:rPr>
            </w:pPr>
            <w:r>
              <w:rPr>
                <w:sz w:val="18"/>
              </w:rPr>
              <w:t>Procentandel grundvattenyta som inte uppnår god kemisk status.</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701" w:type="dxa"/>
            <w:shd w:val="clear" w:color="auto" w:fill="auto"/>
          </w:tcPr>
          <w:p w:rsidR="000215C5" w:rsidRDefault="00703023">
            <w:pPr>
              <w:spacing w:after="0"/>
              <w:jc w:val="both"/>
              <w:rPr>
                <w:sz w:val="18"/>
                <w:szCs w:val="18"/>
              </w:rPr>
            </w:pPr>
            <w:r>
              <w:rPr>
                <w:sz w:val="18"/>
              </w:rPr>
              <w:t>Ja</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5</w:t>
            </w:r>
          </w:p>
        </w:tc>
        <w:tc>
          <w:tcPr>
            <w:tcW w:w="1732" w:type="dxa"/>
            <w:shd w:val="clear" w:color="auto" w:fill="auto"/>
          </w:tcPr>
          <w:p w:rsidR="000215C5" w:rsidRDefault="00703023">
            <w:pPr>
              <w:spacing w:after="0"/>
              <w:jc w:val="both"/>
              <w:rPr>
                <w:b/>
                <w:sz w:val="18"/>
                <w:szCs w:val="18"/>
              </w:rPr>
            </w:pPr>
            <w:r>
              <w:rPr>
                <w:b/>
                <w:sz w:val="18"/>
              </w:rPr>
              <w:t>Procentandel grundvattenföre</w:t>
            </w:r>
            <w:r w:rsidR="00056EC0">
              <w:rPr>
                <w:b/>
                <w:sz w:val="18"/>
              </w:rPr>
              <w:t>-</w:t>
            </w:r>
            <w:r>
              <w:rPr>
                <w:b/>
                <w:sz w:val="18"/>
              </w:rPr>
              <w:t>komster som inte uppnår god kemisk status på grund av förekomst av nitrater</w:t>
            </w:r>
          </w:p>
        </w:tc>
        <w:tc>
          <w:tcPr>
            <w:tcW w:w="1071" w:type="dxa"/>
            <w:shd w:val="clear" w:color="auto" w:fill="auto"/>
          </w:tcPr>
          <w:p w:rsidR="000215C5" w:rsidRDefault="00703023">
            <w:pPr>
              <w:spacing w:after="0"/>
              <w:jc w:val="both"/>
              <w:rPr>
                <w:sz w:val="18"/>
                <w:szCs w:val="18"/>
              </w:rPr>
            </w:pPr>
            <w:r>
              <w:rPr>
                <w:sz w:val="18"/>
              </w:rPr>
              <w:t>Karta</w:t>
            </w:r>
          </w:p>
        </w:tc>
        <w:tc>
          <w:tcPr>
            <w:tcW w:w="1260" w:type="dxa"/>
            <w:shd w:val="clear" w:color="auto" w:fill="auto"/>
          </w:tcPr>
          <w:p w:rsidR="000215C5" w:rsidRDefault="00703023">
            <w:pPr>
              <w:spacing w:after="0"/>
              <w:jc w:val="both"/>
              <w:rPr>
                <w:sz w:val="18"/>
                <w:szCs w:val="18"/>
              </w:rPr>
            </w:pPr>
            <w:r>
              <w:rPr>
                <w:sz w:val="18"/>
              </w:rPr>
              <w:t>RBD</w:t>
            </w:r>
          </w:p>
        </w:tc>
        <w:tc>
          <w:tcPr>
            <w:tcW w:w="1922" w:type="dxa"/>
            <w:shd w:val="clear" w:color="auto" w:fill="auto"/>
          </w:tcPr>
          <w:p w:rsidR="000215C5" w:rsidRDefault="00703023">
            <w:pPr>
              <w:spacing w:after="0"/>
              <w:jc w:val="both"/>
              <w:rPr>
                <w:sz w:val="18"/>
                <w:szCs w:val="18"/>
              </w:rPr>
            </w:pPr>
            <w:r>
              <w:rPr>
                <w:sz w:val="18"/>
              </w:rPr>
              <w:t>Procentandel grundvattenföre</w:t>
            </w:r>
            <w:r w:rsidR="00056EC0">
              <w:rPr>
                <w:sz w:val="18"/>
              </w:rPr>
              <w:t>-</w:t>
            </w:r>
            <w:r>
              <w:rPr>
                <w:sz w:val="18"/>
              </w:rPr>
              <w:t>komstyta som inte uppnår god kemisk status på grund av förekomst av nitrater.</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 – vattenförekomster med okänd status ingår inte.</w:t>
            </w:r>
          </w:p>
        </w:tc>
        <w:tc>
          <w:tcPr>
            <w:tcW w:w="1701" w:type="dxa"/>
            <w:shd w:val="clear" w:color="auto" w:fill="auto"/>
          </w:tcPr>
          <w:p w:rsidR="000215C5" w:rsidRDefault="00703023">
            <w:pPr>
              <w:spacing w:after="0"/>
              <w:jc w:val="both"/>
              <w:rPr>
                <w:sz w:val="18"/>
                <w:szCs w:val="18"/>
              </w:rPr>
            </w:pPr>
            <w:r>
              <w:rPr>
                <w:sz w:val="18"/>
              </w:rPr>
              <w:t>Ja</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6</w:t>
            </w:r>
          </w:p>
        </w:tc>
        <w:tc>
          <w:tcPr>
            <w:tcW w:w="1732" w:type="dxa"/>
            <w:shd w:val="clear" w:color="auto" w:fill="auto"/>
          </w:tcPr>
          <w:p w:rsidR="000215C5" w:rsidRDefault="00703023">
            <w:pPr>
              <w:spacing w:after="0"/>
              <w:jc w:val="both"/>
              <w:rPr>
                <w:b/>
                <w:sz w:val="18"/>
                <w:szCs w:val="18"/>
              </w:rPr>
            </w:pPr>
            <w:r>
              <w:rPr>
                <w:b/>
                <w:sz w:val="18"/>
              </w:rPr>
              <w:t>Aggregeringstabeller Kvantitativ och kemisk status hos grundvattenföre</w:t>
            </w:r>
            <w:r w:rsidR="00056EC0">
              <w:rPr>
                <w:b/>
                <w:sz w:val="18"/>
              </w:rPr>
              <w:t>-</w:t>
            </w:r>
            <w:r>
              <w:rPr>
                <w:b/>
                <w:sz w:val="18"/>
              </w:rPr>
              <w:t xml:space="preserve">komster </w:t>
            </w:r>
          </w:p>
        </w:tc>
        <w:tc>
          <w:tcPr>
            <w:tcW w:w="1071"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 RBD/SU</w:t>
            </w:r>
          </w:p>
        </w:tc>
        <w:tc>
          <w:tcPr>
            <w:tcW w:w="1922" w:type="dxa"/>
            <w:shd w:val="clear" w:color="auto" w:fill="auto"/>
          </w:tcPr>
          <w:p w:rsidR="000215C5" w:rsidRDefault="00703023">
            <w:pPr>
              <w:spacing w:after="0"/>
              <w:jc w:val="both"/>
              <w:rPr>
                <w:sz w:val="18"/>
                <w:szCs w:val="18"/>
              </w:rPr>
            </w:pPr>
            <w:r>
              <w:rPr>
                <w:sz w:val="18"/>
              </w:rPr>
              <w:t>Antal och storlek (yta) för grundvattenföre</w:t>
            </w:r>
            <w:r w:rsidR="00056EC0">
              <w:rPr>
                <w:sz w:val="18"/>
              </w:rPr>
              <w:t>-</w:t>
            </w:r>
            <w:r>
              <w:rPr>
                <w:sz w:val="18"/>
              </w:rPr>
              <w:t>komster per kemisk statusklass.</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Ja</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7</w:t>
            </w:r>
          </w:p>
        </w:tc>
        <w:tc>
          <w:tcPr>
            <w:tcW w:w="1732" w:type="dxa"/>
            <w:shd w:val="clear" w:color="auto" w:fill="auto"/>
          </w:tcPr>
          <w:p w:rsidR="000215C5" w:rsidRDefault="00703023">
            <w:pPr>
              <w:spacing w:after="0"/>
              <w:jc w:val="both"/>
              <w:rPr>
                <w:b/>
                <w:sz w:val="18"/>
                <w:szCs w:val="18"/>
              </w:rPr>
            </w:pPr>
            <w:r>
              <w:rPr>
                <w:b/>
                <w:sz w:val="18"/>
              </w:rPr>
              <w:t>Framsteg mot att uppnå god kemisk status sedan den första förvaltningsplanen</w:t>
            </w:r>
          </w:p>
        </w:tc>
        <w:tc>
          <w:tcPr>
            <w:tcW w:w="1071" w:type="dxa"/>
            <w:shd w:val="clear" w:color="auto" w:fill="auto"/>
          </w:tcPr>
          <w:p w:rsidR="000215C5" w:rsidRDefault="00703023">
            <w:pPr>
              <w:spacing w:after="0"/>
              <w:jc w:val="both"/>
              <w:rPr>
                <w:sz w:val="18"/>
                <w:szCs w:val="18"/>
              </w:rPr>
            </w:pPr>
            <w:r>
              <w:rPr>
                <w:sz w:val="18"/>
              </w:rPr>
              <w:t>Karta/</w:t>
            </w:r>
            <w:r w:rsidR="00AC0A95">
              <w:rPr>
                <w:sz w:val="18"/>
              </w:rPr>
              <w:t xml:space="preserve"> </w:t>
            </w:r>
            <w:r>
              <w:rPr>
                <w:sz w:val="18"/>
              </w:rPr>
              <w:t>diagram</w:t>
            </w:r>
          </w:p>
        </w:tc>
        <w:tc>
          <w:tcPr>
            <w:tcW w:w="1260" w:type="dxa"/>
            <w:shd w:val="clear" w:color="auto" w:fill="auto"/>
          </w:tcPr>
          <w:p w:rsidR="000215C5" w:rsidRDefault="00703023">
            <w:pPr>
              <w:spacing w:after="0"/>
              <w:jc w:val="both"/>
              <w:rPr>
                <w:sz w:val="18"/>
                <w:szCs w:val="18"/>
              </w:rPr>
            </w:pPr>
            <w:r>
              <w:rPr>
                <w:sz w:val="18"/>
              </w:rPr>
              <w:t>MS/ RBD/SU</w:t>
            </w:r>
          </w:p>
        </w:tc>
        <w:tc>
          <w:tcPr>
            <w:tcW w:w="1922" w:type="dxa"/>
            <w:shd w:val="clear" w:color="auto" w:fill="auto"/>
          </w:tcPr>
          <w:p w:rsidR="000215C5" w:rsidRDefault="00703023">
            <w:pPr>
              <w:spacing w:after="0"/>
              <w:jc w:val="both"/>
              <w:rPr>
                <w:sz w:val="18"/>
                <w:szCs w:val="18"/>
              </w:rPr>
            </w:pPr>
            <w:r>
              <w:rPr>
                <w:sz w:val="18"/>
              </w:rPr>
              <w:t>Antal, yta och procentandel vattenförekomster som har uppnått god kemisk status sedan de första förvaltningsplanerna.</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Ej relevant för rapporteringen 2010.</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8</w:t>
            </w:r>
          </w:p>
        </w:tc>
        <w:tc>
          <w:tcPr>
            <w:tcW w:w="1732" w:type="dxa"/>
            <w:shd w:val="clear" w:color="auto" w:fill="auto"/>
          </w:tcPr>
          <w:p w:rsidR="000215C5" w:rsidRDefault="00703023">
            <w:pPr>
              <w:spacing w:after="0"/>
              <w:jc w:val="both"/>
              <w:rPr>
                <w:b/>
                <w:sz w:val="18"/>
                <w:szCs w:val="18"/>
              </w:rPr>
            </w:pPr>
            <w:r>
              <w:rPr>
                <w:b/>
                <w:sz w:val="18"/>
              </w:rPr>
              <w:t xml:space="preserve">Förbättringar av kemisk status sedan den första förvaltningsplanen </w:t>
            </w:r>
          </w:p>
        </w:tc>
        <w:tc>
          <w:tcPr>
            <w:tcW w:w="1071" w:type="dxa"/>
            <w:shd w:val="clear" w:color="auto" w:fill="auto"/>
          </w:tcPr>
          <w:p w:rsidR="000215C5" w:rsidRDefault="00703023">
            <w:pPr>
              <w:spacing w:after="0"/>
              <w:jc w:val="both"/>
              <w:rPr>
                <w:sz w:val="18"/>
                <w:szCs w:val="18"/>
              </w:rPr>
            </w:pPr>
            <w:r>
              <w:rPr>
                <w:sz w:val="18"/>
              </w:rPr>
              <w:t>Karta/</w:t>
            </w:r>
            <w:r w:rsidR="00AC0A95">
              <w:rPr>
                <w:sz w:val="18"/>
              </w:rPr>
              <w:t xml:space="preserve"> </w:t>
            </w:r>
            <w:r>
              <w:rPr>
                <w:sz w:val="18"/>
              </w:rPr>
              <w:t>diagram</w:t>
            </w:r>
          </w:p>
        </w:tc>
        <w:tc>
          <w:tcPr>
            <w:tcW w:w="1260" w:type="dxa"/>
            <w:shd w:val="clear" w:color="auto" w:fill="auto"/>
          </w:tcPr>
          <w:p w:rsidR="000215C5" w:rsidRDefault="00703023">
            <w:pPr>
              <w:spacing w:after="0"/>
              <w:jc w:val="both"/>
              <w:rPr>
                <w:sz w:val="18"/>
                <w:szCs w:val="18"/>
              </w:rPr>
            </w:pPr>
            <w:r>
              <w:rPr>
                <w:sz w:val="18"/>
              </w:rPr>
              <w:t>MS/ RBD/SU</w:t>
            </w:r>
          </w:p>
        </w:tc>
        <w:tc>
          <w:tcPr>
            <w:tcW w:w="1922" w:type="dxa"/>
            <w:shd w:val="clear" w:color="auto" w:fill="auto"/>
          </w:tcPr>
          <w:p w:rsidR="000215C5" w:rsidRDefault="00703023">
            <w:pPr>
              <w:spacing w:after="0"/>
              <w:jc w:val="both"/>
              <w:rPr>
                <w:sz w:val="18"/>
                <w:szCs w:val="18"/>
              </w:rPr>
            </w:pPr>
            <w:r>
              <w:rPr>
                <w:sz w:val="18"/>
              </w:rPr>
              <w:t xml:space="preserve">Procentandel vattenförekomster med förbättrad status sedan den första förvaltningsplanen. </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Ej relevant för rapporteringen 2010.</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9</w:t>
            </w:r>
          </w:p>
        </w:tc>
        <w:tc>
          <w:tcPr>
            <w:tcW w:w="1732" w:type="dxa"/>
            <w:shd w:val="clear" w:color="auto" w:fill="auto"/>
          </w:tcPr>
          <w:p w:rsidR="000215C5" w:rsidRDefault="00703023">
            <w:pPr>
              <w:spacing w:after="0"/>
              <w:jc w:val="both"/>
              <w:rPr>
                <w:b/>
                <w:sz w:val="18"/>
                <w:szCs w:val="18"/>
              </w:rPr>
            </w:pPr>
            <w:r>
              <w:rPr>
                <w:b/>
                <w:sz w:val="18"/>
              </w:rPr>
              <w:t>Orsaker till undantagen enligt artikel 4.4</w:t>
            </w:r>
          </w:p>
        </w:tc>
        <w:tc>
          <w:tcPr>
            <w:tcW w:w="1071" w:type="dxa"/>
            <w:shd w:val="clear" w:color="auto" w:fill="auto"/>
          </w:tcPr>
          <w:p w:rsidR="000215C5" w:rsidRDefault="00AC0A95">
            <w:pPr>
              <w:spacing w:after="0"/>
              <w:jc w:val="both"/>
              <w:rPr>
                <w:sz w:val="18"/>
                <w:szCs w:val="18"/>
              </w:rPr>
            </w:pPr>
            <w:r>
              <w:rPr>
                <w:sz w:val="18"/>
              </w:rPr>
              <w:t>D</w:t>
            </w:r>
            <w:r w:rsidR="00703023">
              <w:rPr>
                <w:sz w:val="18"/>
              </w:rPr>
              <w:t>iagram</w:t>
            </w:r>
          </w:p>
        </w:tc>
        <w:tc>
          <w:tcPr>
            <w:tcW w:w="1260" w:type="dxa"/>
            <w:shd w:val="clear" w:color="auto" w:fill="auto"/>
          </w:tcPr>
          <w:p w:rsidR="000215C5" w:rsidRDefault="00703023">
            <w:pPr>
              <w:spacing w:after="0"/>
              <w:jc w:val="both"/>
              <w:rPr>
                <w:sz w:val="18"/>
                <w:szCs w:val="18"/>
              </w:rPr>
            </w:pPr>
            <w:r>
              <w:rPr>
                <w:sz w:val="18"/>
              </w:rPr>
              <w:t>MS</w:t>
            </w:r>
          </w:p>
        </w:tc>
        <w:tc>
          <w:tcPr>
            <w:tcW w:w="1922" w:type="dxa"/>
            <w:shd w:val="clear" w:color="auto" w:fill="auto"/>
          </w:tcPr>
          <w:p w:rsidR="000215C5" w:rsidRDefault="00703023">
            <w:pPr>
              <w:spacing w:after="0"/>
              <w:jc w:val="both"/>
              <w:rPr>
                <w:sz w:val="18"/>
                <w:szCs w:val="18"/>
              </w:rPr>
            </w:pPr>
            <w:r>
              <w:rPr>
                <w:sz w:val="18"/>
              </w:rPr>
              <w:t>Undantag som rapporterats av medlemsstaterna för att förlänga tidsfristen för uppnående av god status efter 2015 samt angivna orsaker (naturliga förhållanden, teknisk genomförbarhet, oproportionerliga kostnader eller en kombination av dessa orsaker).</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Nej</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10</w:t>
            </w:r>
          </w:p>
        </w:tc>
        <w:tc>
          <w:tcPr>
            <w:tcW w:w="1732" w:type="dxa"/>
            <w:shd w:val="clear" w:color="auto" w:fill="auto"/>
          </w:tcPr>
          <w:p w:rsidR="000215C5" w:rsidRDefault="00703023">
            <w:pPr>
              <w:spacing w:after="0"/>
              <w:jc w:val="both"/>
              <w:rPr>
                <w:b/>
                <w:sz w:val="18"/>
                <w:szCs w:val="18"/>
              </w:rPr>
            </w:pPr>
            <w:r>
              <w:rPr>
                <w:b/>
                <w:sz w:val="18"/>
              </w:rPr>
              <w:t>Fall där artikel 4.2 c i grundvatten</w:t>
            </w:r>
            <w:r w:rsidR="002539F8">
              <w:rPr>
                <w:b/>
                <w:sz w:val="18"/>
              </w:rPr>
              <w:t>-</w:t>
            </w:r>
            <w:r>
              <w:rPr>
                <w:b/>
                <w:sz w:val="18"/>
              </w:rPr>
              <w:t>direktivet har tillämpats</w:t>
            </w:r>
          </w:p>
        </w:tc>
        <w:tc>
          <w:tcPr>
            <w:tcW w:w="1071"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 RBD/SU</w:t>
            </w:r>
          </w:p>
        </w:tc>
        <w:tc>
          <w:tcPr>
            <w:tcW w:w="1922" w:type="dxa"/>
            <w:shd w:val="clear" w:color="auto" w:fill="auto"/>
          </w:tcPr>
          <w:p w:rsidR="000215C5" w:rsidRDefault="00703023">
            <w:pPr>
              <w:spacing w:after="0"/>
              <w:jc w:val="both"/>
              <w:rPr>
                <w:sz w:val="18"/>
                <w:szCs w:val="18"/>
              </w:rPr>
            </w:pPr>
            <w:r>
              <w:rPr>
                <w:sz w:val="18"/>
              </w:rPr>
              <w:t>Antal grundvattenföre</w:t>
            </w:r>
            <w:r w:rsidR="00625613">
              <w:rPr>
                <w:sz w:val="18"/>
              </w:rPr>
              <w:t>-</w:t>
            </w:r>
            <w:r>
              <w:rPr>
                <w:sz w:val="18"/>
              </w:rPr>
              <w:t>komster där överskridanden av kvalitetsnormerna och/eller gränsvärdena inte leder till att god kemisk status inte uppnås.</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Nej</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11</w:t>
            </w:r>
          </w:p>
        </w:tc>
        <w:tc>
          <w:tcPr>
            <w:tcW w:w="1732" w:type="dxa"/>
            <w:shd w:val="clear" w:color="auto" w:fill="auto"/>
          </w:tcPr>
          <w:p w:rsidR="000215C5" w:rsidRDefault="00703023">
            <w:pPr>
              <w:spacing w:after="0"/>
              <w:jc w:val="both"/>
              <w:rPr>
                <w:b/>
                <w:sz w:val="18"/>
                <w:szCs w:val="18"/>
              </w:rPr>
            </w:pPr>
            <w:r>
              <w:rPr>
                <w:b/>
                <w:sz w:val="18"/>
              </w:rPr>
              <w:t>Procentandel grundvattenföre</w:t>
            </w:r>
            <w:r w:rsidR="002539F8">
              <w:rPr>
                <w:b/>
                <w:sz w:val="18"/>
              </w:rPr>
              <w:t>-</w:t>
            </w:r>
            <w:r>
              <w:rPr>
                <w:b/>
                <w:sz w:val="18"/>
              </w:rPr>
              <w:t>komster som förväntas ha god kemisk status 2015</w:t>
            </w:r>
          </w:p>
        </w:tc>
        <w:tc>
          <w:tcPr>
            <w:tcW w:w="1071" w:type="dxa"/>
            <w:shd w:val="clear" w:color="auto" w:fill="auto"/>
          </w:tcPr>
          <w:p w:rsidR="000215C5" w:rsidRDefault="00703023">
            <w:pPr>
              <w:spacing w:after="0"/>
              <w:jc w:val="both"/>
              <w:rPr>
                <w:sz w:val="18"/>
                <w:szCs w:val="18"/>
              </w:rPr>
            </w:pPr>
            <w:r>
              <w:rPr>
                <w:sz w:val="18"/>
              </w:rPr>
              <w:t>Karta/</w:t>
            </w:r>
            <w:r w:rsidR="00AC0A95">
              <w:rPr>
                <w:sz w:val="18"/>
              </w:rPr>
              <w:t xml:space="preserve"> </w:t>
            </w:r>
            <w:r>
              <w:rPr>
                <w:sz w:val="18"/>
              </w:rPr>
              <w:t>diagram/</w:t>
            </w:r>
            <w:r w:rsidR="00AC0A95">
              <w:rPr>
                <w:sz w:val="18"/>
              </w:rPr>
              <w:t xml:space="preserve"> </w:t>
            </w:r>
            <w:r>
              <w:rPr>
                <w:sz w:val="18"/>
              </w:rPr>
              <w:t>tabell</w:t>
            </w:r>
          </w:p>
        </w:tc>
        <w:tc>
          <w:tcPr>
            <w:tcW w:w="1260" w:type="dxa"/>
            <w:shd w:val="clear" w:color="auto" w:fill="auto"/>
          </w:tcPr>
          <w:p w:rsidR="000215C5" w:rsidRDefault="00703023">
            <w:pPr>
              <w:spacing w:after="0"/>
              <w:jc w:val="both"/>
              <w:rPr>
                <w:sz w:val="18"/>
                <w:szCs w:val="18"/>
              </w:rPr>
            </w:pPr>
            <w:r>
              <w:rPr>
                <w:sz w:val="18"/>
              </w:rPr>
              <w:t>EU/MS/RBD/</w:t>
            </w:r>
          </w:p>
          <w:p w:rsidR="000215C5" w:rsidRDefault="00703023">
            <w:pPr>
              <w:spacing w:after="0"/>
              <w:jc w:val="both"/>
              <w:rPr>
                <w:sz w:val="18"/>
                <w:szCs w:val="18"/>
              </w:rPr>
            </w:pPr>
            <w:r>
              <w:rPr>
                <w:sz w:val="18"/>
              </w:rPr>
              <w:t>SU</w:t>
            </w:r>
          </w:p>
        </w:tc>
        <w:tc>
          <w:tcPr>
            <w:tcW w:w="1922" w:type="dxa"/>
            <w:shd w:val="clear" w:color="auto" w:fill="auto"/>
          </w:tcPr>
          <w:p w:rsidR="000215C5" w:rsidRDefault="00703023">
            <w:pPr>
              <w:spacing w:after="0"/>
              <w:jc w:val="both"/>
              <w:rPr>
                <w:sz w:val="18"/>
                <w:szCs w:val="18"/>
              </w:rPr>
            </w:pPr>
            <w:r>
              <w:rPr>
                <w:sz w:val="18"/>
              </w:rPr>
              <w:t>Antal, yta och procentandel grundvattenföre</w:t>
            </w:r>
            <w:r w:rsidR="00625613">
              <w:rPr>
                <w:sz w:val="18"/>
              </w:rPr>
              <w:t>-</w:t>
            </w:r>
            <w:r>
              <w:rPr>
                <w:sz w:val="18"/>
              </w:rPr>
              <w:t>komster som förväntas ha god kemisk status 2015.</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Nej</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12</w:t>
            </w:r>
          </w:p>
        </w:tc>
        <w:tc>
          <w:tcPr>
            <w:tcW w:w="1732" w:type="dxa"/>
            <w:shd w:val="clear" w:color="auto" w:fill="auto"/>
          </w:tcPr>
          <w:p w:rsidR="000215C5" w:rsidRDefault="00703023">
            <w:pPr>
              <w:spacing w:after="0"/>
              <w:jc w:val="both"/>
              <w:rPr>
                <w:b/>
                <w:sz w:val="18"/>
                <w:szCs w:val="18"/>
              </w:rPr>
            </w:pPr>
            <w:r>
              <w:rPr>
                <w:b/>
                <w:sz w:val="18"/>
              </w:rPr>
              <w:t>Procentandel grundvattenföre</w:t>
            </w:r>
            <w:r w:rsidR="002539F8">
              <w:rPr>
                <w:b/>
                <w:sz w:val="18"/>
              </w:rPr>
              <w:t>-</w:t>
            </w:r>
            <w:r>
              <w:rPr>
                <w:b/>
                <w:sz w:val="18"/>
              </w:rPr>
              <w:t>komster som är i riskzonen</w:t>
            </w:r>
          </w:p>
        </w:tc>
        <w:tc>
          <w:tcPr>
            <w:tcW w:w="1071" w:type="dxa"/>
            <w:shd w:val="clear" w:color="auto" w:fill="auto"/>
          </w:tcPr>
          <w:p w:rsidR="000215C5" w:rsidRDefault="00703023">
            <w:pPr>
              <w:spacing w:after="0"/>
              <w:jc w:val="both"/>
              <w:rPr>
                <w:sz w:val="18"/>
                <w:szCs w:val="18"/>
              </w:rPr>
            </w:pPr>
            <w:r>
              <w:rPr>
                <w:sz w:val="18"/>
              </w:rPr>
              <w:t>Karta/</w:t>
            </w:r>
            <w:r w:rsidR="00AC0A95">
              <w:rPr>
                <w:sz w:val="18"/>
              </w:rPr>
              <w:t xml:space="preserve"> </w:t>
            </w:r>
            <w:r>
              <w:rPr>
                <w:sz w:val="18"/>
              </w:rPr>
              <w:t>diagram/</w:t>
            </w:r>
            <w:r w:rsidR="00AC0A95">
              <w:rPr>
                <w:sz w:val="18"/>
              </w:rPr>
              <w:t xml:space="preserve"> </w:t>
            </w:r>
            <w:r>
              <w:rPr>
                <w:sz w:val="18"/>
              </w:rPr>
              <w:t>tabell</w:t>
            </w:r>
          </w:p>
        </w:tc>
        <w:tc>
          <w:tcPr>
            <w:tcW w:w="1260" w:type="dxa"/>
            <w:shd w:val="clear" w:color="auto" w:fill="auto"/>
          </w:tcPr>
          <w:p w:rsidR="000215C5" w:rsidRDefault="00703023">
            <w:pPr>
              <w:spacing w:after="0"/>
              <w:jc w:val="both"/>
              <w:rPr>
                <w:sz w:val="18"/>
                <w:szCs w:val="18"/>
              </w:rPr>
            </w:pPr>
            <w:r>
              <w:rPr>
                <w:sz w:val="18"/>
              </w:rPr>
              <w:t>EU/MS/RBD/ SU</w:t>
            </w:r>
          </w:p>
        </w:tc>
        <w:tc>
          <w:tcPr>
            <w:tcW w:w="1922" w:type="dxa"/>
            <w:shd w:val="clear" w:color="auto" w:fill="auto"/>
          </w:tcPr>
          <w:p w:rsidR="000215C5" w:rsidRDefault="00703023">
            <w:pPr>
              <w:spacing w:after="0"/>
              <w:jc w:val="both"/>
              <w:rPr>
                <w:sz w:val="18"/>
                <w:szCs w:val="18"/>
              </w:rPr>
            </w:pPr>
            <w:r>
              <w:rPr>
                <w:sz w:val="18"/>
              </w:rPr>
              <w:t>Procentandel grundvattenföre</w:t>
            </w:r>
            <w:r w:rsidR="00625613">
              <w:rPr>
                <w:sz w:val="18"/>
              </w:rPr>
              <w:t>-</w:t>
            </w:r>
            <w:r>
              <w:rPr>
                <w:sz w:val="18"/>
              </w:rPr>
              <w:t>komster som är i riskzonen.</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Nej</w:t>
            </w:r>
          </w:p>
        </w:tc>
      </w:tr>
      <w:tr w:rsidR="000215C5" w:rsidTr="00056EC0">
        <w:trPr>
          <w:cantSplit/>
        </w:trPr>
        <w:tc>
          <w:tcPr>
            <w:tcW w:w="455" w:type="dxa"/>
            <w:shd w:val="clear" w:color="auto" w:fill="auto"/>
          </w:tcPr>
          <w:p w:rsidR="000215C5" w:rsidRDefault="00703023">
            <w:pPr>
              <w:spacing w:after="0"/>
              <w:jc w:val="both"/>
              <w:rPr>
                <w:sz w:val="18"/>
                <w:szCs w:val="18"/>
              </w:rPr>
            </w:pPr>
            <w:r>
              <w:rPr>
                <w:sz w:val="18"/>
              </w:rPr>
              <w:t>13</w:t>
            </w:r>
          </w:p>
        </w:tc>
        <w:tc>
          <w:tcPr>
            <w:tcW w:w="1732" w:type="dxa"/>
            <w:shd w:val="clear" w:color="auto" w:fill="auto"/>
          </w:tcPr>
          <w:p w:rsidR="000215C5" w:rsidRDefault="00703023">
            <w:pPr>
              <w:spacing w:after="0"/>
              <w:jc w:val="both"/>
              <w:rPr>
                <w:b/>
                <w:sz w:val="18"/>
                <w:szCs w:val="18"/>
              </w:rPr>
            </w:pPr>
            <w:r>
              <w:rPr>
                <w:b/>
                <w:sz w:val="18"/>
              </w:rPr>
              <w:t>Procentandel grundvattenföre</w:t>
            </w:r>
            <w:r w:rsidR="002539F8">
              <w:rPr>
                <w:b/>
                <w:sz w:val="18"/>
              </w:rPr>
              <w:t>-</w:t>
            </w:r>
            <w:r>
              <w:rPr>
                <w:b/>
                <w:sz w:val="18"/>
              </w:rPr>
              <w:t>komster som omfattas av en miljömässigt betydande och ihållande uppåtgående trend till följd av mänsklig påverkan</w:t>
            </w:r>
          </w:p>
        </w:tc>
        <w:tc>
          <w:tcPr>
            <w:tcW w:w="1071" w:type="dxa"/>
            <w:shd w:val="clear" w:color="auto" w:fill="auto"/>
          </w:tcPr>
          <w:p w:rsidR="000215C5" w:rsidRDefault="00703023">
            <w:pPr>
              <w:spacing w:after="0"/>
              <w:jc w:val="both"/>
              <w:rPr>
                <w:sz w:val="18"/>
                <w:szCs w:val="18"/>
              </w:rPr>
            </w:pPr>
            <w:r>
              <w:rPr>
                <w:sz w:val="18"/>
              </w:rPr>
              <w:t>Karta/</w:t>
            </w:r>
            <w:r w:rsidR="00AC0A95">
              <w:rPr>
                <w:sz w:val="18"/>
              </w:rPr>
              <w:t xml:space="preserve"> </w:t>
            </w:r>
            <w:r>
              <w:rPr>
                <w:sz w:val="18"/>
              </w:rPr>
              <w:t>diagram/</w:t>
            </w:r>
            <w:r w:rsidR="00AC0A95">
              <w:rPr>
                <w:sz w:val="18"/>
              </w:rPr>
              <w:t xml:space="preserve"> </w:t>
            </w:r>
            <w:r>
              <w:rPr>
                <w:sz w:val="18"/>
              </w:rPr>
              <w:t>tabell</w:t>
            </w:r>
          </w:p>
        </w:tc>
        <w:tc>
          <w:tcPr>
            <w:tcW w:w="1260" w:type="dxa"/>
            <w:shd w:val="clear" w:color="auto" w:fill="auto"/>
          </w:tcPr>
          <w:p w:rsidR="000215C5" w:rsidRDefault="00703023">
            <w:pPr>
              <w:spacing w:after="0"/>
              <w:jc w:val="both"/>
              <w:rPr>
                <w:sz w:val="18"/>
                <w:szCs w:val="18"/>
              </w:rPr>
            </w:pPr>
            <w:r>
              <w:rPr>
                <w:sz w:val="18"/>
              </w:rPr>
              <w:t>EU/MS/RBD/ SU</w:t>
            </w:r>
          </w:p>
        </w:tc>
        <w:tc>
          <w:tcPr>
            <w:tcW w:w="1922" w:type="dxa"/>
            <w:shd w:val="clear" w:color="auto" w:fill="auto"/>
          </w:tcPr>
          <w:p w:rsidR="000215C5" w:rsidRDefault="00703023">
            <w:pPr>
              <w:spacing w:after="0"/>
              <w:jc w:val="both"/>
              <w:rPr>
                <w:sz w:val="18"/>
                <w:szCs w:val="18"/>
              </w:rPr>
            </w:pPr>
            <w:r>
              <w:rPr>
                <w:sz w:val="18"/>
              </w:rPr>
              <w:t>Procentandel grundvattenföre</w:t>
            </w:r>
            <w:r w:rsidR="00625613">
              <w:rPr>
                <w:sz w:val="18"/>
              </w:rPr>
              <w:t>-</w:t>
            </w:r>
            <w:r>
              <w:rPr>
                <w:sz w:val="18"/>
              </w:rPr>
              <w:t>komster som visar en betydande och ihållande uppåtgående trend till följd av mänsklig påverkan.</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vattenförekomstnivå.</w:t>
            </w:r>
          </w:p>
        </w:tc>
        <w:tc>
          <w:tcPr>
            <w:tcW w:w="1701" w:type="dxa"/>
            <w:shd w:val="clear" w:color="auto" w:fill="auto"/>
          </w:tcPr>
          <w:p w:rsidR="000215C5" w:rsidRDefault="00703023">
            <w:pPr>
              <w:spacing w:after="0"/>
              <w:jc w:val="both"/>
              <w:rPr>
                <w:sz w:val="18"/>
                <w:szCs w:val="18"/>
              </w:rPr>
            </w:pPr>
            <w:r>
              <w:rPr>
                <w:sz w:val="18"/>
              </w:rPr>
              <w:t>Nej</w:t>
            </w:r>
          </w:p>
        </w:tc>
      </w:tr>
    </w:tbl>
    <w:p w:rsidR="000215C5" w:rsidRDefault="00703023">
      <w:pPr>
        <w:jc w:val="both"/>
        <w:rPr>
          <w:sz w:val="20"/>
        </w:rPr>
      </w:pPr>
      <w:r>
        <w:rPr>
          <w:b/>
          <w:sz w:val="20"/>
        </w:rPr>
        <w:t>Anmärkningar:</w:t>
      </w:r>
      <w:r>
        <w:rPr>
          <w:sz w:val="20"/>
        </w:rPr>
        <w:t xml:space="preserve"> * Informationsnivå: EU = europeisk nivå, MS = nationell nivå, medlemsstatsnivå, RBD = avrinningsdistrikt, SU = delavrinningsdistrikt, WB = vattenförekomst, Site = övervakningsstation.</w:t>
      </w:r>
    </w:p>
    <w:p w:rsidR="000215C5" w:rsidRDefault="00703023">
      <w:pPr>
        <w:pStyle w:val="Rubrik3"/>
      </w:pPr>
      <w:bookmarkStart w:id="226" w:name="_Toc375220068"/>
      <w:r>
        <w:t>Föreslaget innehåll i rapporteringen 2016</w:t>
      </w:r>
      <w:bookmarkEnd w:id="226"/>
    </w:p>
    <w:p w:rsidR="000215C5" w:rsidRDefault="00703023">
      <w:pPr>
        <w:pStyle w:val="Rubrik4"/>
      </w:pPr>
      <w:bookmarkStart w:id="227" w:name="_Ref375222490"/>
      <w:r>
        <w:t>Skiss över mallarna</w:t>
      </w:r>
    </w:p>
    <w:p w:rsidR="000215C5" w:rsidRDefault="00703023">
      <w:pPr>
        <w:jc w:val="both"/>
      </w:pPr>
      <w:r>
        <w:t>Se bilaga 10.3.</w:t>
      </w:r>
    </w:p>
    <w:p w:rsidR="000215C5" w:rsidRDefault="00703023">
      <w:pPr>
        <w:pStyle w:val="Rubrik4"/>
      </w:pPr>
      <w:bookmarkStart w:id="228" w:name="_Ref382298477"/>
      <w:bookmarkEnd w:id="227"/>
      <w:r>
        <w:t>Information och uppgifter som ska rapporteras med hjälp av mallarna</w:t>
      </w:r>
      <w:bookmarkEnd w:id="228"/>
    </w:p>
    <w:p w:rsidR="000215C5" w:rsidRDefault="00703023">
      <w:pPr>
        <w:jc w:val="both"/>
      </w:pPr>
      <w:r>
        <w:t>Information om kemisk status hos grundvattenförekomster ska rapporteras på grundvattenförekomstnivå enligt mallen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GWB (fortsättning)</w:t>
            </w:r>
          </w:p>
        </w:tc>
      </w:tr>
      <w:tr w:rsidR="000215C5">
        <w:tc>
          <w:tcPr>
            <w:tcW w:w="9889" w:type="dxa"/>
            <w:shd w:val="clear" w:color="auto" w:fill="auto"/>
          </w:tcPr>
          <w:p w:rsidR="000215C5" w:rsidRDefault="00703023">
            <w:pPr>
              <w:spacing w:after="120"/>
              <w:jc w:val="both"/>
              <w:rPr>
                <w:b/>
                <w:i/>
                <w:szCs w:val="24"/>
              </w:rPr>
            </w:pPr>
            <w:r>
              <w:rPr>
                <w:b/>
                <w:i/>
              </w:rPr>
              <w:t>Klass: GroundWaterBody (fortsättning)</w:t>
            </w:r>
          </w:p>
          <w:p w:rsidR="000215C5" w:rsidRDefault="00703023">
            <w:pPr>
              <w:spacing w:after="120"/>
              <w:jc w:val="both"/>
              <w:rPr>
                <w:i/>
                <w:szCs w:val="24"/>
              </w:rPr>
            </w:pPr>
            <w:r>
              <w:rPr>
                <w:b/>
                <w:i/>
              </w:rPr>
              <w:t>Egenskaper</w:t>
            </w:r>
            <w:r>
              <w:rPr>
                <w:i/>
              </w:rPr>
              <w:t>: maxOccurs = unbounded minOccurs = 1</w:t>
            </w:r>
          </w:p>
        </w:tc>
      </w:tr>
      <w:tr w:rsidR="000215C5">
        <w:tc>
          <w:tcPr>
            <w:tcW w:w="9889" w:type="dxa"/>
            <w:shd w:val="clear" w:color="auto" w:fill="auto"/>
          </w:tcPr>
          <w:p w:rsidR="000215C5" w:rsidRDefault="00703023">
            <w:pPr>
              <w:spacing w:after="120"/>
              <w:jc w:val="both"/>
              <w:rPr>
                <w:szCs w:val="24"/>
              </w:rPr>
            </w:pPr>
            <w:r>
              <w:rPr>
                <w:b/>
              </w:rPr>
              <w:t>Mallpost</w:t>
            </w:r>
            <w:r>
              <w:t>: gwAtRiskChemical</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tabs>
                <w:tab w:val="center" w:pos="4153"/>
              </w:tabs>
              <w:spacing w:after="120"/>
              <w:jc w:val="both"/>
              <w:rPr>
                <w:szCs w:val="24"/>
              </w:rPr>
            </w:pPr>
            <w:r>
              <w:rPr>
                <w:b/>
              </w:rPr>
              <w:t>Vägledning om hur man fyller i mallposten</w:t>
            </w:r>
            <w:r>
              <w:t>: Krävs. Rapportera om grundvattenförekomsten riskerar att inte uppnå god kemisk status.</w:t>
            </w:r>
          </w:p>
          <w:p w:rsidR="000215C5" w:rsidRDefault="00703023">
            <w:pPr>
              <w:tabs>
                <w:tab w:val="center" w:pos="4153"/>
              </w:tabs>
              <w:spacing w:after="120"/>
              <w:jc w:val="both"/>
              <w:rPr>
                <w:szCs w:val="24"/>
              </w:rPr>
            </w:pPr>
            <w:r>
              <w:t xml:space="preserve">Följ den metod som anges i CIS-vägledningsdokument nr 26: </w:t>
            </w:r>
            <w:r>
              <w:rPr>
                <w:i/>
              </w:rPr>
              <w:t>Risk assessment and the use of conceptual models</w:t>
            </w:r>
            <w:r>
              <w:rPr>
                <w:rStyle w:val="Fotnotsreferens"/>
              </w:rPr>
              <w:footnoteReference w:id="46"/>
            </w:r>
            <w:r>
              <w:t>.</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gwEORiskChemical</w:t>
            </w:r>
          </w:p>
          <w:p w:rsidR="000215C5" w:rsidRDefault="00703023">
            <w:pPr>
              <w:spacing w:after="120"/>
              <w:jc w:val="both"/>
              <w:rPr>
                <w:szCs w:val="24"/>
              </w:rPr>
            </w:pPr>
            <w:r>
              <w:rPr>
                <w:b/>
              </w:rPr>
              <w:t xml:space="preserve">Fälttyp/alternativ: </w:t>
            </w:r>
            <w:r>
              <w:t xml:space="preserve">EQORiskChemical_Enum: </w:t>
            </w:r>
          </w:p>
          <w:p w:rsidR="000215C5" w:rsidRPr="006E59C8" w:rsidRDefault="00703023">
            <w:pPr>
              <w:spacing w:after="120"/>
              <w:jc w:val="both"/>
              <w:rPr>
                <w:szCs w:val="24"/>
                <w:lang w:val="en-GB"/>
              </w:rPr>
            </w:pPr>
            <w:r w:rsidRPr="006E59C8">
              <w:rPr>
                <w:lang w:val="en-GB"/>
              </w:rPr>
              <w:t>Uses or functions</w:t>
            </w:r>
          </w:p>
          <w:p w:rsidR="000215C5" w:rsidRPr="006E59C8" w:rsidRDefault="00703023">
            <w:pPr>
              <w:spacing w:after="120"/>
              <w:jc w:val="both"/>
              <w:rPr>
                <w:szCs w:val="24"/>
                <w:lang w:val="en-GB"/>
              </w:rPr>
            </w:pPr>
            <w:r w:rsidRPr="006E59C8">
              <w:rPr>
                <w:lang w:val="en-GB"/>
              </w:rPr>
              <w:t>Surface waters / terrestrial ecosystems</w:t>
            </w:r>
          </w:p>
          <w:p w:rsidR="000215C5" w:rsidRDefault="00703023">
            <w:pPr>
              <w:spacing w:after="120"/>
              <w:jc w:val="both"/>
              <w:rPr>
                <w:szCs w:val="24"/>
              </w:rPr>
            </w:pPr>
            <w:r>
              <w:t>Both</w:t>
            </w:r>
          </w:p>
          <w:p w:rsidR="000215C5" w:rsidRDefault="00703023">
            <w:pPr>
              <w:tabs>
                <w:tab w:val="center" w:pos="4153"/>
              </w:tabs>
              <w:spacing w:after="120"/>
              <w:jc w:val="both"/>
              <w:rPr>
                <w:szCs w:val="24"/>
              </w:rPr>
            </w:pPr>
            <w:r>
              <w:rPr>
                <w:b/>
              </w:rPr>
              <w:t>Egenskaper</w:t>
            </w:r>
            <w:r>
              <w:t xml:space="preserve">: maxOccurs = 1 minOccurs = 0 </w:t>
            </w:r>
          </w:p>
          <w:p w:rsidR="000215C5" w:rsidRDefault="00703023">
            <w:pPr>
              <w:tabs>
                <w:tab w:val="center" w:pos="4153"/>
              </w:tabs>
              <w:spacing w:after="120"/>
              <w:jc w:val="both"/>
              <w:rPr>
                <w:szCs w:val="24"/>
              </w:rPr>
            </w:pPr>
            <w:r>
              <w:rPr>
                <w:b/>
              </w:rPr>
              <w:t>Vägledning om hur man fyller i mallposten</w:t>
            </w:r>
            <w:r>
              <w:t>: Villkorlig. Om grundvattenförekomsten riskerar att inte uppnå god kemisk status välj det miljömål som risken är relaterad till från uppräkningslistan.</w:t>
            </w:r>
          </w:p>
          <w:p w:rsidR="000215C5" w:rsidRDefault="00703023">
            <w:pPr>
              <w:spacing w:after="120"/>
              <w:jc w:val="both"/>
              <w:rPr>
                <w:szCs w:val="24"/>
              </w:rPr>
            </w:pPr>
            <w:r>
              <w:t>”Uses or functions” = Faktiska eller potentiella användningsområden eller funktioner för grundvattenförekomsten.</w:t>
            </w:r>
          </w:p>
          <w:p w:rsidR="000215C5" w:rsidRDefault="00703023">
            <w:pPr>
              <w:spacing w:after="120"/>
              <w:jc w:val="both"/>
              <w:rPr>
                <w:szCs w:val="24"/>
              </w:rPr>
            </w:pPr>
            <w:r>
              <w:t>”Surface waters / terrestrial ecosystems” = Förhållandet mellan grundvattenförekomster och förbundna ytvattenförekomster och direkt beroende terrestra ekosystem.</w:t>
            </w:r>
          </w:p>
          <w:p w:rsidR="000215C5" w:rsidRDefault="00703023">
            <w:pPr>
              <w:spacing w:after="120"/>
              <w:jc w:val="both"/>
              <w:rPr>
                <w:szCs w:val="24"/>
              </w:rPr>
            </w:pPr>
            <w:r>
              <w:t>Both = Båda.</w:t>
            </w:r>
          </w:p>
          <w:p w:rsidR="000215C5" w:rsidRDefault="00703023">
            <w:pPr>
              <w:spacing w:after="120"/>
              <w:jc w:val="both"/>
              <w:rPr>
                <w:szCs w:val="24"/>
              </w:rPr>
            </w:pPr>
            <w:r>
              <w:t xml:space="preserve">Mer vägledning finns i CIS-vägledningsdokument nr 18: </w:t>
            </w:r>
            <w:r>
              <w:rPr>
                <w:i/>
              </w:rPr>
              <w:t>Groundwater Status and Trends Assessment</w:t>
            </w:r>
            <w:r>
              <w:rPr>
                <w:rStyle w:val="Fotnotsreferens"/>
                <w:noProof/>
              </w:rPr>
              <w:footnoteReference w:id="47"/>
            </w:r>
            <w:r>
              <w:t>.</w:t>
            </w:r>
          </w:p>
          <w:p w:rsidR="000215C5" w:rsidRDefault="00703023">
            <w:pPr>
              <w:spacing w:after="120"/>
              <w:jc w:val="both"/>
              <w:rPr>
                <w:b/>
                <w:szCs w:val="24"/>
              </w:rPr>
            </w:pPr>
            <w:r>
              <w:rPr>
                <w:b/>
              </w:rPr>
              <w:t xml:space="preserve">Kvalitetskontroller: </w:t>
            </w:r>
            <w:r>
              <w:t>Villkorlig kontroll: Rapportera om gwAtRiskChemical är ”Yes”.</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gwChemicalStatusValue</w:t>
            </w:r>
          </w:p>
          <w:p w:rsidR="000215C5" w:rsidRDefault="00703023">
            <w:pPr>
              <w:spacing w:after="120"/>
              <w:jc w:val="both"/>
              <w:rPr>
                <w:szCs w:val="24"/>
              </w:rPr>
            </w:pPr>
            <w:r>
              <w:rPr>
                <w:b/>
              </w:rPr>
              <w:t xml:space="preserve">Fälttyp/alternativ: </w:t>
            </w:r>
            <w:r>
              <w:t>StatusCode_Enum: 2, 3, U</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grundvattenförekomstens kemiska status baserat på den status grundvattenförekomsten fått i den senaste bedömningen.</w:t>
            </w:r>
          </w:p>
          <w:p w:rsidR="000215C5" w:rsidRDefault="00703023">
            <w:pPr>
              <w:spacing w:after="120"/>
              <w:jc w:val="both"/>
              <w:rPr>
                <w:szCs w:val="24"/>
              </w:rPr>
            </w:pPr>
            <w:r>
              <w:t>2 = God status.</w:t>
            </w:r>
          </w:p>
          <w:p w:rsidR="000215C5" w:rsidRDefault="00703023">
            <w:pPr>
              <w:spacing w:after="120"/>
              <w:jc w:val="both"/>
              <w:rPr>
                <w:szCs w:val="24"/>
              </w:rPr>
            </w:pPr>
            <w:r>
              <w:t>3 = Otillfredsställande status.</w:t>
            </w:r>
          </w:p>
          <w:p w:rsidR="000215C5" w:rsidRDefault="00703023">
            <w:pPr>
              <w:spacing w:after="120"/>
              <w:jc w:val="both"/>
              <w:rPr>
                <w:szCs w:val="24"/>
              </w:rPr>
            </w:pPr>
            <w:r>
              <w:t xml:space="preserve">Unknown = Okänd status eller potential.  </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gwChemicalReasonsForFailure</w:t>
            </w:r>
          </w:p>
          <w:p w:rsidR="000215C5" w:rsidRDefault="00703023">
            <w:pPr>
              <w:spacing w:after="120"/>
              <w:jc w:val="both"/>
              <w:rPr>
                <w:szCs w:val="24"/>
              </w:rPr>
            </w:pPr>
            <w:r>
              <w:rPr>
                <w:b/>
              </w:rPr>
              <w:t xml:space="preserve">Fälttyp/alternativ: </w:t>
            </w:r>
            <w:r>
              <w:t>ReasonsForFailure_Enum:</w:t>
            </w:r>
          </w:p>
          <w:p w:rsidR="000215C5" w:rsidRPr="006E59C8" w:rsidRDefault="00703023">
            <w:pPr>
              <w:spacing w:after="120"/>
              <w:jc w:val="both"/>
              <w:rPr>
                <w:szCs w:val="24"/>
                <w:lang w:val="en-GB"/>
              </w:rPr>
            </w:pPr>
            <w:r w:rsidRPr="006E59C8">
              <w:rPr>
                <w:lang w:val="en-GB"/>
              </w:rPr>
              <w:t>Surface water</w:t>
            </w:r>
          </w:p>
          <w:p w:rsidR="000215C5" w:rsidRPr="006E59C8" w:rsidRDefault="00703023">
            <w:pPr>
              <w:spacing w:after="120"/>
              <w:jc w:val="both"/>
              <w:rPr>
                <w:szCs w:val="24"/>
                <w:lang w:val="en-GB"/>
              </w:rPr>
            </w:pPr>
            <w:r w:rsidRPr="006E59C8">
              <w:rPr>
                <w:lang w:val="en-GB"/>
              </w:rPr>
              <w:t>Groundwater dependent terrestrial ecosystems</w:t>
            </w:r>
          </w:p>
          <w:p w:rsidR="000215C5" w:rsidRPr="006E59C8" w:rsidRDefault="00703023">
            <w:pPr>
              <w:spacing w:after="120"/>
              <w:jc w:val="both"/>
              <w:rPr>
                <w:szCs w:val="24"/>
                <w:lang w:val="en-GB"/>
              </w:rPr>
            </w:pPr>
            <w:r w:rsidRPr="006E59C8">
              <w:rPr>
                <w:lang w:val="en-GB"/>
              </w:rPr>
              <w:t>Saline or other intrusion</w:t>
            </w:r>
          </w:p>
          <w:p w:rsidR="000215C5" w:rsidRPr="006E59C8" w:rsidRDefault="00703023">
            <w:pPr>
              <w:spacing w:after="120"/>
              <w:jc w:val="both"/>
              <w:rPr>
                <w:szCs w:val="24"/>
                <w:lang w:val="en-GB"/>
              </w:rPr>
            </w:pPr>
            <w:r w:rsidRPr="006E59C8">
              <w:rPr>
                <w:lang w:val="en-GB"/>
              </w:rPr>
              <w:t>Drinking Water Protected Area</w:t>
            </w:r>
          </w:p>
          <w:p w:rsidR="000215C5" w:rsidRPr="006E59C8" w:rsidRDefault="00703023">
            <w:pPr>
              <w:spacing w:after="120"/>
              <w:jc w:val="both"/>
              <w:rPr>
                <w:szCs w:val="24"/>
                <w:lang w:val="en-GB"/>
              </w:rPr>
            </w:pPr>
            <w:r w:rsidRPr="006E59C8">
              <w:rPr>
                <w:lang w:val="en-GB"/>
              </w:rPr>
              <w:t>General water quality assessment</w:t>
            </w:r>
          </w:p>
          <w:p w:rsidR="000215C5" w:rsidRPr="006E59C8" w:rsidRDefault="00703023">
            <w:pPr>
              <w:spacing w:after="120"/>
              <w:jc w:val="both"/>
              <w:rPr>
                <w:szCs w:val="24"/>
                <w:lang w:val="en-GB"/>
              </w:rPr>
            </w:pPr>
            <w:r w:rsidRPr="006E59C8">
              <w:rPr>
                <w:b/>
                <w:lang w:val="en-GB"/>
              </w:rPr>
              <w:t>Egenskaper</w:t>
            </w:r>
            <w:r w:rsidRPr="006E59C8">
              <w:rPr>
                <w:lang w:val="en-GB"/>
              </w:rPr>
              <w:t>: maxOccurs = unbounded minOccurs = 0</w:t>
            </w:r>
          </w:p>
          <w:p w:rsidR="000215C5" w:rsidRDefault="00703023">
            <w:pPr>
              <w:spacing w:after="120"/>
              <w:jc w:val="both"/>
              <w:rPr>
                <w:szCs w:val="24"/>
              </w:rPr>
            </w:pPr>
            <w:r>
              <w:rPr>
                <w:b/>
              </w:rPr>
              <w:t>Vägledning om hur man fyller i mallposten</w:t>
            </w:r>
            <w:r>
              <w:t>: Villkorlig. Om grundvattenförekomsten har otillfredsställande kemisk status, välj orsaker från uppräkningslistan.</w:t>
            </w:r>
          </w:p>
          <w:p w:rsidR="000215C5" w:rsidRDefault="00703023">
            <w:pPr>
              <w:spacing w:after="120"/>
              <w:jc w:val="both"/>
              <w:rPr>
                <w:szCs w:val="24"/>
              </w:rPr>
            </w:pPr>
            <w:r>
              <w:t>”Surface water” = Miljömålen uppnås inte (artikel 4 i vattendirektivet) i förbundna ytvattenförekomster eller betydande sänkning av den ekologiska eller kemiska statusen hos sådana ytvattenförekomster.</w:t>
            </w:r>
          </w:p>
          <w:p w:rsidR="000215C5" w:rsidRDefault="00703023">
            <w:pPr>
              <w:spacing w:after="120"/>
              <w:jc w:val="both"/>
              <w:rPr>
                <w:szCs w:val="24"/>
              </w:rPr>
            </w:pPr>
            <w:r>
              <w:t>”Groundwater dependent terrestrial ecosystems” = Betydande skada på terrestra ekosystem som är direkt beroende av grundvattenförekomsten.</w:t>
            </w:r>
          </w:p>
          <w:p w:rsidR="000215C5" w:rsidRDefault="00703023">
            <w:pPr>
              <w:spacing w:after="120"/>
              <w:jc w:val="both"/>
              <w:rPr>
                <w:szCs w:val="24"/>
              </w:rPr>
            </w:pPr>
            <w:r>
              <w:t>”Saline or other intrusion” = Regional saltinträngning eller annan inträngning till följd av långsiktiga ändringar i flödesriktningen till följd av mänsklig påverkan.</w:t>
            </w:r>
          </w:p>
          <w:p w:rsidR="000215C5" w:rsidRDefault="00703023">
            <w:pPr>
              <w:spacing w:after="120"/>
              <w:jc w:val="both"/>
              <w:rPr>
                <w:szCs w:val="24"/>
              </w:rPr>
            </w:pPr>
            <w:r>
              <w:t>”Drinking Water Protected Area” = Försämring av dricksvattenkvaliteten för människor.</w:t>
            </w:r>
          </w:p>
          <w:p w:rsidR="000215C5" w:rsidRDefault="00703023">
            <w:pPr>
              <w:spacing w:after="120"/>
              <w:jc w:val="both"/>
              <w:rPr>
                <w:szCs w:val="24"/>
              </w:rPr>
            </w:pPr>
            <w:r>
              <w:t>”General water quality assessment” = Betydande skada för människors konsumtion, betydande miljörisk från förorenande ämnen i grundvattenförekomsten.</w:t>
            </w:r>
          </w:p>
          <w:p w:rsidR="000215C5" w:rsidRDefault="00703023">
            <w:pPr>
              <w:spacing w:after="120"/>
              <w:jc w:val="both"/>
              <w:rPr>
                <w:szCs w:val="24"/>
              </w:rPr>
            </w:pPr>
            <w:r>
              <w:t xml:space="preserve">Närmare vägledning finns i CIS-vägledningsdokument nr18: </w:t>
            </w:r>
            <w:r>
              <w:rPr>
                <w:i/>
              </w:rPr>
              <w:t>Groundwater Status and Trends Assessment</w:t>
            </w:r>
            <w:r>
              <w:rPr>
                <w:rStyle w:val="Fotnotsreferens"/>
                <w:noProof/>
              </w:rPr>
              <w:footnoteReference w:id="48"/>
            </w:r>
            <w:r>
              <w:t>.</w:t>
            </w:r>
          </w:p>
          <w:p w:rsidR="000215C5" w:rsidRDefault="00703023">
            <w:pPr>
              <w:spacing w:after="120"/>
              <w:jc w:val="both"/>
              <w:rPr>
                <w:szCs w:val="24"/>
              </w:rPr>
            </w:pPr>
            <w:r>
              <w:rPr>
                <w:b/>
              </w:rPr>
              <w:t>Kvalitetskontroller</w:t>
            </w:r>
            <w:r>
              <w:t>: Villkorlig kontroll: Rapportera om gwChemicalStatusValue är 3.</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gwChemicalAssessmentYear</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xml:space="preserve">: Krävs. Ange det år som bedömningen av status baseras på. Det kan vara det år då grundvattenförekomsten övervakades. Vid gruppering kan det vara det år då övervakning genomfördes av ytvattenförekomster i en grupp som används för att extrapolera resultat till grundvattenförekomster inom samma grupp som inte övervakas. En period får anges (t.ex. 2011–2013). </w:t>
            </w:r>
          </w:p>
        </w:tc>
      </w:tr>
      <w:tr w:rsidR="000215C5">
        <w:tc>
          <w:tcPr>
            <w:tcW w:w="9889" w:type="dxa"/>
            <w:shd w:val="clear" w:color="auto" w:fill="auto"/>
          </w:tcPr>
          <w:p w:rsidR="000215C5" w:rsidRDefault="00703023">
            <w:pPr>
              <w:spacing w:after="120"/>
              <w:jc w:val="both"/>
              <w:rPr>
                <w:b/>
                <w:szCs w:val="24"/>
              </w:rPr>
            </w:pPr>
            <w:r>
              <w:rPr>
                <w:b/>
              </w:rPr>
              <w:t>Mallpost</w:t>
            </w:r>
            <w:r>
              <w:t>: gwChemicalAssessmentConfidence</w:t>
            </w:r>
          </w:p>
          <w:p w:rsidR="000215C5" w:rsidRDefault="00703023">
            <w:pPr>
              <w:spacing w:after="120"/>
              <w:jc w:val="both"/>
              <w:rPr>
                <w:szCs w:val="24"/>
              </w:rPr>
            </w:pPr>
            <w:r>
              <w:rPr>
                <w:b/>
              </w:rPr>
              <w:t xml:space="preserve">Fälttyp/alternativ: </w:t>
            </w:r>
            <w:r>
              <w:t>Confidence_Enum: 0, 1, 2, 3</w:t>
            </w:r>
          </w:p>
          <w:p w:rsidR="000215C5" w:rsidRDefault="00703023">
            <w:pPr>
              <w:spacing w:after="120"/>
              <w:jc w:val="both"/>
              <w:rPr>
                <w:szCs w:val="24"/>
              </w:rPr>
            </w:pPr>
            <w:r>
              <w:rPr>
                <w:b/>
              </w:rPr>
              <w:t>Egenskaper</w:t>
            </w:r>
            <w:r>
              <w:t>: maxOccurs = 1 minOccurs = 1</w:t>
            </w:r>
          </w:p>
          <w:p w:rsidR="000215C5" w:rsidRDefault="00703023">
            <w:pPr>
              <w:autoSpaceDE w:val="0"/>
              <w:autoSpaceDN w:val="0"/>
              <w:adjustRightInd w:val="0"/>
              <w:spacing w:after="120"/>
              <w:jc w:val="both"/>
              <w:rPr>
                <w:szCs w:val="24"/>
              </w:rPr>
            </w:pPr>
            <w:r>
              <w:rPr>
                <w:b/>
              </w:rPr>
              <w:t>Vägledning om hur man fyller i mallposten</w:t>
            </w:r>
            <w:r>
              <w:t>: Krävs. Ange förtroendet för tilldelad kemisk status.</w:t>
            </w:r>
          </w:p>
          <w:p w:rsidR="000215C5" w:rsidRDefault="00703023">
            <w:pPr>
              <w:autoSpaceDE w:val="0"/>
              <w:autoSpaceDN w:val="0"/>
              <w:adjustRightInd w:val="0"/>
              <w:spacing w:after="120"/>
              <w:jc w:val="both"/>
              <w:rPr>
                <w:szCs w:val="24"/>
              </w:rPr>
            </w:pPr>
            <w:r>
              <w:t>0 = Ingen uppgift.</w:t>
            </w:r>
          </w:p>
          <w:p w:rsidR="000215C5" w:rsidRDefault="00703023">
            <w:pPr>
              <w:autoSpaceDE w:val="0"/>
              <w:autoSpaceDN w:val="0"/>
              <w:adjustRightInd w:val="0"/>
              <w:spacing w:after="120"/>
              <w:jc w:val="both"/>
              <w:rPr>
                <w:szCs w:val="24"/>
              </w:rPr>
            </w:pPr>
            <w:r>
              <w:t>1 = Lågt förtroende (t.ex. inga övervakningsuppgifter, ingen begreppsmodell eller bristande förståelse för systemet).</w:t>
            </w:r>
          </w:p>
          <w:p w:rsidR="000215C5" w:rsidRDefault="00703023">
            <w:pPr>
              <w:autoSpaceDE w:val="0"/>
              <w:autoSpaceDN w:val="0"/>
              <w:adjustRightInd w:val="0"/>
              <w:spacing w:after="120"/>
              <w:jc w:val="both"/>
              <w:rPr>
                <w:szCs w:val="24"/>
              </w:rPr>
            </w:pPr>
            <w:r>
              <w:t>2 = Medelhögt förtroende (t.ex. begränsade eller inte tillräckligt hållfasta övervakningsuppgifter, expertutlåtanden spelar en viktig roll i statusbedömningen).</w:t>
            </w:r>
          </w:p>
          <w:p w:rsidR="000215C5" w:rsidRDefault="00703023">
            <w:pPr>
              <w:autoSpaceDE w:val="0"/>
              <w:autoSpaceDN w:val="0"/>
              <w:adjustRightInd w:val="0"/>
              <w:spacing w:after="120"/>
              <w:jc w:val="both"/>
              <w:rPr>
                <w:szCs w:val="24"/>
              </w:rPr>
            </w:pPr>
            <w:r>
              <w:t>3 = Högt förtroende (t.ex. bra övervakningsuppgifter och bra begreppsmodell eller förståelse för systemet baserat på information om vattenförekomstens naturliga egenskaper och påverkan).</w:t>
            </w:r>
          </w:p>
          <w:p w:rsidR="000215C5" w:rsidRDefault="00703023">
            <w:pPr>
              <w:autoSpaceDE w:val="0"/>
              <w:autoSpaceDN w:val="0"/>
              <w:adjustRightInd w:val="0"/>
              <w:spacing w:after="120"/>
              <w:jc w:val="both"/>
              <w:rPr>
                <w:szCs w:val="24"/>
              </w:rPr>
            </w:pPr>
            <w:r>
              <w:t>De kriterier som används av medlemsstaterna för att bedöma förtroende varierar betydligt, men ovanstående exempel kan tjäna som allmän vägledning.</w:t>
            </w:r>
          </w:p>
          <w:p w:rsidR="000215C5" w:rsidRDefault="00703023">
            <w:pPr>
              <w:autoSpaceDE w:val="0"/>
              <w:autoSpaceDN w:val="0"/>
              <w:adjustRightInd w:val="0"/>
              <w:spacing w:after="120"/>
              <w:jc w:val="both"/>
              <w:rPr>
                <w:szCs w:val="24"/>
              </w:rPr>
            </w:pPr>
            <w:r>
              <w:t xml:space="preserve">Närmare information finns i CIS-vägledningsdokument nr 7: </w:t>
            </w:r>
            <w:r>
              <w:rPr>
                <w:i/>
              </w:rPr>
              <w:t>Monitoring under the Water Framework Directive</w:t>
            </w:r>
            <w:r>
              <w:rPr>
                <w:rStyle w:val="Fotnotsreferens"/>
              </w:rPr>
              <w:footnoteReference w:id="49"/>
            </w:r>
            <w:r>
              <w:t xml:space="preserve"> och CIS-vägledningsdokument nr 15: </w:t>
            </w:r>
            <w:r>
              <w:rPr>
                <w:i/>
              </w:rPr>
              <w:t>Groundwater monitoring</w:t>
            </w:r>
            <w:r>
              <w:rPr>
                <w:rStyle w:val="Fotnotsreferens"/>
              </w:rPr>
              <w:footnoteReference w:id="50"/>
            </w:r>
            <w:r>
              <w:t xml:space="preserve">. </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gwChemicalStatusExpectedGoodIn2015</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om grundvattenförekomsten i fråga förväntas uppnå god kemisk status till årsslutet 2015.</w:t>
            </w:r>
          </w:p>
          <w:p w:rsidR="000215C5" w:rsidRDefault="00703023">
            <w:pPr>
              <w:spacing w:after="120"/>
              <w:jc w:val="both"/>
              <w:rPr>
                <w:szCs w:val="24"/>
              </w:rPr>
            </w:pPr>
            <w:r>
              <w:t>Dessa uppgifter kan skilja sig från de uppgifter som rapporteras under GWChemicalStatusValue, eftersom statusbedömningen i förvaltningsplanen sannolikt baseras på uppgifter från övervakningsperioden 2010–2014 med tanke på att förvaltningsplanen kommer att utarbetas under 2014 för offentligt samråd. Den status som anges i den andra versionen av förvaltningsplanerna återspeglar därför inte nödvändigtvis förväntad status 2015. En tydlig förklaring av bedömningsmetoden ska ges i förvaltningsplanen eller i bakgrundsdokumenten (hänvisning rapporteras under klassificeringsmetoder).</w:t>
            </w:r>
          </w:p>
          <w:p w:rsidR="000215C5" w:rsidRDefault="00703023">
            <w:pPr>
              <w:spacing w:after="120"/>
              <w:jc w:val="both"/>
              <w:rPr>
                <w:szCs w:val="24"/>
              </w:rPr>
            </w:pPr>
            <w:r>
              <w:t>Vid tillämpning av undantag för kemisk status enligt artikel 4.4 eller 4.5 ska alternativet ”No” väljas.</w:t>
            </w:r>
          </w:p>
          <w:p w:rsidR="000215C5" w:rsidRDefault="00703023">
            <w:pPr>
              <w:spacing w:after="120"/>
              <w:jc w:val="both"/>
              <w:rPr>
                <w:szCs w:val="24"/>
              </w:rPr>
            </w:pPr>
            <w:r>
              <w:rPr>
                <w:b/>
              </w:rPr>
              <w:t>Kvalitetskontroller</w:t>
            </w:r>
            <w:r>
              <w:t>: Intern kontroll: Om gwChemicalExemptionType är ”Article 4(4)…” eller ”Article 4(5)…” måste alternativet ”No” väljas från uppräkningslistan.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gwChemicalStatusExpectedAchievementDate</w:t>
            </w:r>
          </w:p>
          <w:p w:rsidR="000215C5" w:rsidRDefault="00703023">
            <w:pPr>
              <w:spacing w:after="120"/>
              <w:jc w:val="both"/>
              <w:rPr>
                <w:szCs w:val="24"/>
              </w:rPr>
            </w:pPr>
            <w:r>
              <w:rPr>
                <w:b/>
              </w:rPr>
              <w:t xml:space="preserve">Fälttyp/alternativ: </w:t>
            </w:r>
            <w:r>
              <w:t>GoodStatus_Enum:</w:t>
            </w:r>
          </w:p>
          <w:p w:rsidR="000215C5" w:rsidRPr="006E59C8" w:rsidRDefault="00703023">
            <w:pPr>
              <w:spacing w:after="120"/>
              <w:jc w:val="both"/>
              <w:rPr>
                <w:szCs w:val="24"/>
                <w:lang w:val="en-GB"/>
              </w:rPr>
            </w:pPr>
            <w:r w:rsidRPr="006E59C8">
              <w:rPr>
                <w:lang w:val="en-GB"/>
              </w:rPr>
              <w:t>2016–2021</w:t>
            </w:r>
          </w:p>
          <w:p w:rsidR="000215C5" w:rsidRPr="006E59C8" w:rsidRDefault="00703023">
            <w:pPr>
              <w:spacing w:after="120"/>
              <w:jc w:val="both"/>
              <w:rPr>
                <w:szCs w:val="24"/>
                <w:lang w:val="en-GB"/>
              </w:rPr>
            </w:pPr>
            <w:r w:rsidRPr="006E59C8">
              <w:rPr>
                <w:lang w:val="en-GB"/>
              </w:rPr>
              <w:t>2022–2027</w:t>
            </w:r>
          </w:p>
          <w:p w:rsidR="000215C5" w:rsidRPr="006E59C8" w:rsidRDefault="00703023">
            <w:pPr>
              <w:spacing w:after="120"/>
              <w:jc w:val="both"/>
              <w:rPr>
                <w:szCs w:val="24"/>
                <w:lang w:val="en-GB"/>
              </w:rPr>
            </w:pPr>
            <w:r w:rsidRPr="006E59C8">
              <w:rPr>
                <w:lang w:val="en-GB"/>
              </w:rPr>
              <w:t>Beyond 2027</w:t>
            </w:r>
          </w:p>
          <w:p w:rsidR="000215C5" w:rsidRPr="006E59C8" w:rsidRDefault="00703023">
            <w:pPr>
              <w:spacing w:after="120"/>
              <w:jc w:val="both"/>
              <w:rPr>
                <w:szCs w:val="24"/>
                <w:lang w:val="en-GB"/>
              </w:rPr>
            </w:pPr>
            <w:r w:rsidRPr="006E59C8">
              <w:rPr>
                <w:lang w:val="en-GB"/>
              </w:rPr>
              <w:t>Unknown</w:t>
            </w:r>
          </w:p>
          <w:p w:rsidR="000215C5" w:rsidRPr="006E59C8" w:rsidRDefault="00703023">
            <w:pPr>
              <w:spacing w:after="120"/>
              <w:jc w:val="both"/>
              <w:rPr>
                <w:szCs w:val="24"/>
                <w:lang w:val="en-GB"/>
              </w:rPr>
            </w:pPr>
            <w:r w:rsidRPr="006E59C8">
              <w:rPr>
                <w:lang w:val="en-GB"/>
              </w:rPr>
              <w:t>Less stringent objectives already achieved</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Villkorlig. Om god kemisk status INTE kommer att uppnås till 2015 (gwChemicalStatusExpectedGoodIn2015 is No) ska det datum då god status förväntas uppnås fullständigt rapporteras. En tydlig förklaring av bedömningsmetoden ska ges i förvaltningsplanen eller i bakgrundsdokumenten (hänvisning rapporteras under klassificeringsmetoder). Om god kemisk status inte kommer att uppnås till 2015 bör undantag tillämpas. Rapportera det datum då god kemisk status förväntas uppnås fullständigt, inte datum för individuella undantag. Tänk dock på följande:</w:t>
            </w:r>
          </w:p>
          <w:p w:rsidR="000215C5" w:rsidRDefault="00703023">
            <w:pPr>
              <w:spacing w:after="120"/>
              <w:jc w:val="both"/>
              <w:rPr>
                <w:szCs w:val="24"/>
              </w:rPr>
            </w:pPr>
            <w:r>
              <w:t>Undantag enligt artikel 4.4 rör förlängning av tidsfrister. Enligt artikel 4.4 c i vattendirektivet är det endast möjligt att förlänga tidsfristen för uppnåendet av målen till efter 2027 på grund av naturliga förhållanden.</w:t>
            </w:r>
          </w:p>
          <w:p w:rsidR="000215C5" w:rsidRDefault="00703023">
            <w:pPr>
              <w:spacing w:after="120"/>
              <w:jc w:val="both"/>
              <w:rPr>
                <w:szCs w:val="24"/>
              </w:rPr>
            </w:pPr>
            <w:r>
              <w:t>Om undantagen enligt artikel 4.5 gäller ska det datum då det mindre stränga målet uppnås rapporteras. Om det mindre stränga målet redan har uppnåtts ska ”Less stringent objectives already achieved” väljas.</w:t>
            </w:r>
          </w:p>
          <w:p w:rsidR="000215C5" w:rsidRDefault="00703023">
            <w:pPr>
              <w:spacing w:after="120"/>
              <w:jc w:val="both"/>
              <w:rPr>
                <w:szCs w:val="24"/>
              </w:rPr>
            </w:pPr>
            <w:r>
              <w:rPr>
                <w:b/>
              </w:rPr>
              <w:t>Kvalitetskontroller</w:t>
            </w:r>
            <w:r>
              <w:t xml:space="preserve">: Villkorlig kontroll: rapportera om gwChemicalStatusExpectedGoodIn2015 är ”No”. </w:t>
            </w:r>
          </w:p>
          <w:p w:rsidR="000215C5" w:rsidRDefault="00703023">
            <w:pPr>
              <w:spacing w:after="120"/>
              <w:jc w:val="both"/>
              <w:rPr>
                <w:szCs w:val="24"/>
              </w:rPr>
            </w:pPr>
            <w:r>
              <w:t>Intern kontroll: ”Less stringent objectives already achieved” är endast en giltig post om ”Article 4(5)…” rapporteras under gwChemicalExemptionType.</w:t>
            </w:r>
          </w:p>
        </w:tc>
      </w:tr>
    </w:tbl>
    <w:p w:rsidR="000215C5" w:rsidRDefault="000215C5">
      <w:pPr>
        <w:jc w:val="both"/>
        <w:rPr>
          <w:b/>
        </w:rPr>
      </w:pPr>
    </w:p>
    <w:p w:rsidR="000215C5" w:rsidRDefault="00703023">
      <w:pPr>
        <w:spacing w:after="120"/>
        <w:jc w:val="both"/>
        <w:rPr>
          <w:szCs w:val="24"/>
        </w:rPr>
      </w:pPr>
      <w:r>
        <w:t xml:space="preserve">Följande klass (underkategori till GroundWaterBody) används för att rapportera information om relevanta förorenande ämnen på vattenförekomstnivå. Rapportera alla förorenande ämnen och indikatorer som stämmer in på </w:t>
      </w:r>
      <w:r>
        <w:rPr>
          <w:u w:val="single"/>
        </w:rPr>
        <w:t>en eller flera</w:t>
      </w:r>
      <w:r>
        <w:t xml:space="preserve"> av följande förhållanden i den berörda vattenförekomsten:</w:t>
      </w:r>
    </w:p>
    <w:p w:rsidR="000215C5" w:rsidRDefault="00703023">
      <w:pPr>
        <w:pStyle w:val="Liststycke"/>
        <w:numPr>
          <w:ilvl w:val="0"/>
          <w:numId w:val="82"/>
        </w:numPr>
        <w:spacing w:after="120"/>
        <w:jc w:val="both"/>
        <w:rPr>
          <w:szCs w:val="24"/>
        </w:rPr>
      </w:pPr>
      <w:r>
        <w:t>Det förorenande ämnet eller indikatorn leder till en risk för att kemisk status inte uppnås (posten gwPollutantCausingRisk).</w:t>
      </w:r>
    </w:p>
    <w:p w:rsidR="000215C5" w:rsidRDefault="00703023">
      <w:pPr>
        <w:pStyle w:val="Liststycke"/>
        <w:numPr>
          <w:ilvl w:val="0"/>
          <w:numId w:val="82"/>
        </w:numPr>
        <w:spacing w:after="120"/>
        <w:jc w:val="both"/>
        <w:rPr>
          <w:szCs w:val="24"/>
        </w:rPr>
      </w:pPr>
      <w:r>
        <w:t>Det förorenande ämnet eller indikatorn leder till att kemisk status inte uppnås eftersom det överskrider de relevanta miljökvalitetsnormerna eller gränsvärdet (posten gwPollutantCausingFailure).</w:t>
      </w:r>
    </w:p>
    <w:p w:rsidR="000215C5" w:rsidRDefault="00703023">
      <w:pPr>
        <w:pStyle w:val="Liststycke"/>
        <w:numPr>
          <w:ilvl w:val="0"/>
          <w:numId w:val="82"/>
        </w:numPr>
        <w:spacing w:after="120"/>
        <w:jc w:val="both"/>
        <w:rPr>
          <w:szCs w:val="24"/>
        </w:rPr>
      </w:pPr>
      <w:r>
        <w:t>Det förorenande ämnet eller indikatorn visar en uppåtgående trend (posten gwPollutantUpwardTrend).</w:t>
      </w:r>
    </w:p>
    <w:p w:rsidR="000215C5" w:rsidRDefault="00703023">
      <w:pPr>
        <w:pStyle w:val="Liststycke"/>
        <w:numPr>
          <w:ilvl w:val="0"/>
          <w:numId w:val="82"/>
        </w:numPr>
        <w:spacing w:after="120"/>
        <w:jc w:val="both"/>
        <w:rPr>
          <w:szCs w:val="24"/>
        </w:rPr>
      </w:pPr>
      <w:r>
        <w:t>Det förorenande ämnet eller indikatorn visar en omvänd trend (posten gwPollutantTrendReversal).</w:t>
      </w:r>
    </w:p>
    <w:p w:rsidR="000215C5" w:rsidRDefault="00703023">
      <w:pPr>
        <w:pStyle w:val="Liststycke"/>
        <w:numPr>
          <w:ilvl w:val="0"/>
          <w:numId w:val="82"/>
        </w:numPr>
        <w:spacing w:after="120"/>
        <w:jc w:val="both"/>
        <w:rPr>
          <w:szCs w:val="24"/>
        </w:rPr>
      </w:pPr>
      <w:r>
        <w:t>Det förorenande ämnet eller indikatorn visar överskridande(n) av miljökvalitetsnormen eller gränsvärdet, men efter en lämplig undersökning enligt artikel 4.2 c och bilaga III till grundvattendirektivet anser medlemsstaten att detta inte leder till att god kemisk status inte uppnås (posten gwPollutantExcedancesNotCounted).</w:t>
      </w:r>
    </w:p>
    <w:p w:rsidR="000215C5" w:rsidRDefault="00703023">
      <w:pPr>
        <w:pStyle w:val="Liststycke"/>
        <w:numPr>
          <w:ilvl w:val="0"/>
          <w:numId w:val="82"/>
        </w:numPr>
        <w:spacing w:after="120"/>
        <w:jc w:val="both"/>
        <w:rPr>
          <w:szCs w:val="24"/>
        </w:rPr>
      </w:pPr>
      <w:r>
        <w:t>Bakgrundsnivåer har fastställts för det förorenande ämnet eller indikatorn (posterna gwPollutantBackgroundLevelSet, gwPollutantBackgroundLevelValue och gwPollutantBackgroundLevelUnit).</w:t>
      </w:r>
    </w:p>
    <w:p w:rsidR="000215C5" w:rsidRDefault="000215C5">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tcPr>
          <w:p w:rsidR="000215C5" w:rsidRDefault="00703023">
            <w:pPr>
              <w:tabs>
                <w:tab w:val="left" w:pos="2700"/>
              </w:tabs>
              <w:spacing w:after="120"/>
              <w:jc w:val="both"/>
              <w:rPr>
                <w:b/>
              </w:rPr>
            </w:pPr>
            <w:r>
              <w:rPr>
                <w:b/>
              </w:rPr>
              <w:t>Mall: GWB</w:t>
            </w:r>
          </w:p>
        </w:tc>
      </w:tr>
      <w:tr w:rsidR="000215C5">
        <w:tc>
          <w:tcPr>
            <w:tcW w:w="9889" w:type="dxa"/>
          </w:tcPr>
          <w:p w:rsidR="000215C5" w:rsidRDefault="00703023">
            <w:pPr>
              <w:tabs>
                <w:tab w:val="left" w:pos="2700"/>
              </w:tabs>
              <w:spacing w:after="120"/>
              <w:jc w:val="both"/>
              <w:rPr>
                <w:b/>
                <w:i/>
              </w:rPr>
            </w:pPr>
            <w:r>
              <w:rPr>
                <w:b/>
                <w:i/>
              </w:rPr>
              <w:t>Klass: GWPollutant</w:t>
            </w:r>
          </w:p>
          <w:p w:rsidR="000215C5" w:rsidRDefault="00703023">
            <w:pPr>
              <w:tabs>
                <w:tab w:val="left" w:pos="2700"/>
              </w:tabs>
              <w:spacing w:after="120"/>
              <w:jc w:val="both"/>
              <w:rPr>
                <w:i/>
              </w:rPr>
            </w:pPr>
            <w:r>
              <w:rPr>
                <w:b/>
              </w:rPr>
              <w:t>Egenskaper</w:t>
            </w:r>
            <w:r>
              <w:t>: maxOccurs = unbounded minOccurs = 0</w:t>
            </w:r>
          </w:p>
        </w:tc>
      </w:tr>
      <w:tr w:rsidR="000215C5">
        <w:tc>
          <w:tcPr>
            <w:tcW w:w="9889" w:type="dxa"/>
          </w:tcPr>
          <w:p w:rsidR="000215C5" w:rsidRDefault="00703023">
            <w:pPr>
              <w:spacing w:after="120"/>
              <w:jc w:val="both"/>
              <w:rPr>
                <w:b/>
              </w:rPr>
            </w:pPr>
            <w:r>
              <w:rPr>
                <w:b/>
              </w:rPr>
              <w:t xml:space="preserve">Mallpost: </w:t>
            </w:r>
            <w:r>
              <w:t>gwPollutantCode</w:t>
            </w:r>
          </w:p>
          <w:p w:rsidR="000215C5" w:rsidRDefault="00703023">
            <w:pPr>
              <w:spacing w:after="120"/>
              <w:jc w:val="both"/>
              <w:rPr>
                <w:szCs w:val="24"/>
              </w:rPr>
            </w:pPr>
            <w:r>
              <w:rPr>
                <w:b/>
              </w:rPr>
              <w:t>Fälttyp/alternativ:</w:t>
            </w:r>
            <w:r>
              <w:t xml:space="preserve"> ChemicalSubstances_Union_Enum (se bilaga 8e)</w:t>
            </w:r>
          </w:p>
          <w:p w:rsidR="000215C5" w:rsidRDefault="00703023">
            <w:pPr>
              <w:spacing w:after="120"/>
              <w:jc w:val="both"/>
            </w:pPr>
            <w:r>
              <w:rPr>
                <w:b/>
              </w:rPr>
              <w:t>Egenskaper</w:t>
            </w:r>
            <w:r>
              <w:t>: maxOccurs = 1 minOccurs = 1</w:t>
            </w:r>
          </w:p>
          <w:p w:rsidR="000215C5" w:rsidRDefault="00703023">
            <w:pPr>
              <w:spacing w:after="120"/>
              <w:jc w:val="both"/>
            </w:pPr>
            <w:r>
              <w:rPr>
                <w:b/>
              </w:rPr>
              <w:t>Vägledning om hur man fyller i mallposten</w:t>
            </w:r>
            <w:r>
              <w:t>: Krävs</w:t>
            </w:r>
            <w:r>
              <w:rPr>
                <w:rStyle w:val="Fotnotsreferens"/>
              </w:rPr>
              <w:footnoteReference w:id="51"/>
            </w:r>
            <w:r>
              <w:t>. Rapportera varje förorenande ämne och indikator som stämmer in på en eller flera av följande förhållanden i den berörda vattenförekomsten:</w:t>
            </w:r>
          </w:p>
          <w:p w:rsidR="000215C5" w:rsidRDefault="00703023">
            <w:pPr>
              <w:pStyle w:val="Liststycke"/>
              <w:numPr>
                <w:ilvl w:val="0"/>
                <w:numId w:val="83"/>
              </w:numPr>
              <w:spacing w:after="120"/>
              <w:jc w:val="both"/>
            </w:pPr>
            <w:r>
              <w:t>Det förorenande ämnet eller indikatorn leder till en risk för att kemisk status inte uppnås (posten gwPollutantCausingRisk).</w:t>
            </w:r>
          </w:p>
          <w:p w:rsidR="000215C5" w:rsidRDefault="00703023">
            <w:pPr>
              <w:pStyle w:val="Liststycke"/>
              <w:numPr>
                <w:ilvl w:val="0"/>
                <w:numId w:val="83"/>
              </w:numPr>
              <w:spacing w:after="120"/>
              <w:jc w:val="both"/>
            </w:pPr>
            <w:r>
              <w:t>Det förorenande ämnet eller indikatorn leder till att kemisk status inte uppnås eftersom det överskrider de relevanta miljökvalitetsnormerna eller gränsvärdet (posten gwPollutantCausingFailure).</w:t>
            </w:r>
          </w:p>
          <w:p w:rsidR="000215C5" w:rsidRDefault="00703023">
            <w:pPr>
              <w:pStyle w:val="Liststycke"/>
              <w:numPr>
                <w:ilvl w:val="0"/>
                <w:numId w:val="83"/>
              </w:numPr>
              <w:spacing w:after="120"/>
              <w:jc w:val="both"/>
            </w:pPr>
            <w:r>
              <w:t>Det förorenande ämnet eller indikatorn visar en uppåtgående trend (posten gwPollutantUpwardTrend).</w:t>
            </w:r>
          </w:p>
          <w:p w:rsidR="000215C5" w:rsidRDefault="00703023">
            <w:pPr>
              <w:pStyle w:val="Liststycke"/>
              <w:numPr>
                <w:ilvl w:val="0"/>
                <w:numId w:val="83"/>
              </w:numPr>
              <w:spacing w:after="120"/>
              <w:jc w:val="both"/>
            </w:pPr>
            <w:r>
              <w:t>Det förorenande ämnet eller indikatorn visar en omvänd trend (posten gwPollutantTrendReversal).</w:t>
            </w:r>
          </w:p>
          <w:p w:rsidR="000215C5" w:rsidRDefault="00703023">
            <w:pPr>
              <w:pStyle w:val="Liststycke"/>
              <w:numPr>
                <w:ilvl w:val="0"/>
                <w:numId w:val="83"/>
              </w:numPr>
              <w:spacing w:after="120"/>
              <w:jc w:val="both"/>
            </w:pPr>
            <w:r>
              <w:t>Det förorenande ämnet eller indikatorn visar överskridande(n) av miljökvalitetsnormen eller gränsvärdet, men efter en lämplig undersökning enligt artikel 4.2 c och bilaga III till grundvattendirektivet anser medlemsstaten att detta inte leder till att god kemisk status inte uppnås (posten gwPollutantExcedancesNotCounted).</w:t>
            </w:r>
          </w:p>
          <w:p w:rsidR="000215C5" w:rsidRDefault="00703023">
            <w:pPr>
              <w:pStyle w:val="Liststycke"/>
              <w:numPr>
                <w:ilvl w:val="0"/>
                <w:numId w:val="83"/>
              </w:numPr>
              <w:spacing w:after="120"/>
              <w:jc w:val="both"/>
            </w:pPr>
            <w:r>
              <w:t>Bakgrundsnivåer har fastställts för det förorenande ämnet eller indikatorn (posterna gwPollutantBackgroundLevelSet, gwPollutantBackgroundLevelValue och gwPollutantBackgroundLevelUnit).</w:t>
            </w:r>
          </w:p>
        </w:tc>
      </w:tr>
      <w:tr w:rsidR="000215C5">
        <w:tc>
          <w:tcPr>
            <w:tcW w:w="9889" w:type="dxa"/>
          </w:tcPr>
          <w:p w:rsidR="000215C5" w:rsidRDefault="00703023">
            <w:pPr>
              <w:spacing w:after="120"/>
              <w:jc w:val="both"/>
              <w:rPr>
                <w:b/>
              </w:rPr>
            </w:pPr>
            <w:r>
              <w:rPr>
                <w:b/>
              </w:rPr>
              <w:t xml:space="preserve">Mallpost: </w:t>
            </w:r>
            <w:r>
              <w:t>gwPollutantOther</w:t>
            </w:r>
          </w:p>
          <w:p w:rsidR="000215C5" w:rsidRDefault="00703023">
            <w:pPr>
              <w:spacing w:after="120"/>
              <w:jc w:val="both"/>
              <w:rPr>
                <w:szCs w:val="24"/>
              </w:rPr>
            </w:pPr>
            <w:r>
              <w:rPr>
                <w:b/>
              </w:rPr>
              <w:t>Fälttyp/alternativ:</w:t>
            </w:r>
            <w:r>
              <w:t xml:space="preserve"> string250Type</w:t>
            </w:r>
          </w:p>
          <w:p w:rsidR="000215C5" w:rsidRDefault="00703023">
            <w:pPr>
              <w:spacing w:after="120"/>
              <w:jc w:val="both"/>
            </w:pPr>
            <w:r>
              <w:rPr>
                <w:b/>
              </w:rPr>
              <w:t>Egenskaper</w:t>
            </w:r>
            <w:r>
              <w:t>: maxOccurs = 1 minOccurs = 0</w:t>
            </w:r>
          </w:p>
          <w:p w:rsidR="000215C5" w:rsidRDefault="00703023">
            <w:pPr>
              <w:spacing w:after="120"/>
              <w:jc w:val="both"/>
            </w:pPr>
            <w:r>
              <w:rPr>
                <w:b/>
              </w:rPr>
              <w:t>Vägledning om hur man fyller i mallposten</w:t>
            </w:r>
            <w:r>
              <w:t xml:space="preserve">: Villkorlig. Om gwPollutantCode är ”EEA_00-00-0 Other chemical parameter”, ange </w:t>
            </w:r>
            <w:r w:rsidR="002C79FC">
              <w:t>CAS-nummer (i förekommande fall</w:t>
            </w:r>
            <w:r>
              <w:t>) samt namnet på det förorenande ämnet eller indikatorn i detta fält.</w:t>
            </w:r>
          </w:p>
          <w:p w:rsidR="000215C5" w:rsidRDefault="00703023">
            <w:pPr>
              <w:spacing w:after="120"/>
              <w:jc w:val="both"/>
              <w:rPr>
                <w:b/>
              </w:rPr>
            </w:pPr>
            <w:r>
              <w:rPr>
                <w:b/>
              </w:rPr>
              <w:t>Kvalitetskontroll</w:t>
            </w:r>
            <w:r>
              <w:t xml:space="preserve">: Villkorlig kontroll: rapportera om gwPollutantCode är ”EEA_00-00-0 Other chemical parameter”.  </w:t>
            </w:r>
          </w:p>
        </w:tc>
      </w:tr>
      <w:tr w:rsidR="000215C5">
        <w:tc>
          <w:tcPr>
            <w:tcW w:w="9889" w:type="dxa"/>
            <w:shd w:val="clear" w:color="auto" w:fill="auto"/>
          </w:tcPr>
          <w:p w:rsidR="000215C5" w:rsidRDefault="00703023">
            <w:pPr>
              <w:spacing w:after="120"/>
              <w:jc w:val="both"/>
              <w:rPr>
                <w:b/>
                <w:szCs w:val="24"/>
              </w:rPr>
            </w:pPr>
            <w:r>
              <w:rPr>
                <w:b/>
              </w:rPr>
              <w:t>Mallpost</w:t>
            </w:r>
            <w:r>
              <w:t>: gwPollutantCausingRisk</w:t>
            </w:r>
          </w:p>
          <w:p w:rsidR="000215C5" w:rsidRDefault="00703023">
            <w:pPr>
              <w:spacing w:after="120"/>
              <w:jc w:val="both"/>
              <w:rPr>
                <w:szCs w:val="24"/>
              </w:rPr>
            </w:pPr>
            <w:r>
              <w:rPr>
                <w:b/>
              </w:rPr>
              <w:t xml:space="preserve">Fälttyp/alternativ: </w:t>
            </w:r>
            <w:r>
              <w:t xml:space="preserve">YesNoUnknownUnclear_Union_Enum: Yes, No, Unknown/unclear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det förorenande ämnet eller indikatorn kan leda till att den relevanta vattenförekomsten riskerar att inte uppnå god kemisk status.</w:t>
            </w:r>
          </w:p>
          <w:p w:rsidR="000215C5" w:rsidRDefault="00703023">
            <w:pPr>
              <w:spacing w:after="120"/>
              <w:jc w:val="both"/>
              <w:rPr>
                <w:szCs w:val="24"/>
              </w:rPr>
            </w:pPr>
            <w:r>
              <w:rPr>
                <w:b/>
              </w:rPr>
              <w:t>Kvalitetskontroller</w:t>
            </w:r>
            <w:r>
              <w:t>: Om gwAtRiskChemical är ”Yes” ska minst ett förorenande ämne eller minst en indikator rapporteras som ”Yes” i gwPollutantCausingRisk.</w:t>
            </w:r>
          </w:p>
        </w:tc>
      </w:tr>
      <w:tr w:rsidR="000215C5">
        <w:tc>
          <w:tcPr>
            <w:tcW w:w="9889" w:type="dxa"/>
          </w:tcPr>
          <w:p w:rsidR="000215C5" w:rsidRDefault="00703023">
            <w:pPr>
              <w:spacing w:after="120"/>
              <w:jc w:val="both"/>
              <w:rPr>
                <w:b/>
                <w:szCs w:val="24"/>
              </w:rPr>
            </w:pPr>
            <w:r>
              <w:rPr>
                <w:b/>
              </w:rPr>
              <w:t>Mallpost</w:t>
            </w:r>
            <w:r>
              <w:t>:</w:t>
            </w:r>
            <w:r>
              <w:rPr>
                <w:b/>
              </w:rPr>
              <w:t xml:space="preserve"> </w:t>
            </w:r>
            <w:r>
              <w:t>gwPollutantCausingFailure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Ange om det förorenande ämnet eller indikatorn leder till att vattenförekomsten inte uppnår god kemisk status. </w:t>
            </w:r>
          </w:p>
          <w:p w:rsidR="000215C5" w:rsidRDefault="00703023">
            <w:pPr>
              <w:spacing w:after="120"/>
              <w:jc w:val="both"/>
              <w:rPr>
                <w:b/>
                <w:szCs w:val="24"/>
              </w:rPr>
            </w:pPr>
            <w:r>
              <w:rPr>
                <w:b/>
              </w:rPr>
              <w:t>Kvalitetskontroller</w:t>
            </w:r>
            <w:r>
              <w:t>: Om gwChemicalStatusValue är 3 ska minst ett förorenande ämne eller minst en indikator rapporteras som ”Yes” i gwPollutantCausingFailure.</w:t>
            </w:r>
          </w:p>
        </w:tc>
      </w:tr>
      <w:tr w:rsidR="000215C5">
        <w:tc>
          <w:tcPr>
            <w:tcW w:w="9889" w:type="dxa"/>
          </w:tcPr>
          <w:p w:rsidR="000215C5" w:rsidRDefault="00703023">
            <w:pPr>
              <w:spacing w:after="120"/>
              <w:jc w:val="both"/>
              <w:rPr>
                <w:szCs w:val="24"/>
              </w:rPr>
            </w:pPr>
            <w:r>
              <w:rPr>
                <w:b/>
              </w:rPr>
              <w:t>Mallpost</w:t>
            </w:r>
            <w:r>
              <w:t>: gwPollutantUpwardTrend</w:t>
            </w:r>
          </w:p>
          <w:p w:rsidR="000215C5" w:rsidRDefault="00703023">
            <w:pPr>
              <w:spacing w:after="120"/>
              <w:jc w:val="both"/>
              <w:rPr>
                <w:szCs w:val="24"/>
              </w:rPr>
            </w:pPr>
            <w:r>
              <w:rPr>
                <w:b/>
              </w:rPr>
              <w:t xml:space="preserve">Fälttyp/alternativ: </w:t>
            </w:r>
            <w:r>
              <w:t>YesNoUnknownUnclear_Union_Enum: Yes, No, Unknown/unclear</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Ange om det finns en betydande och ihållande uppåtgående trend i koncentrationen av förorenande ämnen eller föroreningsindikatorer.</w:t>
            </w:r>
          </w:p>
        </w:tc>
      </w:tr>
      <w:tr w:rsidR="000215C5">
        <w:tc>
          <w:tcPr>
            <w:tcW w:w="9889" w:type="dxa"/>
          </w:tcPr>
          <w:p w:rsidR="000215C5" w:rsidRDefault="00703023">
            <w:pPr>
              <w:spacing w:after="120"/>
              <w:jc w:val="both"/>
              <w:rPr>
                <w:b/>
              </w:rPr>
            </w:pPr>
            <w:r>
              <w:rPr>
                <w:b/>
              </w:rPr>
              <w:t>Mallpost</w:t>
            </w:r>
            <w:r>
              <w:t>: gwPollutantTrendReversal</w:t>
            </w:r>
          </w:p>
          <w:p w:rsidR="000215C5" w:rsidRDefault="00703023">
            <w:pPr>
              <w:spacing w:after="120"/>
              <w:jc w:val="both"/>
              <w:rPr>
                <w:szCs w:val="24"/>
              </w:rPr>
            </w:pPr>
            <w:r>
              <w:rPr>
                <w:b/>
              </w:rPr>
              <w:t xml:space="preserve">Fälttyp/alternativ: </w:t>
            </w:r>
            <w:r>
              <w:t xml:space="preserve">YesNoUnknownNotApplicableCode_Enum: Yes, No, Unknown, Not applicable </w:t>
            </w:r>
          </w:p>
          <w:p w:rsidR="000215C5" w:rsidRDefault="00703023">
            <w:pPr>
              <w:spacing w:after="120"/>
              <w:jc w:val="both"/>
            </w:pPr>
            <w:r>
              <w:rPr>
                <w:b/>
              </w:rPr>
              <w:t>Egenskaper</w:t>
            </w:r>
            <w:r>
              <w:t xml:space="preserve">: maxOccurs = 1 minOccurs = 1 </w:t>
            </w:r>
          </w:p>
          <w:p w:rsidR="000215C5" w:rsidRDefault="00703023">
            <w:pPr>
              <w:spacing w:after="120"/>
              <w:jc w:val="both"/>
            </w:pPr>
            <w:r>
              <w:rPr>
                <w:b/>
              </w:rPr>
              <w:t>Vägledning om hur man fyller i mallposten</w:t>
            </w:r>
            <w:r>
              <w:t xml:space="preserve">: Krävs. Ange om det finns en omvänd trend i koncentrationen av förorenande ämnen eller föroreningsindikatorer. </w:t>
            </w:r>
          </w:p>
          <w:p w:rsidR="000215C5" w:rsidRDefault="00703023">
            <w:pPr>
              <w:spacing w:after="120"/>
              <w:jc w:val="both"/>
            </w:pPr>
            <w:r>
              <w:rPr>
                <w:b/>
              </w:rPr>
              <w:t>Kvalitetskontroller:</w:t>
            </w:r>
            <w:r>
              <w:t xml:space="preserve"> Intern kontroll: Alternativet ”Not applicable” är endast giltigt om posten upwardTrend är ”No”.</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gwPollutantsExceedancesNotCounted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Ange om det förekommer överskridanden av det förorenande ämnet eller indikatorn som inte anses leda till att god kemisk status inte uppnås (fall där artikel 4.2 c i grundvattendirektivet är tillämplig).</w:t>
            </w:r>
          </w:p>
        </w:tc>
      </w:tr>
      <w:tr w:rsidR="000215C5">
        <w:tc>
          <w:tcPr>
            <w:tcW w:w="9889" w:type="dxa"/>
          </w:tcPr>
          <w:p w:rsidR="000215C5" w:rsidRDefault="00703023">
            <w:pPr>
              <w:spacing w:after="120"/>
              <w:jc w:val="both"/>
              <w:rPr>
                <w:b/>
              </w:rPr>
            </w:pPr>
            <w:r>
              <w:rPr>
                <w:b/>
              </w:rPr>
              <w:t xml:space="preserve">Mallpost: </w:t>
            </w:r>
            <w:r>
              <w:t>gwPollutantBackgroundLevelSet</w:t>
            </w:r>
          </w:p>
          <w:p w:rsidR="000215C5" w:rsidRDefault="00703023">
            <w:pPr>
              <w:spacing w:after="120"/>
              <w:jc w:val="both"/>
              <w:rPr>
                <w:szCs w:val="24"/>
              </w:rPr>
            </w:pPr>
            <w:r>
              <w:rPr>
                <w:b/>
              </w:rPr>
              <w:t>Fälttyp/alternativ:</w:t>
            </w:r>
            <w:r>
              <w:t xml:space="preserve"> YesNoCode_Enum: Yes, No</w:t>
            </w:r>
          </w:p>
          <w:p w:rsidR="000215C5" w:rsidRDefault="00703023">
            <w:pPr>
              <w:spacing w:after="120"/>
              <w:jc w:val="both"/>
            </w:pPr>
            <w:r>
              <w:rPr>
                <w:b/>
              </w:rPr>
              <w:t>Egenskaper</w:t>
            </w:r>
            <w:r>
              <w:t>: maxOccurs = 1 minOccurs = 1</w:t>
            </w:r>
          </w:p>
          <w:p w:rsidR="000215C5" w:rsidRDefault="00703023">
            <w:pPr>
              <w:spacing w:after="120"/>
              <w:jc w:val="both"/>
              <w:rPr>
                <w:b/>
              </w:rPr>
            </w:pPr>
            <w:r>
              <w:rPr>
                <w:b/>
              </w:rPr>
              <w:t>Vägledning om hur man fyller i mallposten</w:t>
            </w:r>
            <w:r>
              <w:t>: Krävs. Ange om en bakgrundsnivå för naturliga ämnen har fastställts.</w:t>
            </w:r>
          </w:p>
        </w:tc>
      </w:tr>
      <w:tr w:rsidR="000215C5">
        <w:tc>
          <w:tcPr>
            <w:tcW w:w="9889" w:type="dxa"/>
          </w:tcPr>
          <w:p w:rsidR="000215C5" w:rsidRDefault="00703023">
            <w:pPr>
              <w:spacing w:after="120"/>
              <w:jc w:val="both"/>
              <w:rPr>
                <w:b/>
              </w:rPr>
            </w:pPr>
            <w:r>
              <w:rPr>
                <w:b/>
              </w:rPr>
              <w:t>Mallpost</w:t>
            </w:r>
            <w:r>
              <w:t>:</w:t>
            </w:r>
            <w:r>
              <w:rPr>
                <w:b/>
              </w:rPr>
              <w:t xml:space="preserve"> </w:t>
            </w:r>
            <w:r>
              <w:t>gwPollutantBackgroundLevelValue</w:t>
            </w:r>
          </w:p>
          <w:p w:rsidR="000215C5" w:rsidRDefault="00703023">
            <w:pPr>
              <w:spacing w:after="120"/>
              <w:jc w:val="both"/>
              <w:rPr>
                <w:szCs w:val="24"/>
              </w:rPr>
            </w:pPr>
            <w:r>
              <w:rPr>
                <w:b/>
              </w:rPr>
              <w:t xml:space="preserve">Fälttyp/alternativ: </w:t>
            </w:r>
            <w:r>
              <w:t>String100Type</w:t>
            </w:r>
          </w:p>
          <w:p w:rsidR="000215C5" w:rsidRDefault="00703023">
            <w:pPr>
              <w:spacing w:after="120"/>
              <w:jc w:val="both"/>
            </w:pPr>
            <w:r>
              <w:rPr>
                <w:b/>
              </w:rPr>
              <w:t>Egenskaper</w:t>
            </w:r>
            <w:r>
              <w:t>: maxOccurs = 1 minOccurs = 0</w:t>
            </w:r>
          </w:p>
          <w:p w:rsidR="000215C5" w:rsidRDefault="00703023">
            <w:pPr>
              <w:spacing w:after="120"/>
              <w:jc w:val="both"/>
            </w:pPr>
            <w:r>
              <w:rPr>
                <w:b/>
              </w:rPr>
              <w:t>Vägledning om hur man fyller i mallposten</w:t>
            </w:r>
            <w:r>
              <w:t xml:space="preserve">: Villkorlig. Om en bakgrundsnivå har fastställts, rapportera det numeriska värdet eller räckvidden för den naturliga bakgrundsnivån. </w:t>
            </w:r>
          </w:p>
          <w:p w:rsidR="000215C5" w:rsidRDefault="00703023">
            <w:pPr>
              <w:spacing w:after="120"/>
              <w:jc w:val="both"/>
            </w:pPr>
            <w:r>
              <w:rPr>
                <w:b/>
              </w:rPr>
              <w:t>Kvalitetskontroller</w:t>
            </w:r>
            <w:r>
              <w:t>: Villkorlig kontroll: rapportera om gwPollutantBackgroundLevelSet är ”Yes”.</w:t>
            </w:r>
          </w:p>
        </w:tc>
      </w:tr>
      <w:tr w:rsidR="000215C5">
        <w:tc>
          <w:tcPr>
            <w:tcW w:w="9889" w:type="dxa"/>
          </w:tcPr>
          <w:p w:rsidR="000215C5" w:rsidRDefault="00703023">
            <w:pPr>
              <w:spacing w:after="120"/>
              <w:jc w:val="both"/>
              <w:rPr>
                <w:b/>
              </w:rPr>
            </w:pPr>
            <w:r>
              <w:rPr>
                <w:b/>
              </w:rPr>
              <w:t>Mallpost</w:t>
            </w:r>
            <w:r>
              <w:t>:</w:t>
            </w:r>
            <w:r>
              <w:rPr>
                <w:b/>
              </w:rPr>
              <w:t xml:space="preserve"> </w:t>
            </w:r>
            <w:r>
              <w:t>gwPollutantBackgroundLevelUnit</w:t>
            </w:r>
          </w:p>
          <w:p w:rsidR="000215C5" w:rsidRDefault="00703023">
            <w:pPr>
              <w:spacing w:after="120"/>
              <w:jc w:val="both"/>
              <w:rPr>
                <w:szCs w:val="24"/>
              </w:rPr>
            </w:pPr>
            <w:r>
              <w:rPr>
                <w:b/>
              </w:rPr>
              <w:t xml:space="preserve">Fälttyp/alternativ: </w:t>
            </w:r>
            <w:r>
              <w:t>UnitOfMeasure_Enum (se bilaga 8f)</w:t>
            </w:r>
          </w:p>
          <w:p w:rsidR="000215C5" w:rsidRDefault="00703023">
            <w:pPr>
              <w:spacing w:after="120"/>
              <w:jc w:val="both"/>
            </w:pPr>
            <w:r>
              <w:rPr>
                <w:b/>
              </w:rPr>
              <w:t>Egenskaper</w:t>
            </w:r>
            <w:r>
              <w:t>: maxOccurs = 1 minOccurs = 0</w:t>
            </w:r>
          </w:p>
          <w:p w:rsidR="000215C5" w:rsidRDefault="00703023">
            <w:pPr>
              <w:spacing w:after="120"/>
              <w:jc w:val="both"/>
            </w:pPr>
            <w:r>
              <w:rPr>
                <w:b/>
              </w:rPr>
              <w:t>Vägledning om hur man fyller i mallposten</w:t>
            </w:r>
            <w:r>
              <w:t xml:space="preserve">: Villkorlig. Om en bakgrundsnivå har fastställts, välj de relevanta enheterna för naturliga bakgrundskoncentrationer eller nivåer (rapporteringsenheten för konduktivitet är millimeter Siemens per meter). </w:t>
            </w:r>
          </w:p>
          <w:p w:rsidR="000215C5" w:rsidRDefault="00703023">
            <w:pPr>
              <w:spacing w:after="120"/>
              <w:jc w:val="both"/>
              <w:rPr>
                <w:b/>
              </w:rPr>
            </w:pPr>
            <w:r>
              <w:rPr>
                <w:b/>
              </w:rPr>
              <w:t>Kvalitetskontroller</w:t>
            </w:r>
            <w:r>
              <w:t>: Villkorlig kontroll: rapportera om gwPollutantBackgroundLevelSet är ”Yes”.</w:t>
            </w:r>
          </w:p>
        </w:tc>
      </w:tr>
    </w:tbl>
    <w:p w:rsidR="000215C5" w:rsidRDefault="000215C5">
      <w:pPr>
        <w:jc w:val="both"/>
      </w:pPr>
    </w:p>
    <w:p w:rsidR="000215C5" w:rsidRDefault="00703023">
      <w:pPr>
        <w:spacing w:after="120"/>
        <w:jc w:val="both"/>
      </w:pPr>
      <w:r>
        <w:t xml:space="preserve">Följande klass (underkategori till GWPollutant) används för att rapportera undantag på nivån för förorenande ämnen. </w:t>
      </w:r>
    </w:p>
    <w:p w:rsidR="000215C5" w:rsidRDefault="000215C5">
      <w:pPr>
        <w:spacing w:after="12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rPr>
            </w:pPr>
            <w:r>
              <w:rPr>
                <w:b/>
              </w:rPr>
              <w:t>Mall: GWB (fortsättning)</w:t>
            </w:r>
          </w:p>
        </w:tc>
      </w:tr>
      <w:tr w:rsidR="000215C5">
        <w:tc>
          <w:tcPr>
            <w:tcW w:w="9889" w:type="dxa"/>
            <w:shd w:val="clear" w:color="auto" w:fill="auto"/>
          </w:tcPr>
          <w:p w:rsidR="000215C5" w:rsidRDefault="00703023">
            <w:pPr>
              <w:spacing w:after="120"/>
              <w:jc w:val="both"/>
              <w:rPr>
                <w:b/>
                <w:i/>
                <w:szCs w:val="24"/>
              </w:rPr>
            </w:pPr>
            <w:r>
              <w:rPr>
                <w:b/>
                <w:i/>
              </w:rPr>
              <w:t>Klass: GWChemicalExemptionType</w:t>
            </w:r>
          </w:p>
          <w:p w:rsidR="000215C5" w:rsidRDefault="00703023">
            <w:pPr>
              <w:spacing w:after="120"/>
              <w:jc w:val="both"/>
              <w:rPr>
                <w:i/>
                <w:szCs w:val="24"/>
              </w:rPr>
            </w:pPr>
            <w:r>
              <w:rPr>
                <w:b/>
                <w:i/>
              </w:rPr>
              <w:t>Egenskaper</w:t>
            </w:r>
            <w:r>
              <w:rPr>
                <w:i/>
              </w:rPr>
              <w:t>: max Occur: unbounded minOccur: 0</w:t>
            </w:r>
          </w:p>
          <w:p w:rsidR="000215C5" w:rsidRDefault="00703023">
            <w:pPr>
              <w:spacing w:after="120"/>
              <w:jc w:val="both"/>
              <w:rPr>
                <w:b/>
              </w:rPr>
            </w:pPr>
            <w:r>
              <w:rPr>
                <w:i/>
              </w:rPr>
              <w:t>Villkorlig kontroll: rapportera om gwPollutantCausingFailure är ”Yes”.</w:t>
            </w:r>
          </w:p>
        </w:tc>
      </w:tr>
      <w:tr w:rsidR="000215C5">
        <w:tc>
          <w:tcPr>
            <w:tcW w:w="9889" w:type="dxa"/>
            <w:shd w:val="clear" w:color="auto" w:fill="auto"/>
          </w:tcPr>
          <w:p w:rsidR="000215C5" w:rsidRDefault="00703023">
            <w:pPr>
              <w:spacing w:after="120"/>
              <w:jc w:val="both"/>
              <w:rPr>
                <w:b/>
              </w:rPr>
            </w:pPr>
            <w:r>
              <w:rPr>
                <w:b/>
              </w:rPr>
              <w:t>Mallpost</w:t>
            </w:r>
            <w:r>
              <w:t xml:space="preserve">: gwChemicalExemptionType </w:t>
            </w:r>
          </w:p>
          <w:p w:rsidR="000215C5" w:rsidRDefault="00703023">
            <w:pPr>
              <w:spacing w:after="120"/>
              <w:jc w:val="both"/>
              <w:rPr>
                <w:szCs w:val="24"/>
              </w:rPr>
            </w:pPr>
            <w:r>
              <w:rPr>
                <w:b/>
              </w:rPr>
              <w:t>Fälttyp/alternativ:</w:t>
            </w:r>
            <w:r>
              <w:t xml:space="preserve"> GWChemicalExemptionType_Union_Enum (se bilaga 8g)  </w:t>
            </w:r>
          </w:p>
          <w:p w:rsidR="000215C5" w:rsidRDefault="00703023">
            <w:pPr>
              <w:spacing w:after="120"/>
              <w:jc w:val="both"/>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Rapportera vilken eller vilka typer av undantag som gäller om god kemisk status inte förväntas uppnås till 2015 för det förorenande ämnet eller indikatorn. </w:t>
            </w:r>
          </w:p>
          <w:p w:rsidR="000215C5" w:rsidRDefault="00703023">
            <w:pPr>
              <w:spacing w:after="120"/>
              <w:jc w:val="both"/>
            </w:pPr>
            <w:r>
              <w:rPr>
                <w:b/>
              </w:rPr>
              <w:t>Kvalitetskontroller</w:t>
            </w:r>
            <w:r>
              <w:t>:</w:t>
            </w:r>
            <w:r>
              <w:rPr>
                <w:b/>
              </w:rPr>
              <w:t xml:space="preserve"> </w:t>
            </w:r>
          </w:p>
          <w:p w:rsidR="000215C5" w:rsidRDefault="00703023">
            <w:pPr>
              <w:spacing w:after="120"/>
              <w:jc w:val="both"/>
            </w:pPr>
            <w:r>
              <w:t xml:space="preserve">Intern kontroll: ”No exemption” är inte förenligt med något annat alternativ. Om ”No exemption” rapporteras ska inga fler gwChemicalExemptionType rapporteras. </w:t>
            </w:r>
          </w:p>
          <w:p w:rsidR="000215C5" w:rsidRDefault="00703023">
            <w:pPr>
              <w:spacing w:after="120"/>
              <w:jc w:val="both"/>
            </w:pPr>
            <w:r>
              <w:t>Alternativen ”Article4(7) – New modification” och ”Article4(7) – Sustainable human development” är inte giltiga för kemisk grundvattenstatus och kan därför inte rapporteras.</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gwChemicalExemptionPressure</w:t>
            </w:r>
          </w:p>
          <w:p w:rsidR="000215C5" w:rsidRDefault="00703023">
            <w:pPr>
              <w:spacing w:after="120"/>
              <w:jc w:val="both"/>
            </w:pPr>
            <w:r>
              <w:rPr>
                <w:b/>
              </w:rPr>
              <w:t>Fälttyp/alternativ:</w:t>
            </w:r>
            <w:r>
              <w:t xml:space="preserve"> SignificantPressureType_Enum (se bilaga 1a) </w:t>
            </w:r>
          </w:p>
          <w:p w:rsidR="000215C5" w:rsidRDefault="00703023">
            <w:pPr>
              <w:spacing w:after="120"/>
              <w:jc w:val="both"/>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Om något undantag enligt artikel 6.3 i grundvattendirektivet eller artikel 4.4 eller 4.5 i vattendirektivet är tillämpligt på denna grundvattenförekomst för kemisk status ska typen eller typerna av betydande påverkan som leder till att målen inte uppnås rapporteras för att motivera undantagen. </w:t>
            </w:r>
          </w:p>
          <w:p w:rsidR="000215C5" w:rsidRDefault="00703023">
            <w:pPr>
              <w:spacing w:after="120"/>
              <w:jc w:val="both"/>
            </w:pPr>
            <w:r>
              <w:rPr>
                <w:b/>
              </w:rPr>
              <w:t>Kvalitetskontroller</w:t>
            </w:r>
            <w:r>
              <w:t>:</w:t>
            </w:r>
            <w:r>
              <w:rPr>
                <w:b/>
              </w:rPr>
              <w:t xml:space="preserve"> </w:t>
            </w:r>
            <w:r>
              <w:t xml:space="preserve">Villkorlig kontroll: Om gwChemicalExemptionType inte är ”No exemption” ska minst en typ av betydande påverkan väljas från uppräkningslistan. </w:t>
            </w:r>
          </w:p>
          <w:p w:rsidR="000215C5" w:rsidRDefault="00703023">
            <w:pPr>
              <w:spacing w:after="120"/>
              <w:jc w:val="both"/>
            </w:pPr>
            <w:r>
              <w:t>Alterna</w:t>
            </w:r>
            <w:r w:rsidR="001A7AD2">
              <w:t>tiven ”No significant pressure”</w:t>
            </w:r>
            <w:r>
              <w:t xml:space="preserve"> och ”Not applicable” är inte giltiga.</w:t>
            </w:r>
          </w:p>
        </w:tc>
      </w:tr>
    </w:tbl>
    <w:p w:rsidR="000215C5" w:rsidRDefault="000215C5">
      <w:pPr>
        <w:jc w:val="both"/>
      </w:pPr>
    </w:p>
    <w:p w:rsidR="000215C5" w:rsidRDefault="00703023">
      <w:pPr>
        <w:pStyle w:val="Rubrik1"/>
        <w:jc w:val="both"/>
      </w:pPr>
      <w:bookmarkStart w:id="229" w:name="_Toc400669450"/>
      <w:bookmarkStart w:id="230" w:name="_Toc400669916"/>
      <w:bookmarkStart w:id="231" w:name="_Toc400670254"/>
      <w:bookmarkStart w:id="232" w:name="_Toc400670588"/>
      <w:bookmarkStart w:id="233" w:name="_Toc400670920"/>
      <w:bookmarkStart w:id="234" w:name="_Toc400671224"/>
      <w:bookmarkStart w:id="235" w:name="_Toc400671530"/>
      <w:bookmarkStart w:id="236" w:name="_Toc400671824"/>
      <w:bookmarkStart w:id="237" w:name="_Toc375220069"/>
      <w:bookmarkStart w:id="238" w:name="_Toc386464222"/>
      <w:bookmarkStart w:id="239" w:name="_Ref403725964"/>
      <w:bookmarkStart w:id="240" w:name="_Toc425522050"/>
      <w:bookmarkStart w:id="241" w:name="_Toc432666062"/>
      <w:bookmarkStart w:id="242" w:name="_Toc437520258"/>
      <w:bookmarkEnd w:id="229"/>
      <w:bookmarkEnd w:id="230"/>
      <w:bookmarkEnd w:id="231"/>
      <w:bookmarkEnd w:id="232"/>
      <w:bookmarkEnd w:id="233"/>
      <w:bookmarkEnd w:id="234"/>
      <w:bookmarkEnd w:id="235"/>
      <w:bookmarkEnd w:id="236"/>
      <w:r>
        <w:t>Övervakning (mallövervakning)</w:t>
      </w:r>
      <w:bookmarkEnd w:id="237"/>
      <w:bookmarkEnd w:id="238"/>
      <w:bookmarkEnd w:id="239"/>
      <w:bookmarkEnd w:id="240"/>
      <w:bookmarkEnd w:id="241"/>
      <w:bookmarkEnd w:id="242"/>
    </w:p>
    <w:p w:rsidR="000215C5" w:rsidRDefault="00703023">
      <w:pPr>
        <w:pStyle w:val="Rubrik2"/>
        <w:jc w:val="both"/>
      </w:pPr>
      <w:bookmarkStart w:id="243" w:name="_Toc386464223"/>
      <w:bookmarkStart w:id="244" w:name="_Toc425522051"/>
      <w:bookmarkStart w:id="245" w:name="_Toc432666063"/>
      <w:bookmarkStart w:id="246" w:name="_Toc437520259"/>
      <w:bookmarkStart w:id="247" w:name="_Toc375220070"/>
      <w:r>
        <w:t>Inledning</w:t>
      </w:r>
      <w:bookmarkEnd w:id="243"/>
      <w:bookmarkEnd w:id="244"/>
      <w:bookmarkEnd w:id="245"/>
      <w:bookmarkEnd w:id="246"/>
    </w:p>
    <w:p w:rsidR="000215C5" w:rsidRDefault="00703023">
      <w:pPr>
        <w:pStyle w:val="Text4"/>
        <w:tabs>
          <w:tab w:val="clear" w:pos="2302"/>
        </w:tabs>
        <w:ind w:left="0"/>
        <w:jc w:val="both"/>
      </w:pPr>
      <w:r>
        <w:t>Enligt artikel 8.1 i vattendirektivet ska medlemsstaterna upprätta program för övervakning av yt- och grundvattenstatus för att upprätta en sammanhållen och heltäckande översikt över vattenstatusen inom varje avrinningsdistrikt. Kraven omfattar övervakning av skyddade områden när det gäller yt- och grundvattenstatus. Övervakningsresultaten är en viktig faktor för att fastställa om vattenförekomsterna har god status och vilka åtgärder som behöver tas med i förvaltningsplanerna för att uppnå god status till 2015. Exakta och tillförlitliga övervakningsresultat är därför en nödvändig förutsättning för en välgrundad planering av investeringarna i åtgärdsprogrammen.</w:t>
      </w:r>
    </w:p>
    <w:p w:rsidR="000215C5" w:rsidRDefault="00703023">
      <w:pPr>
        <w:pStyle w:val="Text4"/>
        <w:tabs>
          <w:tab w:val="clear" w:pos="2302"/>
        </w:tabs>
        <w:ind w:left="0"/>
        <w:jc w:val="both"/>
      </w:pPr>
      <w:r>
        <w:t>De genomföranderapporter som krävs enligt artikel 18 i vattendirektivet ska bland andra aspekter omfatta ”en översyn av yt- och grundvattenstatusen i gemenskapen samordnat med Europeiska miljöbyrån”. I den första övervakningsrapporten grundades denna översyn både på information om miljötillståndet (SoE) från Europeiska miljöbyråns medlemsländer</w:t>
      </w:r>
      <w:r>
        <w:rPr>
          <w:rStyle w:val="Fotnotsreferens"/>
        </w:rPr>
        <w:footnoteReference w:id="52"/>
      </w:r>
      <w:r w:rsidR="002C79FC">
        <w:t xml:space="preserve"> via Eionet</w:t>
      </w:r>
      <w:r w:rsidR="002C79FC">
        <w:noBreakHyphen/>
      </w:r>
      <w:r>
        <w:t>rapporteringsprocessen, och resultat för status och påverkan som rapporteras på vattenförekomstnivå (kapitlen 2 och 3 i denna vägledning) av medlemsstaterna. Rapporteringen enligt vattendirektivet och SoE-rapporteringen måste fortfarande rationaliseras mer för att garantera bästa möjliga resultat av detta tillvägagångssätt med två rapporteringsnivåer. Inför den andra versionen av förvaltningsplanerna kan det för översynen av status enligt artikel 18 vara mycket användbart att i den allmänna statusbedömningen inbegripa vattendirektivets övervakningsresultat för uppgifter om vattenkvalitet och biologiska uppgifter. Uppgifter om framsteg sedan de första förvaltningsplanerna kan tas med, t.ex. om trender för status, påverkan och effekter, och fall där målen inte har uppnåtts fullständigt.</w:t>
      </w:r>
    </w:p>
    <w:p w:rsidR="000215C5" w:rsidRDefault="00703023">
      <w:pPr>
        <w:pStyle w:val="Text4"/>
        <w:tabs>
          <w:tab w:val="clear" w:pos="2302"/>
        </w:tabs>
        <w:ind w:left="0"/>
        <w:jc w:val="both"/>
      </w:pPr>
      <w:r>
        <w:rPr>
          <w:b/>
        </w:rPr>
        <w:t xml:space="preserve">Rapporteringen bör avspegla den genomförda övervakning som ligger till grund för den andra versionen av förvaltningsplanerna. </w:t>
      </w:r>
      <w:r>
        <w:t xml:space="preserve">Övervakningsprogrammen är vanligen dynamiska och fleråriga (t.ex. när det gäller kvalitetsfaktorer med lägre övervakningsfrekvens). Rapporteringen bör därför så exakt som möjligt avspegla den rapportering som ligger till grund för utarbetandet av den andra versionen av förvaltningsplanerna. </w:t>
      </w:r>
      <w:r>
        <w:rPr>
          <w:b/>
        </w:rPr>
        <w:t>Rapporteringen ska inte innehålla information om framtida övervakningsprogram eller planerade ändringar</w:t>
      </w:r>
      <w:r>
        <w:t>.</w:t>
      </w:r>
    </w:p>
    <w:p w:rsidR="000215C5" w:rsidRDefault="00703023">
      <w:pPr>
        <w:pStyle w:val="Text4"/>
        <w:tabs>
          <w:tab w:val="clear" w:pos="2302"/>
        </w:tabs>
        <w:ind w:left="0"/>
        <w:jc w:val="both"/>
      </w:pPr>
      <w:r>
        <w:t>Valet av vilka kvalitetsfaktorer (QE) och parametrar som ska övervakas bör göra det möjligt att upptäcka all betydande påverkan på vattenförekomsterna. Detta är särskilt viktigt när bedömningarna av påverkan och effekter inte har varit lämpligt utformade för att fastställa all eventuell påverkan och alla eventuella effekter i avrinningsdistriktet, vilket i sin tur kan bero på bristande information eller metoder eller oväntade mänskliga verksamheter inom avrinningsdistriktet.</w:t>
      </w:r>
    </w:p>
    <w:p w:rsidR="000215C5" w:rsidRDefault="00703023">
      <w:pPr>
        <w:pStyle w:val="Text4"/>
        <w:tabs>
          <w:tab w:val="clear" w:pos="2302"/>
        </w:tabs>
        <w:ind w:left="0"/>
        <w:jc w:val="both"/>
      </w:pPr>
      <w:r>
        <w:t>Resultaten av övervakningen bör garantera att eventuella effekter av all påverkan på vattenförekomsterna inom avrinningsdistrikten upptäcks. En ofullständig täckning av kvalitetsfaktorer och vattenförekomster i den kontrollerande övervakningen kan leda till att faktorer som orsakar betydande påverkan inte upptäcks, till felaktig klassificering av vattenstatus och felriktade åtgärder. Den kontrollerande övervakningen måste också kunna upptäcka långsiktiga naturliga förändringar och förändringar till följd av mänsklig påverkan.</w:t>
      </w:r>
    </w:p>
    <w:p w:rsidR="000215C5" w:rsidRDefault="00703023">
      <w:pPr>
        <w:pStyle w:val="Text4"/>
        <w:tabs>
          <w:tab w:val="clear" w:pos="2302"/>
        </w:tabs>
        <w:ind w:left="0"/>
        <w:jc w:val="both"/>
      </w:pPr>
      <w:r>
        <w:t>Valet av biologiska kvalitetsfaktorer (BQE) för operativ övervakning bör inriktas på de känsligaste faktorerna i den påverkan och de effekter som fastställts för vattenförekomsterna. Resultaten av den operativa övervakningen används (tillsammans med resultaten av den kontrollerande övervakningen) för att klassificera vattenförekomsterna och övervaka framstegen i samband med de åtgärder som vidtas för att uppnå direktivets mål.</w:t>
      </w:r>
    </w:p>
    <w:p w:rsidR="000215C5" w:rsidRDefault="00703023">
      <w:pPr>
        <w:pStyle w:val="Text4"/>
        <w:tabs>
          <w:tab w:val="clear" w:pos="2302"/>
        </w:tabs>
        <w:ind w:left="0"/>
        <w:jc w:val="both"/>
      </w:pPr>
      <w:r>
        <w:t>Övervakningsresultaten används i sin tur för att bedöma och klassificera vattenförekomsterna (ekologisk och kemisk för ytvatten, kemisk och kvantitativ för grundvatten). Omfattningen av övervakningen när det gäller kvalitetsfaktorer, parametrar, frekvens och antal övervakningsstationer bör vara tillräcklig för att ge en tillförlitlig och hållfast bedömning av statusen för alla vattenförekomster i avrinningsdistrikten. Bristande övervakning leder till ett lågt förtroende för klassificeringen av vattenförekomster, vilket i sin tur leder till att de (kostsamma) åtgärder som krävs för att uppnå målen kan vara felriktade och/eller att målen inte uppnås, t.ex. att återställa vattenförekomster till god status.</w:t>
      </w:r>
    </w:p>
    <w:p w:rsidR="000215C5" w:rsidRDefault="00703023">
      <w:pPr>
        <w:pStyle w:val="Text4"/>
        <w:tabs>
          <w:tab w:val="clear" w:pos="2302"/>
        </w:tabs>
        <w:ind w:left="0"/>
        <w:jc w:val="both"/>
      </w:pPr>
      <w:r>
        <w:t>I direktiv 2009/90/EG</w:t>
      </w:r>
      <w:r>
        <w:rPr>
          <w:rStyle w:val="Fotnotsreferens"/>
        </w:rPr>
        <w:footnoteReference w:id="53"/>
      </w:r>
      <w:r>
        <w:t xml:space="preserve"> fastställs tekniska specifikationer för kemisk analys och övervakning av vattenstatus. Syftet är att förbättra kvaliteten och jämförbarheten för övervakningsresultat genom att införa minimikrav för de analysmetoder som medlemsstaterna ska tillämpa när de övervakar vattenstatus, sediment och biota samt regler för att styrka analysresultatens kvalitet.</w:t>
      </w:r>
    </w:p>
    <w:p w:rsidR="000215C5" w:rsidRDefault="00703023">
      <w:pPr>
        <w:pStyle w:val="Rubrik3"/>
      </w:pPr>
      <w:bookmarkStart w:id="248" w:name="_Toc386464224"/>
      <w:r>
        <w:t>Hur kommer kommissionen och Europeiska miljöbyrån att använda den rapporterade informationen</w:t>
      </w:r>
      <w:bookmarkEnd w:id="248"/>
      <w:r>
        <w:t>?</w:t>
      </w:r>
    </w:p>
    <w:p w:rsidR="000215C5" w:rsidRDefault="00703023">
      <w:pPr>
        <w:pStyle w:val="Text4"/>
        <w:tabs>
          <w:tab w:val="clear" w:pos="2302"/>
        </w:tabs>
        <w:ind w:left="0"/>
        <w:jc w:val="both"/>
      </w:pPr>
      <w:r>
        <w:t>Kommissionen kommer att kontrollera att medlemsstaternas övervakningsprogram är jämförbara sinsemellan och att de överensstämmer med kraven i bilaga V till vattendirektivet samt resultaten av artikel 5-analysen. Kommissionen kommer dessutom att använda dessa uppgifter för att informera Europaparlamentet och allmänheten om medlemsstaternas framsteg med vattendirektivets genomförande. Vissa av grunduppgifterna behövs också för uppdatering av en referensdatauppsättning, som kan användas för att i ett senare skede relatera och utbyta övervakningsresultat mellan medlemsstaterna och EU-institutionerna på ett enklare sätt.</w:t>
      </w:r>
    </w:p>
    <w:p w:rsidR="000215C5" w:rsidRDefault="00703023">
      <w:pPr>
        <w:pStyle w:val="Text4"/>
        <w:tabs>
          <w:tab w:val="clear" w:pos="2302"/>
        </w:tabs>
        <w:ind w:left="0"/>
        <w:jc w:val="both"/>
      </w:pPr>
      <w:r>
        <w:t>Europeiska miljöbyrån kommer att använda uppgifter om vattenkvalitet, bland annat från övervakningen av biologiska kvalitetsfaktorer och prioriterade ämnen, för att ta fram trendbedömningar och översikter av statusen för och påverkan på Europas yt- och grundvatten. Bedömningen av de uppgifter som rapporteras i den andra versionen av förvaltningsplanerna kommer att inriktas på att åskådliggöra förbättringar av status och framsteg med att minska påverkan.</w:t>
      </w:r>
    </w:p>
    <w:p w:rsidR="000215C5" w:rsidRDefault="00703023">
      <w:pPr>
        <w:pStyle w:val="Text4"/>
        <w:tabs>
          <w:tab w:val="clear" w:pos="2302"/>
        </w:tabs>
        <w:ind w:left="0"/>
        <w:jc w:val="both"/>
      </w:pPr>
      <w:r>
        <w:t>Tolkningen av den stora mängd information om vattenkvalitet och biologiska kvalitetsfaktorer som Europeiska miljöbyråns medlemsländer (inklusive EU-medlemsstater) redan rapporterar via Eionets prioriterade vattendataflöden (Wise-SoE) blir mest effektiv om informationen anpassas till rapporteringen enligt vattendirektivet. Inom ramen för genomförandet av Seis-principerna</w:t>
      </w:r>
      <w:r>
        <w:rPr>
          <w:rStyle w:val="Fotnotsreferens"/>
        </w:rPr>
        <w:footnoteReference w:id="54"/>
      </w:r>
      <w:r>
        <w:t xml:space="preserve"> kan övervakningsresultaten från Eionets vattenövervakningsstationer, som även till största delen fungerar som vattenövervakningsstationer enligt vattendirektivet, användas i informationsutbytet mellan SoE-bedömningarna och bedömningarna enligt vattendirektivet, och på så sätt utgöra en gemensam grund för bedömningen av status och påverkan. Övervakningresultaten från vattendirektivets operativa övervakningsstationer skulle ytterligare förstärka SoE-bedömningarna.</w:t>
      </w:r>
    </w:p>
    <w:p w:rsidR="000215C5" w:rsidRDefault="00703023">
      <w:pPr>
        <w:pStyle w:val="Text4"/>
        <w:tabs>
          <w:tab w:val="clear" w:pos="2302"/>
        </w:tabs>
        <w:ind w:left="0"/>
        <w:jc w:val="both"/>
      </w:pPr>
      <w:r>
        <w:t>På EU-nivå kommer statistik och information att lämnas till Europaparlamentet. Allmänheten kommer att få tillgång till informationen via Wise.</w:t>
      </w:r>
    </w:p>
    <w:p w:rsidR="000215C5" w:rsidRDefault="00703023">
      <w:pPr>
        <w:pStyle w:val="Rubrik2"/>
        <w:jc w:val="both"/>
      </w:pPr>
      <w:bookmarkStart w:id="249" w:name="_Toc386464225"/>
      <w:bookmarkStart w:id="250" w:name="_Toc425522052"/>
      <w:bookmarkStart w:id="251" w:name="_Toc432666064"/>
      <w:bookmarkStart w:id="252" w:name="_Toc437520260"/>
      <w:r>
        <w:t>Produkter från rapporteringen</w:t>
      </w:r>
      <w:bookmarkEnd w:id="249"/>
      <w:bookmarkEnd w:id="250"/>
      <w:bookmarkEnd w:id="251"/>
      <w:bookmarkEnd w:id="252"/>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317"/>
        <w:gridCol w:w="810"/>
        <w:gridCol w:w="900"/>
        <w:gridCol w:w="2057"/>
        <w:gridCol w:w="2268"/>
        <w:gridCol w:w="1795"/>
      </w:tblGrid>
      <w:tr w:rsidR="000215C5" w:rsidTr="00744D77">
        <w:trPr>
          <w:cantSplit/>
          <w:trHeight w:val="8"/>
        </w:trPr>
        <w:tc>
          <w:tcPr>
            <w:tcW w:w="445" w:type="dxa"/>
            <w:shd w:val="clear" w:color="auto" w:fill="auto"/>
          </w:tcPr>
          <w:p w:rsidR="000215C5" w:rsidRDefault="00703023">
            <w:pPr>
              <w:spacing w:after="0"/>
              <w:jc w:val="both"/>
              <w:rPr>
                <w:b/>
                <w:sz w:val="18"/>
                <w:szCs w:val="18"/>
              </w:rPr>
            </w:pPr>
            <w:r>
              <w:rPr>
                <w:b/>
                <w:sz w:val="18"/>
              </w:rPr>
              <w:t>Nb</w:t>
            </w:r>
          </w:p>
        </w:tc>
        <w:tc>
          <w:tcPr>
            <w:tcW w:w="1317" w:type="dxa"/>
          </w:tcPr>
          <w:p w:rsidR="000215C5" w:rsidRPr="002C79FC" w:rsidRDefault="00703023">
            <w:pPr>
              <w:spacing w:after="0"/>
              <w:jc w:val="both"/>
              <w:rPr>
                <w:b/>
                <w:sz w:val="18"/>
                <w:szCs w:val="18"/>
              </w:rPr>
            </w:pPr>
            <w:r w:rsidRPr="002C79FC">
              <w:rPr>
                <w:b/>
                <w:sz w:val="18"/>
              </w:rPr>
              <w:t>Produktens namn</w:t>
            </w:r>
          </w:p>
        </w:tc>
        <w:tc>
          <w:tcPr>
            <w:tcW w:w="810" w:type="dxa"/>
            <w:shd w:val="clear" w:color="auto" w:fill="auto"/>
          </w:tcPr>
          <w:p w:rsidR="000215C5" w:rsidRPr="002C79FC" w:rsidRDefault="00703023">
            <w:pPr>
              <w:spacing w:after="0"/>
              <w:jc w:val="both"/>
              <w:rPr>
                <w:b/>
                <w:sz w:val="18"/>
                <w:szCs w:val="18"/>
              </w:rPr>
            </w:pPr>
            <w:r w:rsidRPr="002C79FC">
              <w:rPr>
                <w:b/>
                <w:sz w:val="18"/>
              </w:rPr>
              <w:t>Typ av produkt</w:t>
            </w:r>
          </w:p>
        </w:tc>
        <w:tc>
          <w:tcPr>
            <w:tcW w:w="900" w:type="dxa"/>
            <w:shd w:val="clear" w:color="auto" w:fill="auto"/>
          </w:tcPr>
          <w:p w:rsidR="000215C5" w:rsidRPr="002C79FC" w:rsidRDefault="002C79FC">
            <w:pPr>
              <w:spacing w:after="0"/>
              <w:jc w:val="both"/>
              <w:rPr>
                <w:b/>
                <w:sz w:val="18"/>
                <w:szCs w:val="18"/>
              </w:rPr>
            </w:pPr>
            <w:r w:rsidRPr="002C79FC">
              <w:rPr>
                <w:b/>
                <w:sz w:val="18"/>
              </w:rPr>
              <w:t>Infor-</w:t>
            </w:r>
            <w:r w:rsidR="00703023" w:rsidRPr="002C79FC">
              <w:rPr>
                <w:b/>
                <w:sz w:val="18"/>
              </w:rPr>
              <w:t>mations</w:t>
            </w:r>
            <w:r w:rsidRPr="002C79FC">
              <w:rPr>
                <w:b/>
                <w:sz w:val="18"/>
              </w:rPr>
              <w:t>-</w:t>
            </w:r>
            <w:r w:rsidR="00703023" w:rsidRPr="002C79FC">
              <w:rPr>
                <w:b/>
                <w:sz w:val="18"/>
              </w:rPr>
              <w:t>nivå*</w:t>
            </w:r>
          </w:p>
        </w:tc>
        <w:tc>
          <w:tcPr>
            <w:tcW w:w="2057" w:type="dxa"/>
            <w:shd w:val="clear" w:color="auto" w:fill="auto"/>
          </w:tcPr>
          <w:p w:rsidR="000215C5" w:rsidRPr="002C79FC" w:rsidRDefault="00703023">
            <w:pPr>
              <w:spacing w:after="0"/>
              <w:jc w:val="both"/>
              <w:rPr>
                <w:b/>
                <w:sz w:val="18"/>
                <w:szCs w:val="18"/>
              </w:rPr>
            </w:pPr>
            <w:r w:rsidRPr="002C79FC">
              <w:rPr>
                <w:b/>
                <w:sz w:val="18"/>
              </w:rPr>
              <w:t>Detaljerad information visas</w:t>
            </w:r>
          </w:p>
        </w:tc>
        <w:tc>
          <w:tcPr>
            <w:tcW w:w="2268"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795"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1</w:t>
            </w:r>
          </w:p>
        </w:tc>
        <w:tc>
          <w:tcPr>
            <w:tcW w:w="1317" w:type="dxa"/>
          </w:tcPr>
          <w:p w:rsidR="000215C5" w:rsidRPr="002C79FC" w:rsidRDefault="00703023">
            <w:pPr>
              <w:spacing w:after="0"/>
              <w:jc w:val="both"/>
              <w:rPr>
                <w:sz w:val="18"/>
                <w:szCs w:val="18"/>
              </w:rPr>
            </w:pPr>
            <w:r w:rsidRPr="002C79FC">
              <w:rPr>
                <w:sz w:val="18"/>
              </w:rPr>
              <w:t>Övervaknings</w:t>
            </w:r>
            <w:r w:rsidR="002C79FC" w:rsidRPr="002C79FC">
              <w:rPr>
                <w:sz w:val="18"/>
              </w:rPr>
              <w:t>-</w:t>
            </w:r>
            <w:r w:rsidRPr="002C79FC">
              <w:rPr>
                <w:sz w:val="18"/>
              </w:rPr>
              <w:t>stationer för ytvatten</w:t>
            </w:r>
          </w:p>
        </w:tc>
        <w:tc>
          <w:tcPr>
            <w:tcW w:w="810" w:type="dxa"/>
            <w:shd w:val="clear" w:color="auto" w:fill="auto"/>
          </w:tcPr>
          <w:p w:rsidR="000215C5" w:rsidRPr="002C79FC" w:rsidRDefault="00703023">
            <w:pPr>
              <w:spacing w:after="0"/>
              <w:jc w:val="both"/>
              <w:rPr>
                <w:sz w:val="18"/>
                <w:szCs w:val="18"/>
              </w:rPr>
            </w:pPr>
            <w:r w:rsidRPr="002C79FC">
              <w:rPr>
                <w:sz w:val="18"/>
              </w:rPr>
              <w:t>Karta</w:t>
            </w:r>
          </w:p>
        </w:tc>
        <w:tc>
          <w:tcPr>
            <w:tcW w:w="900" w:type="dxa"/>
            <w:shd w:val="clear" w:color="auto" w:fill="auto"/>
          </w:tcPr>
          <w:p w:rsidR="000215C5" w:rsidRPr="002C79FC" w:rsidRDefault="00703023">
            <w:pPr>
              <w:spacing w:after="0"/>
              <w:jc w:val="both"/>
              <w:rPr>
                <w:sz w:val="18"/>
                <w:szCs w:val="18"/>
              </w:rPr>
            </w:pPr>
            <w:r w:rsidRPr="002C79FC">
              <w:rPr>
                <w:sz w:val="18"/>
              </w:rPr>
              <w:t>Station</w:t>
            </w:r>
          </w:p>
        </w:tc>
        <w:tc>
          <w:tcPr>
            <w:tcW w:w="2057" w:type="dxa"/>
            <w:shd w:val="clear" w:color="auto" w:fill="auto"/>
          </w:tcPr>
          <w:p w:rsidR="000215C5" w:rsidRPr="002C79FC" w:rsidRDefault="00703023">
            <w:pPr>
              <w:spacing w:after="0"/>
              <w:jc w:val="both"/>
              <w:rPr>
                <w:sz w:val="18"/>
                <w:szCs w:val="18"/>
              </w:rPr>
            </w:pPr>
            <w:r w:rsidRPr="002C79FC">
              <w:rPr>
                <w:sz w:val="18"/>
              </w:rPr>
              <w:t>Karta över övervakningsstationer för ytvatten per kategori.</w:t>
            </w:r>
          </w:p>
        </w:tc>
        <w:tc>
          <w:tcPr>
            <w:tcW w:w="2268" w:type="dxa"/>
            <w:shd w:val="clear" w:color="auto" w:fill="auto"/>
          </w:tcPr>
          <w:p w:rsidR="000215C5" w:rsidRDefault="00703023">
            <w:pPr>
              <w:spacing w:after="0"/>
              <w:jc w:val="both"/>
              <w:rPr>
                <w:sz w:val="18"/>
                <w:szCs w:val="18"/>
              </w:rPr>
            </w:pPr>
            <w:r>
              <w:rPr>
                <w:sz w:val="18"/>
              </w:rPr>
              <w:t>Geografisk lokalisering för de rapporterade övervakningsstationerna.</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w:t>
            </w:r>
          </w:p>
        </w:tc>
        <w:tc>
          <w:tcPr>
            <w:tcW w:w="1317" w:type="dxa"/>
          </w:tcPr>
          <w:p w:rsidR="000215C5" w:rsidRDefault="00703023">
            <w:pPr>
              <w:spacing w:after="0"/>
              <w:jc w:val="both"/>
              <w:rPr>
                <w:sz w:val="18"/>
                <w:szCs w:val="18"/>
              </w:rPr>
            </w:pPr>
            <w:r>
              <w:rPr>
                <w:sz w:val="18"/>
              </w:rPr>
              <w:t>Antal kontrollerande övervaknings</w:t>
            </w:r>
            <w:r w:rsidR="002C79FC">
              <w:rPr>
                <w:sz w:val="18"/>
              </w:rPr>
              <w:t>-</w:t>
            </w:r>
            <w:r>
              <w:rPr>
                <w:sz w:val="18"/>
              </w:rPr>
              <w:t>stationer, operativa övervakningsstationer samt totalt antal övervaknings</w:t>
            </w:r>
            <w:r w:rsidR="002C79FC">
              <w:rPr>
                <w:sz w:val="18"/>
              </w:rPr>
              <w:t>-</w:t>
            </w:r>
            <w:r>
              <w:rPr>
                <w:sz w:val="18"/>
              </w:rPr>
              <w:t>stationer per vattenkategori.</w:t>
            </w:r>
          </w:p>
        </w:tc>
        <w:tc>
          <w:tcPr>
            <w:tcW w:w="810" w:type="dxa"/>
            <w:shd w:val="clear" w:color="auto" w:fill="auto"/>
          </w:tcPr>
          <w:p w:rsidR="000215C5" w:rsidRDefault="00703023">
            <w:pPr>
              <w:spacing w:after="0"/>
              <w:jc w:val="both"/>
              <w:rPr>
                <w:sz w:val="18"/>
                <w:szCs w:val="18"/>
              </w:rPr>
            </w:pPr>
            <w:r>
              <w:rPr>
                <w:sz w:val="18"/>
              </w:rPr>
              <w:t>Tabell</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Antal kontrollerande övervakningsstationer, operativa övervakningsstationer samt totalt antal övervakningsstationer per ytvattenkategori.</w:t>
            </w:r>
          </w:p>
          <w:p w:rsidR="000215C5" w:rsidRDefault="00703023">
            <w:pPr>
              <w:spacing w:after="0"/>
              <w:jc w:val="both"/>
              <w:rPr>
                <w:sz w:val="18"/>
                <w:szCs w:val="18"/>
              </w:rPr>
            </w:pPr>
            <w:r>
              <w:rPr>
                <w:sz w:val="18"/>
              </w:rPr>
              <w:t>Antal kontrollerande övervakningsstationer, operativa övervakningsstationer och kvantitativa övervakningsstationer för grundvatten.</w:t>
            </w:r>
          </w:p>
        </w:tc>
        <w:tc>
          <w:tcPr>
            <w:tcW w:w="2268" w:type="dxa"/>
            <w:shd w:val="clear" w:color="auto" w:fill="auto"/>
          </w:tcPr>
          <w:p w:rsidR="000215C5" w:rsidRDefault="00703023">
            <w:pPr>
              <w:spacing w:after="0"/>
              <w:jc w:val="both"/>
              <w:rPr>
                <w:sz w:val="18"/>
                <w:szCs w:val="18"/>
              </w:rPr>
            </w:pPr>
            <w:r>
              <w:rPr>
                <w:sz w:val="18"/>
              </w:rPr>
              <w:t>Aggregering på grundval av den information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70"/>
        </w:trPr>
        <w:tc>
          <w:tcPr>
            <w:tcW w:w="445" w:type="dxa"/>
            <w:shd w:val="clear" w:color="auto" w:fill="auto"/>
          </w:tcPr>
          <w:p w:rsidR="000215C5" w:rsidRDefault="00703023">
            <w:pPr>
              <w:spacing w:after="0"/>
              <w:jc w:val="both"/>
              <w:rPr>
                <w:sz w:val="18"/>
                <w:szCs w:val="18"/>
              </w:rPr>
            </w:pPr>
            <w:r>
              <w:rPr>
                <w:sz w:val="18"/>
              </w:rPr>
              <w:t>3</w:t>
            </w:r>
          </w:p>
        </w:tc>
        <w:tc>
          <w:tcPr>
            <w:tcW w:w="1317" w:type="dxa"/>
          </w:tcPr>
          <w:p w:rsidR="000215C5" w:rsidRDefault="00703023">
            <w:pPr>
              <w:spacing w:after="0"/>
              <w:jc w:val="both"/>
              <w:rPr>
                <w:sz w:val="18"/>
                <w:szCs w:val="18"/>
              </w:rPr>
            </w:pPr>
            <w:r>
              <w:rPr>
                <w:sz w:val="18"/>
              </w:rPr>
              <w:t>Antal kontrollerande och operativa övervaknings</w:t>
            </w:r>
            <w:r w:rsidR="004F4683">
              <w:rPr>
                <w:sz w:val="18"/>
              </w:rPr>
              <w:t>-</w:t>
            </w:r>
            <w:r>
              <w:rPr>
                <w:sz w:val="18"/>
              </w:rPr>
              <w:t>stationer per 1 000 km</w:t>
            </w:r>
            <w:r>
              <w:rPr>
                <w:sz w:val="18"/>
                <w:vertAlign w:val="superscript"/>
              </w:rPr>
              <w:t>2</w:t>
            </w:r>
            <w:r>
              <w:rPr>
                <w:sz w:val="18"/>
              </w:rPr>
              <w:t>.</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Antal kontrollerande och operativa övervakningsstationer per 1 000 km</w:t>
            </w:r>
            <w:r>
              <w:rPr>
                <w:sz w:val="18"/>
                <w:vertAlign w:val="superscript"/>
              </w:rPr>
              <w:t>2</w:t>
            </w:r>
            <w:r>
              <w:rPr>
                <w:sz w:val="18"/>
              </w:rPr>
              <w:t>.</w:t>
            </w:r>
          </w:p>
        </w:tc>
        <w:tc>
          <w:tcPr>
            <w:tcW w:w="2268" w:type="dxa"/>
            <w:shd w:val="clear" w:color="auto" w:fill="auto"/>
          </w:tcPr>
          <w:p w:rsidR="000215C5" w:rsidRDefault="00703023">
            <w:pPr>
              <w:spacing w:after="0"/>
              <w:jc w:val="both"/>
              <w:rPr>
                <w:sz w:val="18"/>
                <w:szCs w:val="18"/>
              </w:rPr>
            </w:pPr>
            <w:r>
              <w:rPr>
                <w:sz w:val="18"/>
              </w:rPr>
              <w:t>Aggregering på grundval av den information som rapporteras på nivån för övervakningsstationer samt total yta för avrinningsdistriktet.</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4</w:t>
            </w:r>
          </w:p>
        </w:tc>
        <w:tc>
          <w:tcPr>
            <w:tcW w:w="1317" w:type="dxa"/>
          </w:tcPr>
          <w:p w:rsidR="000215C5" w:rsidRDefault="00703023">
            <w:pPr>
              <w:spacing w:after="0"/>
              <w:jc w:val="both"/>
              <w:rPr>
                <w:sz w:val="18"/>
                <w:szCs w:val="18"/>
              </w:rPr>
            </w:pPr>
            <w:r>
              <w:rPr>
                <w:sz w:val="18"/>
              </w:rPr>
              <w:t>Antal övervaknings</w:t>
            </w:r>
            <w:r w:rsidR="004F4683">
              <w:rPr>
                <w:sz w:val="18"/>
              </w:rPr>
              <w:t>-</w:t>
            </w:r>
            <w:r>
              <w:rPr>
                <w:sz w:val="18"/>
              </w:rPr>
              <w:t xml:space="preserve">stationer i ytvatten som används för att övervaka de olika typerna </w:t>
            </w:r>
            <w:r w:rsidRPr="00814861">
              <w:rPr>
                <w:sz w:val="18"/>
              </w:rPr>
              <w:t>av kvalitets</w:t>
            </w:r>
            <w:r w:rsidR="00814861" w:rsidRPr="00814861">
              <w:rPr>
                <w:sz w:val="18"/>
              </w:rPr>
              <w:t>-</w:t>
            </w:r>
            <w:r w:rsidRPr="00814861">
              <w:rPr>
                <w:sz w:val="18"/>
              </w:rPr>
              <w:t>faktorer.</w:t>
            </w:r>
          </w:p>
        </w:tc>
        <w:tc>
          <w:tcPr>
            <w:tcW w:w="810" w:type="dxa"/>
            <w:shd w:val="clear" w:color="auto" w:fill="auto"/>
          </w:tcPr>
          <w:p w:rsidR="000215C5" w:rsidRDefault="00703023">
            <w:pPr>
              <w:spacing w:after="0"/>
              <w:jc w:val="both"/>
              <w:rPr>
                <w:sz w:val="18"/>
                <w:szCs w:val="18"/>
              </w:rPr>
            </w:pPr>
            <w:r>
              <w:rPr>
                <w:sz w:val="18"/>
              </w:rPr>
              <w:t>Tabell</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Antal övervakningsstationer i ytvatten som används för att övervaka de olika typerna av kvalitetsfaktorer (biologiska, hydromorfologiska och fysikalisk-kemiska kvalitetsfaktorer, inklusive ej prioriterade särskilda förorenande ämnen och prioriterade ämnen).</w:t>
            </w:r>
          </w:p>
        </w:tc>
        <w:tc>
          <w:tcPr>
            <w:tcW w:w="2268" w:type="dxa"/>
            <w:shd w:val="clear" w:color="auto" w:fill="auto"/>
          </w:tcPr>
          <w:p w:rsidR="000215C5" w:rsidRDefault="00703023">
            <w:pPr>
              <w:spacing w:after="0"/>
              <w:jc w:val="both"/>
              <w:rPr>
                <w:sz w:val="18"/>
                <w:szCs w:val="18"/>
              </w:rPr>
            </w:pPr>
            <w:r>
              <w:rPr>
                <w:sz w:val="18"/>
              </w:rPr>
              <w:t>Aggregering på grundval av den information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08"/>
        </w:trPr>
        <w:tc>
          <w:tcPr>
            <w:tcW w:w="445" w:type="dxa"/>
            <w:shd w:val="clear" w:color="auto" w:fill="auto"/>
          </w:tcPr>
          <w:p w:rsidR="000215C5" w:rsidRDefault="00703023">
            <w:pPr>
              <w:spacing w:after="0"/>
              <w:jc w:val="both"/>
              <w:rPr>
                <w:sz w:val="18"/>
                <w:szCs w:val="18"/>
              </w:rPr>
            </w:pPr>
            <w:r>
              <w:rPr>
                <w:sz w:val="18"/>
              </w:rPr>
              <w:t>5</w:t>
            </w:r>
          </w:p>
        </w:tc>
        <w:tc>
          <w:tcPr>
            <w:tcW w:w="1317" w:type="dxa"/>
          </w:tcPr>
          <w:p w:rsidR="000215C5" w:rsidRDefault="00703023">
            <w:pPr>
              <w:spacing w:after="0"/>
              <w:jc w:val="both"/>
              <w:rPr>
                <w:sz w:val="18"/>
                <w:szCs w:val="18"/>
              </w:rPr>
            </w:pPr>
            <w:r>
              <w:rPr>
                <w:sz w:val="18"/>
              </w:rPr>
              <w:t>Procentandel ytvattenföre</w:t>
            </w:r>
            <w:r w:rsidR="00814861">
              <w:rPr>
                <w:sz w:val="18"/>
              </w:rPr>
              <w:t>-</w:t>
            </w:r>
            <w:r>
              <w:rPr>
                <w:sz w:val="18"/>
              </w:rPr>
              <w:t>komster som omfattas av kontrollerande övervakning jämfört med totalt antal ytvattenförekomster</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ytvattenförekomster som omfattas av kontrollerande övervakning jämfört med totalt antal ytvattenförekomster.</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6</w:t>
            </w:r>
          </w:p>
        </w:tc>
        <w:tc>
          <w:tcPr>
            <w:tcW w:w="1317" w:type="dxa"/>
          </w:tcPr>
          <w:p w:rsidR="000215C5" w:rsidRDefault="00703023">
            <w:pPr>
              <w:spacing w:after="0"/>
              <w:jc w:val="both"/>
              <w:rPr>
                <w:sz w:val="18"/>
                <w:szCs w:val="18"/>
              </w:rPr>
            </w:pPr>
            <w:r>
              <w:rPr>
                <w:sz w:val="18"/>
              </w:rPr>
              <w:t>Antal floder som omfattas av kontrollerande övervakning.</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Antal floder som omfattas av kontrollerande övervakning, jämfört med kriterierna i bilaga V avsnitt 1.3.1 i vattendirektivet.</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p w:rsidR="000215C5" w:rsidRDefault="00703023">
            <w:pPr>
              <w:spacing w:after="0"/>
              <w:jc w:val="both"/>
              <w:rPr>
                <w:sz w:val="18"/>
                <w:szCs w:val="18"/>
              </w:rPr>
            </w:pPr>
            <w:r>
              <w:rPr>
                <w:sz w:val="18"/>
              </w:rPr>
              <w:t>Riktmärket är medlemsstatens landyta dividerat med 2 500 km</w:t>
            </w:r>
            <w:r>
              <w:rPr>
                <w:sz w:val="18"/>
                <w:vertAlign w:val="superscript"/>
              </w:rPr>
              <w:t>2</w:t>
            </w:r>
            <w:r>
              <w:rPr>
                <w:sz w:val="18"/>
              </w:rPr>
              <w:t>.</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7</w:t>
            </w:r>
          </w:p>
        </w:tc>
        <w:tc>
          <w:tcPr>
            <w:tcW w:w="1317" w:type="dxa"/>
          </w:tcPr>
          <w:p w:rsidR="000215C5" w:rsidRDefault="00703023">
            <w:pPr>
              <w:spacing w:after="0"/>
              <w:jc w:val="both"/>
              <w:rPr>
                <w:sz w:val="18"/>
                <w:szCs w:val="18"/>
              </w:rPr>
            </w:pPr>
            <w:r>
              <w:rPr>
                <w:sz w:val="18"/>
              </w:rPr>
              <w:t>Procentandel ytvattenföre</w:t>
            </w:r>
            <w:r w:rsidR="00814861">
              <w:rPr>
                <w:sz w:val="18"/>
              </w:rPr>
              <w:t>-</w:t>
            </w:r>
            <w:r>
              <w:rPr>
                <w:sz w:val="18"/>
              </w:rPr>
              <w:t>komster som omfattas av kontrollerande övervakning där vilka alla relevanta biologiska kvalitets</w:t>
            </w:r>
            <w:r w:rsidR="00744D77">
              <w:rPr>
                <w:sz w:val="18"/>
              </w:rPr>
              <w:t>-</w:t>
            </w:r>
            <w:r>
              <w:rPr>
                <w:sz w:val="18"/>
              </w:rPr>
              <w:t>faktorer övervakas</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ytvattenförekomster som omfattas av kontrollerande övervakning där vilka alla relevanta biologiska kvalitetsfaktorer övervakas.</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8</w:t>
            </w:r>
          </w:p>
        </w:tc>
        <w:tc>
          <w:tcPr>
            <w:tcW w:w="1317" w:type="dxa"/>
          </w:tcPr>
          <w:p w:rsidR="000215C5" w:rsidRDefault="00703023">
            <w:pPr>
              <w:spacing w:after="0"/>
              <w:jc w:val="both"/>
              <w:rPr>
                <w:sz w:val="18"/>
                <w:szCs w:val="18"/>
              </w:rPr>
            </w:pPr>
            <w:r>
              <w:rPr>
                <w:sz w:val="18"/>
              </w:rPr>
              <w:t>Procentandel ytvattenföre</w:t>
            </w:r>
            <w:r w:rsidR="00744D77">
              <w:rPr>
                <w:sz w:val="18"/>
              </w:rPr>
              <w:t>-</w:t>
            </w:r>
            <w:r>
              <w:rPr>
                <w:sz w:val="18"/>
              </w:rPr>
              <w:t>komster som omfattas av operativ övervakning jämfört med antalet ytvattenföre</w:t>
            </w:r>
            <w:r w:rsidR="00744D77">
              <w:rPr>
                <w:sz w:val="18"/>
              </w:rPr>
              <w:t>-</w:t>
            </w:r>
            <w:r>
              <w:rPr>
                <w:sz w:val="18"/>
              </w:rPr>
              <w:t>komster med betydande påverkan</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ytvattenförekomster som omfattas av operativ övervakning jämfört med antalet ytvattenförekomster med betydande påverkan.</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9</w:t>
            </w:r>
          </w:p>
        </w:tc>
        <w:tc>
          <w:tcPr>
            <w:tcW w:w="1317" w:type="dxa"/>
          </w:tcPr>
          <w:p w:rsidR="000215C5" w:rsidRDefault="00703023">
            <w:pPr>
              <w:spacing w:after="0"/>
              <w:jc w:val="both"/>
              <w:rPr>
                <w:sz w:val="18"/>
                <w:szCs w:val="18"/>
              </w:rPr>
            </w:pPr>
            <w:r>
              <w:rPr>
                <w:sz w:val="18"/>
              </w:rPr>
              <w:t>Procentandel ytvattenföre</w:t>
            </w:r>
            <w:r w:rsidR="00744D77">
              <w:rPr>
                <w:sz w:val="18"/>
              </w:rPr>
              <w:t>-</w:t>
            </w:r>
            <w:r>
              <w:rPr>
                <w:sz w:val="18"/>
              </w:rPr>
              <w:t>komster som omfattas av operativ övervakning jämfört med totalt antal ytvattenföre</w:t>
            </w:r>
            <w:r w:rsidR="00744D77">
              <w:rPr>
                <w:sz w:val="18"/>
              </w:rPr>
              <w:t>-</w:t>
            </w:r>
            <w:r>
              <w:rPr>
                <w:sz w:val="18"/>
              </w:rPr>
              <w:t>komster som inte uppnår god ekologisk status</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ytvattenförekomster som omfattas av operativ övervakning jämfört med totalt antal ytvattenförekomster som inte uppnår god ekologisk status.</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 och på vattenförekomstnivå.</w:t>
            </w:r>
          </w:p>
        </w:tc>
        <w:tc>
          <w:tcPr>
            <w:tcW w:w="1795" w:type="dxa"/>
            <w:shd w:val="clear" w:color="auto" w:fill="auto"/>
          </w:tcPr>
          <w:p w:rsidR="000215C5" w:rsidRDefault="00703023">
            <w:pPr>
              <w:spacing w:after="0"/>
              <w:jc w:val="both"/>
              <w:rPr>
                <w:sz w:val="18"/>
                <w:szCs w:val="18"/>
              </w:rPr>
            </w:pPr>
            <w:r>
              <w:rPr>
                <w:sz w:val="18"/>
              </w:rPr>
              <w:t>Nej</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10</w:t>
            </w:r>
          </w:p>
        </w:tc>
        <w:tc>
          <w:tcPr>
            <w:tcW w:w="1317" w:type="dxa"/>
          </w:tcPr>
          <w:p w:rsidR="000215C5" w:rsidRDefault="00703023">
            <w:pPr>
              <w:spacing w:after="0"/>
              <w:jc w:val="both"/>
              <w:rPr>
                <w:sz w:val="18"/>
                <w:szCs w:val="18"/>
              </w:rPr>
            </w:pPr>
            <w:r>
              <w:rPr>
                <w:sz w:val="18"/>
              </w:rPr>
              <w:t xml:space="preserve">Antal operativa stationer i förhållande till </w:t>
            </w:r>
            <w:r w:rsidRPr="00744D77">
              <w:rPr>
                <w:sz w:val="18"/>
              </w:rPr>
              <w:t>medlems</w:t>
            </w:r>
            <w:r w:rsidR="00744D77" w:rsidRPr="00744D77">
              <w:rPr>
                <w:sz w:val="18"/>
              </w:rPr>
              <w:t>-</w:t>
            </w:r>
            <w:r w:rsidRPr="00744D77">
              <w:rPr>
                <w:sz w:val="18"/>
              </w:rPr>
              <w:t>statens befolknings</w:t>
            </w:r>
            <w:r w:rsidR="00744D77" w:rsidRPr="00744D77">
              <w:rPr>
                <w:sz w:val="18"/>
              </w:rPr>
              <w:t>-</w:t>
            </w:r>
            <w:r w:rsidRPr="00744D77">
              <w:rPr>
                <w:sz w:val="18"/>
              </w:rPr>
              <w:t>täthet</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Antal operativa övervakningsstationer i förhållande till medlemsstatens befolkningstäthet. Befolkningstäthet används som en indikator för omfattningen av eventuell påverkan av mänsklig verksamhet.</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11</w:t>
            </w:r>
          </w:p>
        </w:tc>
        <w:tc>
          <w:tcPr>
            <w:tcW w:w="1317" w:type="dxa"/>
          </w:tcPr>
          <w:p w:rsidR="000215C5" w:rsidRDefault="00703023">
            <w:pPr>
              <w:spacing w:after="0"/>
              <w:jc w:val="both"/>
              <w:rPr>
                <w:sz w:val="18"/>
                <w:szCs w:val="18"/>
              </w:rPr>
            </w:pPr>
            <w:r>
              <w:rPr>
                <w:sz w:val="18"/>
              </w:rPr>
              <w:t>Procentandel ytvattenföre</w:t>
            </w:r>
            <w:r w:rsidR="00744D77">
              <w:rPr>
                <w:sz w:val="18"/>
              </w:rPr>
              <w:t>-</w:t>
            </w:r>
            <w:r>
              <w:rPr>
                <w:sz w:val="18"/>
              </w:rPr>
              <w:t>komster som omfattas av kontrollerande övervakning där varje biologisk kvalitetsfaktor övervakas</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ytvattenförekomster som omfattas av operativ övervakning där fytoplankton, andra vattenväxter, makroinvertebrater och fisk övervakas.</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12</w:t>
            </w:r>
          </w:p>
        </w:tc>
        <w:tc>
          <w:tcPr>
            <w:tcW w:w="1317" w:type="dxa"/>
          </w:tcPr>
          <w:p w:rsidR="000215C5" w:rsidRDefault="00703023">
            <w:pPr>
              <w:spacing w:after="0"/>
              <w:jc w:val="both"/>
              <w:rPr>
                <w:sz w:val="18"/>
                <w:szCs w:val="18"/>
              </w:rPr>
            </w:pPr>
            <w:r>
              <w:rPr>
                <w:sz w:val="18"/>
              </w:rPr>
              <w:t>Procentandel ytvattenföre</w:t>
            </w:r>
            <w:r w:rsidR="00744D77">
              <w:rPr>
                <w:sz w:val="18"/>
              </w:rPr>
              <w:t>-</w:t>
            </w:r>
            <w:r>
              <w:rPr>
                <w:sz w:val="18"/>
              </w:rPr>
              <w:t>komster som övervakas och klassificeras (baserat på övervakning eller extrapolering) för kemisk status</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ytvattenförekomster som är klassificerade för kemisk status jämfört med procentandelen vattenförekomster som övervakas för prioriterade ämnen.</w:t>
            </w:r>
          </w:p>
        </w:tc>
        <w:tc>
          <w:tcPr>
            <w:tcW w:w="2268" w:type="dxa"/>
            <w:shd w:val="clear" w:color="auto" w:fill="auto"/>
          </w:tcPr>
          <w:p w:rsidR="000215C5" w:rsidRDefault="00703023">
            <w:pPr>
              <w:spacing w:after="0"/>
              <w:jc w:val="both"/>
              <w:rPr>
                <w:sz w:val="18"/>
                <w:szCs w:val="18"/>
              </w:rPr>
            </w:pPr>
            <w:r>
              <w:rPr>
                <w:sz w:val="18"/>
              </w:rPr>
              <w:t>Aggregering på grundval av den information som rapporteras på vattenförekomstnivå och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212"/>
        </w:trPr>
        <w:tc>
          <w:tcPr>
            <w:tcW w:w="445" w:type="dxa"/>
            <w:shd w:val="clear" w:color="auto" w:fill="auto"/>
          </w:tcPr>
          <w:p w:rsidR="000215C5" w:rsidRDefault="00703023">
            <w:pPr>
              <w:spacing w:after="0"/>
              <w:jc w:val="both"/>
              <w:rPr>
                <w:sz w:val="18"/>
                <w:szCs w:val="18"/>
              </w:rPr>
            </w:pPr>
            <w:r>
              <w:rPr>
                <w:sz w:val="18"/>
              </w:rPr>
              <w:t>13</w:t>
            </w:r>
          </w:p>
        </w:tc>
        <w:tc>
          <w:tcPr>
            <w:tcW w:w="1317" w:type="dxa"/>
          </w:tcPr>
          <w:p w:rsidR="000215C5" w:rsidRDefault="00703023">
            <w:pPr>
              <w:spacing w:after="0"/>
              <w:jc w:val="both"/>
              <w:rPr>
                <w:sz w:val="18"/>
                <w:szCs w:val="18"/>
              </w:rPr>
            </w:pPr>
            <w:r>
              <w:rPr>
                <w:sz w:val="18"/>
              </w:rPr>
              <w:t>Procentandel ytvattenföre</w:t>
            </w:r>
            <w:r w:rsidR="00744D77">
              <w:rPr>
                <w:sz w:val="18"/>
              </w:rPr>
              <w:t>-</w:t>
            </w:r>
            <w:r>
              <w:rPr>
                <w:sz w:val="18"/>
              </w:rPr>
              <w:t>komster där varje prioriterat ämne övervakas</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ytvattenförekomster där varje prioriterat ämne övervakas.</w:t>
            </w:r>
          </w:p>
        </w:tc>
        <w:tc>
          <w:tcPr>
            <w:tcW w:w="2268" w:type="dxa"/>
            <w:shd w:val="clear" w:color="auto" w:fill="auto"/>
          </w:tcPr>
          <w:p w:rsidR="000215C5" w:rsidRDefault="00703023">
            <w:pPr>
              <w:spacing w:after="0"/>
              <w:jc w:val="both"/>
              <w:rPr>
                <w:sz w:val="18"/>
                <w:szCs w:val="18"/>
              </w:rPr>
            </w:pPr>
            <w:r>
              <w:rPr>
                <w:sz w:val="18"/>
              </w:rPr>
              <w:t>Aggregering på grundval av den information som rapporteras på vattenförekomstnivå och nivån för övervakningsstationer.</w:t>
            </w:r>
          </w:p>
        </w:tc>
        <w:tc>
          <w:tcPr>
            <w:tcW w:w="1795" w:type="dxa"/>
            <w:shd w:val="clear" w:color="auto" w:fill="auto"/>
          </w:tcPr>
          <w:p w:rsidR="000215C5" w:rsidRDefault="00703023">
            <w:pPr>
              <w:spacing w:after="0"/>
              <w:jc w:val="both"/>
              <w:rPr>
                <w:sz w:val="18"/>
                <w:szCs w:val="18"/>
              </w:rPr>
            </w:pPr>
            <w:r>
              <w:rPr>
                <w:sz w:val="18"/>
              </w:rPr>
              <w:t>Ej möjligt att ta fram (övervakningen av individuella prioriterade ämnen var frivillig; infor</w:t>
            </w:r>
            <w:r w:rsidR="00744D77">
              <w:rPr>
                <w:sz w:val="18"/>
              </w:rPr>
              <w:t>-</w:t>
            </w:r>
            <w:r>
              <w:rPr>
                <w:sz w:val="18"/>
              </w:rPr>
              <w:t>mationen var i många fall inte tillgänglig i förvaltningsplanen eller bakgrunds</w:t>
            </w:r>
            <w:r w:rsidR="00744D77">
              <w:rPr>
                <w:sz w:val="18"/>
              </w:rPr>
              <w:t>-</w:t>
            </w:r>
            <w:r>
              <w:rPr>
                <w:sz w:val="18"/>
              </w:rPr>
              <w:t>dokumenten; generellt mycket dålig rapportering av kemisk status p.g.a. luckor i genomförandet).</w:t>
            </w:r>
          </w:p>
        </w:tc>
      </w:tr>
      <w:tr w:rsidR="000215C5" w:rsidTr="00744D77">
        <w:trPr>
          <w:cantSplit/>
          <w:trHeight w:val="4"/>
        </w:trPr>
        <w:tc>
          <w:tcPr>
            <w:tcW w:w="445" w:type="dxa"/>
            <w:shd w:val="clear" w:color="auto" w:fill="auto"/>
          </w:tcPr>
          <w:p w:rsidR="000215C5" w:rsidRDefault="00703023">
            <w:pPr>
              <w:spacing w:after="0"/>
              <w:jc w:val="both"/>
              <w:rPr>
                <w:sz w:val="18"/>
                <w:szCs w:val="18"/>
              </w:rPr>
            </w:pPr>
            <w:r>
              <w:rPr>
                <w:sz w:val="18"/>
              </w:rPr>
              <w:t>14</w:t>
            </w:r>
          </w:p>
        </w:tc>
        <w:tc>
          <w:tcPr>
            <w:tcW w:w="1317" w:type="dxa"/>
          </w:tcPr>
          <w:p w:rsidR="000215C5" w:rsidRDefault="00703023">
            <w:pPr>
              <w:spacing w:after="0"/>
              <w:jc w:val="both"/>
              <w:rPr>
                <w:sz w:val="18"/>
                <w:szCs w:val="18"/>
              </w:rPr>
            </w:pPr>
            <w:r>
              <w:rPr>
                <w:sz w:val="18"/>
              </w:rPr>
              <w:t>Antal övervaknings</w:t>
            </w:r>
            <w:r w:rsidR="00744D77">
              <w:rPr>
                <w:sz w:val="18"/>
              </w:rPr>
              <w:t>-</w:t>
            </w:r>
            <w:r>
              <w:rPr>
                <w:sz w:val="18"/>
              </w:rPr>
              <w:t>stationer för ytvattenföre</w:t>
            </w:r>
            <w:r w:rsidR="00744D77">
              <w:rPr>
                <w:sz w:val="18"/>
              </w:rPr>
              <w:t>-</w:t>
            </w:r>
            <w:r>
              <w:rPr>
                <w:sz w:val="18"/>
              </w:rPr>
              <w:t>komster per prioriterat ämne</w:t>
            </w:r>
          </w:p>
        </w:tc>
        <w:tc>
          <w:tcPr>
            <w:tcW w:w="810" w:type="dxa"/>
            <w:shd w:val="clear" w:color="auto" w:fill="auto"/>
          </w:tcPr>
          <w:p w:rsidR="000215C5" w:rsidRDefault="00703023">
            <w:pPr>
              <w:spacing w:after="0"/>
              <w:jc w:val="both"/>
              <w:rPr>
                <w:sz w:val="18"/>
                <w:szCs w:val="18"/>
              </w:rPr>
            </w:pPr>
            <w:r>
              <w:rPr>
                <w:sz w:val="18"/>
              </w:rPr>
              <w:t>Diagram eller tabell</w:t>
            </w:r>
          </w:p>
        </w:tc>
        <w:tc>
          <w:tcPr>
            <w:tcW w:w="900" w:type="dxa"/>
            <w:shd w:val="clear" w:color="auto" w:fill="auto"/>
          </w:tcPr>
          <w:p w:rsidR="000215C5" w:rsidRDefault="00703023">
            <w:pPr>
              <w:spacing w:after="0"/>
              <w:jc w:val="both"/>
              <w:rPr>
                <w:sz w:val="18"/>
                <w:szCs w:val="18"/>
              </w:rPr>
            </w:pPr>
            <w:r>
              <w:rPr>
                <w:sz w:val="18"/>
              </w:rPr>
              <w:t>EU/MS/RBD/SU</w:t>
            </w:r>
          </w:p>
        </w:tc>
        <w:tc>
          <w:tcPr>
            <w:tcW w:w="2057" w:type="dxa"/>
            <w:shd w:val="clear" w:color="auto" w:fill="auto"/>
          </w:tcPr>
          <w:p w:rsidR="000215C5" w:rsidRDefault="00703023">
            <w:pPr>
              <w:spacing w:after="0"/>
              <w:jc w:val="both"/>
              <w:rPr>
                <w:sz w:val="18"/>
                <w:szCs w:val="18"/>
              </w:rPr>
            </w:pPr>
            <w:r>
              <w:rPr>
                <w:sz w:val="18"/>
              </w:rPr>
              <w:t>Antal övervakningsstationer per prioriterat ämne, differentieringsmatris och ändamål (status och trend).</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Nej</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15</w:t>
            </w:r>
          </w:p>
        </w:tc>
        <w:tc>
          <w:tcPr>
            <w:tcW w:w="1317" w:type="dxa"/>
          </w:tcPr>
          <w:p w:rsidR="000215C5" w:rsidRDefault="00703023">
            <w:pPr>
              <w:spacing w:after="0"/>
              <w:jc w:val="both"/>
              <w:rPr>
                <w:sz w:val="18"/>
                <w:szCs w:val="18"/>
              </w:rPr>
            </w:pPr>
            <w:r>
              <w:rPr>
                <w:sz w:val="18"/>
              </w:rPr>
              <w:t>Antal prioriterade ämnen med tillförlitlig kontrollerande övervakning och/eller operativ övervakning</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Antal prioriterade ämnen som rapporteras enligt resultatkraven i direktivet om tekniska specifikationer och standardmetoder i kontrollerande och/eller operativ övervakning.</w:t>
            </w:r>
          </w:p>
        </w:tc>
        <w:tc>
          <w:tcPr>
            <w:tcW w:w="2268" w:type="dxa"/>
            <w:shd w:val="clear" w:color="auto" w:fill="auto"/>
          </w:tcPr>
          <w:p w:rsidR="000215C5" w:rsidRDefault="00703023">
            <w:pPr>
              <w:spacing w:after="0"/>
              <w:jc w:val="both"/>
              <w:rPr>
                <w:sz w:val="18"/>
                <w:szCs w:val="18"/>
              </w:rPr>
            </w:pPr>
            <w:r>
              <w:rPr>
                <w:sz w:val="18"/>
              </w:rPr>
              <w:t>Aggregering av information som rapporteras för avrinningsdistriktet.</w:t>
            </w:r>
          </w:p>
        </w:tc>
        <w:tc>
          <w:tcPr>
            <w:tcW w:w="1795" w:type="dxa"/>
            <w:shd w:val="clear" w:color="auto" w:fill="auto"/>
          </w:tcPr>
          <w:p w:rsidR="000215C5" w:rsidRDefault="00703023">
            <w:pPr>
              <w:spacing w:after="0"/>
              <w:jc w:val="both"/>
              <w:rPr>
                <w:sz w:val="18"/>
                <w:szCs w:val="18"/>
              </w:rPr>
            </w:pPr>
            <w:r>
              <w:rPr>
                <w:sz w:val="18"/>
              </w:rPr>
              <w:t>Ej möjligt att ta fram (den nödvändiga informationen om genomförandet av direktivet om tekniska specifikationer och standardmetoder ingick inte i rapporteringskraven eftersom det inte genomförts ännu).</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16</w:t>
            </w:r>
          </w:p>
        </w:tc>
        <w:tc>
          <w:tcPr>
            <w:tcW w:w="1317" w:type="dxa"/>
          </w:tcPr>
          <w:p w:rsidR="000215C5" w:rsidRDefault="00703023">
            <w:pPr>
              <w:spacing w:after="0"/>
              <w:jc w:val="both"/>
              <w:rPr>
                <w:sz w:val="18"/>
                <w:szCs w:val="18"/>
              </w:rPr>
            </w:pPr>
            <w:r>
              <w:rPr>
                <w:sz w:val="18"/>
              </w:rPr>
              <w:t>Prioriterade ämnen som omfattas av trendövervakning i sediment</w:t>
            </w:r>
          </w:p>
        </w:tc>
        <w:tc>
          <w:tcPr>
            <w:tcW w:w="810" w:type="dxa"/>
            <w:shd w:val="clear" w:color="auto" w:fill="auto"/>
          </w:tcPr>
          <w:p w:rsidR="000215C5" w:rsidRDefault="00703023">
            <w:pPr>
              <w:spacing w:after="0"/>
              <w:jc w:val="both"/>
              <w:rPr>
                <w:sz w:val="18"/>
                <w:szCs w:val="18"/>
              </w:rPr>
            </w:pPr>
            <w:r>
              <w:rPr>
                <w:sz w:val="18"/>
              </w:rPr>
              <w:t>Tabell</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Prioriterade ämnen som omfattas av trendövervakning i sediment.</w:t>
            </w:r>
          </w:p>
        </w:tc>
        <w:tc>
          <w:tcPr>
            <w:tcW w:w="2268" w:type="dxa"/>
            <w:shd w:val="clear" w:color="auto" w:fill="auto"/>
          </w:tcPr>
          <w:p w:rsidR="000215C5" w:rsidRDefault="00703023">
            <w:pPr>
              <w:spacing w:after="0"/>
              <w:jc w:val="both"/>
              <w:rPr>
                <w:sz w:val="18"/>
                <w:szCs w:val="18"/>
              </w:rPr>
            </w:pPr>
            <w:r>
              <w:rPr>
                <w:sz w:val="18"/>
              </w:rPr>
              <w:t>Aggregering av information som rapporteras på vattenförekomstnivå.</w:t>
            </w:r>
          </w:p>
        </w:tc>
        <w:tc>
          <w:tcPr>
            <w:tcW w:w="1795" w:type="dxa"/>
            <w:shd w:val="clear" w:color="auto" w:fill="auto"/>
          </w:tcPr>
          <w:p w:rsidR="000215C5" w:rsidRDefault="00703023">
            <w:pPr>
              <w:spacing w:after="0"/>
              <w:jc w:val="both"/>
              <w:rPr>
                <w:sz w:val="18"/>
                <w:szCs w:val="18"/>
              </w:rPr>
            </w:pPr>
            <w:r>
              <w:rPr>
                <w:sz w:val="18"/>
              </w:rPr>
              <w:t>Ej möjligt att ta fram (den nödvändiga informationen ingick inte i rapporteringskraven).</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17</w:t>
            </w:r>
          </w:p>
        </w:tc>
        <w:tc>
          <w:tcPr>
            <w:tcW w:w="1317" w:type="dxa"/>
          </w:tcPr>
          <w:p w:rsidR="000215C5" w:rsidRDefault="00703023">
            <w:pPr>
              <w:spacing w:after="0"/>
              <w:jc w:val="both"/>
              <w:rPr>
                <w:sz w:val="18"/>
                <w:szCs w:val="18"/>
              </w:rPr>
            </w:pPr>
            <w:r>
              <w:rPr>
                <w:sz w:val="18"/>
              </w:rPr>
              <w:t>Prioriterade ämnen som omfattas av trendövervakning i biota</w:t>
            </w:r>
          </w:p>
        </w:tc>
        <w:tc>
          <w:tcPr>
            <w:tcW w:w="810" w:type="dxa"/>
            <w:shd w:val="clear" w:color="auto" w:fill="auto"/>
          </w:tcPr>
          <w:p w:rsidR="000215C5" w:rsidRDefault="00703023">
            <w:pPr>
              <w:spacing w:after="0"/>
              <w:jc w:val="both"/>
              <w:rPr>
                <w:sz w:val="18"/>
                <w:szCs w:val="18"/>
              </w:rPr>
            </w:pPr>
            <w:r>
              <w:rPr>
                <w:sz w:val="18"/>
              </w:rPr>
              <w:t>Tabell</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Prioriterade ämnen som omfattas av trendövervakning i biota (per medlemsstat).</w:t>
            </w:r>
          </w:p>
        </w:tc>
        <w:tc>
          <w:tcPr>
            <w:tcW w:w="2268" w:type="dxa"/>
            <w:shd w:val="clear" w:color="auto" w:fill="auto"/>
          </w:tcPr>
          <w:p w:rsidR="000215C5" w:rsidRDefault="00703023">
            <w:pPr>
              <w:spacing w:after="0"/>
              <w:jc w:val="both"/>
              <w:rPr>
                <w:sz w:val="18"/>
                <w:szCs w:val="18"/>
              </w:rPr>
            </w:pPr>
            <w:r>
              <w:rPr>
                <w:sz w:val="18"/>
              </w:rPr>
              <w:t>Aggregering av information som rapporteras på vattenförekomstnivå.</w:t>
            </w:r>
          </w:p>
        </w:tc>
        <w:tc>
          <w:tcPr>
            <w:tcW w:w="1795" w:type="dxa"/>
            <w:shd w:val="clear" w:color="auto" w:fill="auto"/>
          </w:tcPr>
          <w:p w:rsidR="000215C5" w:rsidRDefault="00703023">
            <w:pPr>
              <w:spacing w:after="0"/>
              <w:jc w:val="both"/>
              <w:rPr>
                <w:sz w:val="18"/>
                <w:szCs w:val="18"/>
              </w:rPr>
            </w:pPr>
            <w:r>
              <w:rPr>
                <w:sz w:val="18"/>
              </w:rPr>
              <w:t>Ej möjligt att ta fram (den nödvändiga informationen ingick inte i rapporteringskraven).</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18</w:t>
            </w:r>
          </w:p>
        </w:tc>
        <w:tc>
          <w:tcPr>
            <w:tcW w:w="1317" w:type="dxa"/>
          </w:tcPr>
          <w:p w:rsidR="000215C5" w:rsidRDefault="00703023">
            <w:pPr>
              <w:spacing w:after="0"/>
              <w:jc w:val="both"/>
              <w:rPr>
                <w:sz w:val="18"/>
                <w:szCs w:val="18"/>
              </w:rPr>
            </w:pPr>
            <w:r>
              <w:rPr>
                <w:sz w:val="18"/>
              </w:rPr>
              <w:t>Prioriterade ämnen som visar en uppåtgående trend i biota eller sediment</w:t>
            </w:r>
          </w:p>
        </w:tc>
        <w:tc>
          <w:tcPr>
            <w:tcW w:w="810" w:type="dxa"/>
            <w:shd w:val="clear" w:color="auto" w:fill="auto"/>
          </w:tcPr>
          <w:p w:rsidR="000215C5" w:rsidRDefault="00703023">
            <w:pPr>
              <w:spacing w:after="0"/>
              <w:jc w:val="both"/>
              <w:rPr>
                <w:sz w:val="18"/>
                <w:szCs w:val="18"/>
              </w:rPr>
            </w:pPr>
            <w:r>
              <w:rPr>
                <w:sz w:val="18"/>
              </w:rPr>
              <w:t>Tabell</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Prioriterade ämnen som visar en uppåtgående trend i biota eller sediment, med matris</w:t>
            </w:r>
          </w:p>
        </w:tc>
        <w:tc>
          <w:tcPr>
            <w:tcW w:w="2268" w:type="dxa"/>
            <w:shd w:val="clear" w:color="auto" w:fill="auto"/>
          </w:tcPr>
          <w:p w:rsidR="000215C5" w:rsidRDefault="00703023">
            <w:pPr>
              <w:spacing w:after="0"/>
              <w:jc w:val="both"/>
              <w:rPr>
                <w:sz w:val="18"/>
                <w:szCs w:val="18"/>
              </w:rPr>
            </w:pPr>
            <w:r>
              <w:rPr>
                <w:sz w:val="18"/>
              </w:rPr>
              <w:t>Aggregering av information som rapporteras på vattenförekomstnivå.</w:t>
            </w:r>
          </w:p>
        </w:tc>
        <w:tc>
          <w:tcPr>
            <w:tcW w:w="1795" w:type="dxa"/>
            <w:shd w:val="clear" w:color="auto" w:fill="auto"/>
          </w:tcPr>
          <w:p w:rsidR="000215C5" w:rsidRDefault="00703023">
            <w:pPr>
              <w:spacing w:after="0"/>
              <w:jc w:val="both"/>
              <w:rPr>
                <w:sz w:val="18"/>
                <w:szCs w:val="18"/>
              </w:rPr>
            </w:pPr>
            <w:r>
              <w:rPr>
                <w:sz w:val="18"/>
              </w:rPr>
              <w:t>Ej möjligt att ta fram (den nödvändiga informationen ingick inte i rapporteringskraven).</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19</w:t>
            </w:r>
          </w:p>
        </w:tc>
        <w:tc>
          <w:tcPr>
            <w:tcW w:w="1317" w:type="dxa"/>
          </w:tcPr>
          <w:p w:rsidR="000215C5" w:rsidRDefault="00703023">
            <w:pPr>
              <w:spacing w:after="0"/>
              <w:jc w:val="both"/>
              <w:rPr>
                <w:sz w:val="18"/>
                <w:szCs w:val="18"/>
              </w:rPr>
            </w:pPr>
            <w:r>
              <w:rPr>
                <w:sz w:val="18"/>
              </w:rPr>
              <w:t>Övervakningsstationer för grundvatten</w:t>
            </w:r>
          </w:p>
        </w:tc>
        <w:tc>
          <w:tcPr>
            <w:tcW w:w="810" w:type="dxa"/>
            <w:shd w:val="clear" w:color="auto" w:fill="auto"/>
          </w:tcPr>
          <w:p w:rsidR="000215C5" w:rsidRDefault="00703023">
            <w:pPr>
              <w:spacing w:after="0"/>
              <w:jc w:val="both"/>
              <w:rPr>
                <w:sz w:val="18"/>
                <w:szCs w:val="18"/>
              </w:rPr>
            </w:pPr>
            <w:r>
              <w:rPr>
                <w:sz w:val="18"/>
              </w:rPr>
              <w:t>Karta</w:t>
            </w:r>
          </w:p>
        </w:tc>
        <w:tc>
          <w:tcPr>
            <w:tcW w:w="900" w:type="dxa"/>
            <w:shd w:val="clear" w:color="auto" w:fill="auto"/>
          </w:tcPr>
          <w:p w:rsidR="000215C5" w:rsidRDefault="00703023">
            <w:pPr>
              <w:spacing w:after="0"/>
              <w:jc w:val="both"/>
              <w:rPr>
                <w:sz w:val="18"/>
                <w:szCs w:val="18"/>
              </w:rPr>
            </w:pPr>
            <w:r>
              <w:rPr>
                <w:sz w:val="18"/>
              </w:rPr>
              <w:t>Station</w:t>
            </w:r>
          </w:p>
        </w:tc>
        <w:tc>
          <w:tcPr>
            <w:tcW w:w="2057" w:type="dxa"/>
            <w:shd w:val="clear" w:color="auto" w:fill="auto"/>
          </w:tcPr>
          <w:p w:rsidR="000215C5" w:rsidRDefault="00703023">
            <w:pPr>
              <w:spacing w:after="0"/>
              <w:jc w:val="both"/>
              <w:rPr>
                <w:sz w:val="18"/>
                <w:szCs w:val="18"/>
              </w:rPr>
            </w:pPr>
            <w:r>
              <w:rPr>
                <w:sz w:val="18"/>
              </w:rPr>
              <w:t>Karta över övervakningsstationer för grundvatten för kvantitativ och kemisk övervakning.</w:t>
            </w:r>
          </w:p>
        </w:tc>
        <w:tc>
          <w:tcPr>
            <w:tcW w:w="2268" w:type="dxa"/>
            <w:shd w:val="clear" w:color="auto" w:fill="auto"/>
          </w:tcPr>
          <w:p w:rsidR="000215C5" w:rsidRDefault="00703023">
            <w:pPr>
              <w:spacing w:after="0"/>
              <w:jc w:val="both"/>
              <w:rPr>
                <w:sz w:val="18"/>
                <w:szCs w:val="18"/>
              </w:rPr>
            </w:pPr>
            <w:r>
              <w:rPr>
                <w:sz w:val="18"/>
              </w:rPr>
              <w:t>Geografiskt lokalisering för de rapporterade övervakningsstationerna.</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20</w:t>
            </w:r>
          </w:p>
        </w:tc>
        <w:tc>
          <w:tcPr>
            <w:tcW w:w="1317" w:type="dxa"/>
          </w:tcPr>
          <w:p w:rsidR="000215C5" w:rsidRDefault="00703023">
            <w:pPr>
              <w:spacing w:after="0"/>
              <w:jc w:val="both"/>
              <w:rPr>
                <w:sz w:val="18"/>
                <w:szCs w:val="18"/>
              </w:rPr>
            </w:pPr>
            <w:r>
              <w:rPr>
                <w:sz w:val="18"/>
              </w:rPr>
              <w:t>Antal övervakningsstationer för kvantitativ och kemisk övervakning av grundvatten</w:t>
            </w:r>
          </w:p>
        </w:tc>
        <w:tc>
          <w:tcPr>
            <w:tcW w:w="810" w:type="dxa"/>
            <w:shd w:val="clear" w:color="auto" w:fill="auto"/>
          </w:tcPr>
          <w:p w:rsidR="000215C5" w:rsidRDefault="00703023">
            <w:pPr>
              <w:spacing w:after="0"/>
              <w:jc w:val="both"/>
              <w:rPr>
                <w:sz w:val="18"/>
                <w:szCs w:val="18"/>
              </w:rPr>
            </w:pPr>
            <w:r>
              <w:rPr>
                <w:sz w:val="18"/>
              </w:rPr>
              <w:t xml:space="preserve">Diagram </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Antal övervakningsstationer för kvantitativ och kemisk övervakning av grundvatten.</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21</w:t>
            </w:r>
          </w:p>
        </w:tc>
        <w:tc>
          <w:tcPr>
            <w:tcW w:w="1317" w:type="dxa"/>
          </w:tcPr>
          <w:p w:rsidR="000215C5" w:rsidRDefault="00703023">
            <w:pPr>
              <w:spacing w:after="0"/>
              <w:jc w:val="both"/>
              <w:rPr>
                <w:sz w:val="18"/>
                <w:szCs w:val="18"/>
              </w:rPr>
            </w:pPr>
            <w:r>
              <w:rPr>
                <w:sz w:val="18"/>
              </w:rPr>
              <w:t>Täthet mellan övervakningsstationer för grundvatten för kvantitativ och kemisk övervakning</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Antal övervakningsstationer för grundvatten per 1 000 km</w:t>
            </w:r>
            <w:r>
              <w:rPr>
                <w:sz w:val="18"/>
                <w:vertAlign w:val="superscript"/>
              </w:rPr>
              <w:t>2</w:t>
            </w:r>
            <w:r>
              <w:rPr>
                <w:sz w:val="18"/>
              </w:rPr>
              <w:t xml:space="preserve"> grundvattenyta för kvantitativ och kemisk övervakning.</w:t>
            </w:r>
          </w:p>
        </w:tc>
        <w:tc>
          <w:tcPr>
            <w:tcW w:w="2268" w:type="dxa"/>
            <w:shd w:val="clear" w:color="auto" w:fill="auto"/>
          </w:tcPr>
          <w:p w:rsidR="000215C5" w:rsidRDefault="00703023">
            <w:pPr>
              <w:spacing w:after="0"/>
              <w:jc w:val="both"/>
              <w:rPr>
                <w:sz w:val="18"/>
                <w:szCs w:val="18"/>
              </w:rPr>
            </w:pPr>
            <w:r>
              <w:rPr>
                <w:sz w:val="18"/>
              </w:rPr>
              <w:t>Aggregering på grundval av den information som rapporteras på nivån för övervakningsstationer samt total yta för avrinningsdistriktet.</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22</w:t>
            </w:r>
          </w:p>
        </w:tc>
        <w:tc>
          <w:tcPr>
            <w:tcW w:w="1317" w:type="dxa"/>
          </w:tcPr>
          <w:p w:rsidR="000215C5" w:rsidRDefault="00703023">
            <w:pPr>
              <w:spacing w:after="0"/>
              <w:jc w:val="both"/>
              <w:rPr>
                <w:sz w:val="18"/>
                <w:szCs w:val="18"/>
              </w:rPr>
            </w:pPr>
            <w:r>
              <w:rPr>
                <w:sz w:val="18"/>
              </w:rPr>
              <w:t>Procentandel grundvattenförekomster som omfattas av kvantitativ övervakning</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grundvattenförekomster som omfattas av kvantitativ övervakning.</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23</w:t>
            </w:r>
          </w:p>
        </w:tc>
        <w:tc>
          <w:tcPr>
            <w:tcW w:w="1317" w:type="dxa"/>
          </w:tcPr>
          <w:p w:rsidR="000215C5" w:rsidRDefault="00703023">
            <w:pPr>
              <w:spacing w:after="0"/>
              <w:jc w:val="both"/>
              <w:rPr>
                <w:sz w:val="18"/>
                <w:szCs w:val="18"/>
              </w:rPr>
            </w:pPr>
            <w:r>
              <w:rPr>
                <w:sz w:val="18"/>
              </w:rPr>
              <w:t>Antal övervakningsstationer per grundvattenförekomst för kvantitativ övervakning</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EU</w:t>
            </w:r>
          </w:p>
        </w:tc>
        <w:tc>
          <w:tcPr>
            <w:tcW w:w="2057" w:type="dxa"/>
            <w:shd w:val="clear" w:color="auto" w:fill="auto"/>
          </w:tcPr>
          <w:p w:rsidR="000215C5" w:rsidRDefault="00703023">
            <w:pPr>
              <w:spacing w:after="0"/>
              <w:jc w:val="both"/>
              <w:rPr>
                <w:sz w:val="18"/>
                <w:szCs w:val="18"/>
              </w:rPr>
            </w:pPr>
            <w:r>
              <w:rPr>
                <w:sz w:val="18"/>
              </w:rPr>
              <w:t>Antal grundvattenförekomster med 0, 1, 2–5, 6–10, 11 och fler övervakningsstationer för kvantitativ övervakning.</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24</w:t>
            </w:r>
          </w:p>
        </w:tc>
        <w:tc>
          <w:tcPr>
            <w:tcW w:w="1317" w:type="dxa"/>
          </w:tcPr>
          <w:p w:rsidR="000215C5" w:rsidRDefault="00703023">
            <w:pPr>
              <w:spacing w:after="0"/>
              <w:jc w:val="both"/>
              <w:rPr>
                <w:sz w:val="18"/>
                <w:szCs w:val="18"/>
              </w:rPr>
            </w:pPr>
            <w:r>
              <w:rPr>
                <w:sz w:val="18"/>
              </w:rPr>
              <w:t>Procentandel grundvattenförekomster som omfattas av kemisk kontrollerande övervakning</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grundvattenförekomster som omfattas av kemisk kontrollerande övervakning.</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25</w:t>
            </w:r>
          </w:p>
        </w:tc>
        <w:tc>
          <w:tcPr>
            <w:tcW w:w="1317" w:type="dxa"/>
          </w:tcPr>
          <w:p w:rsidR="000215C5" w:rsidRDefault="00703023">
            <w:pPr>
              <w:spacing w:after="0"/>
              <w:jc w:val="both"/>
              <w:rPr>
                <w:sz w:val="18"/>
                <w:szCs w:val="18"/>
              </w:rPr>
            </w:pPr>
            <w:r>
              <w:rPr>
                <w:sz w:val="18"/>
              </w:rPr>
              <w:t>Grundvattenförekomster som omfattas av kemisk kontrollerande övervakning där samtliga grundparametrar övervakas</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grundvattenförekomster som omfattas av kemisk kontrollerande övervakning där samtliga grundparametrar övervakas.</w:t>
            </w:r>
          </w:p>
        </w:tc>
        <w:tc>
          <w:tcPr>
            <w:tcW w:w="2268" w:type="dxa"/>
            <w:shd w:val="clear" w:color="auto" w:fill="auto"/>
          </w:tcPr>
          <w:p w:rsidR="000215C5" w:rsidRDefault="00703023">
            <w:pPr>
              <w:spacing w:after="0"/>
              <w:jc w:val="both"/>
              <w:rPr>
                <w:sz w:val="18"/>
                <w:szCs w:val="18"/>
              </w:rPr>
            </w:pPr>
            <w:r>
              <w:rPr>
                <w:sz w:val="18"/>
              </w:rPr>
              <w:t>Aggregering på grundval av den information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26</w:t>
            </w:r>
          </w:p>
        </w:tc>
        <w:tc>
          <w:tcPr>
            <w:tcW w:w="1317" w:type="dxa"/>
          </w:tcPr>
          <w:p w:rsidR="000215C5" w:rsidRDefault="00703023">
            <w:pPr>
              <w:spacing w:after="0"/>
              <w:jc w:val="both"/>
              <w:rPr>
                <w:sz w:val="18"/>
                <w:szCs w:val="18"/>
              </w:rPr>
            </w:pPr>
            <w:r>
              <w:rPr>
                <w:sz w:val="18"/>
              </w:rPr>
              <w:t>Procentandel grundvattenförekomster som omfattas av kemisk operativ övervakning</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Procentandel grundvattenförekomster som omfattas av kemisk operativ övervakning.</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27</w:t>
            </w:r>
          </w:p>
        </w:tc>
        <w:tc>
          <w:tcPr>
            <w:tcW w:w="1317" w:type="dxa"/>
          </w:tcPr>
          <w:p w:rsidR="000215C5" w:rsidRDefault="00703023">
            <w:pPr>
              <w:spacing w:after="0"/>
              <w:jc w:val="both"/>
              <w:rPr>
                <w:sz w:val="18"/>
                <w:szCs w:val="18"/>
              </w:rPr>
            </w:pPr>
            <w:r>
              <w:rPr>
                <w:sz w:val="18"/>
              </w:rPr>
              <w:t>Relativt antal grundvattenförekomster som omfattas av operativ övervakning samt antal grundvattenförekomster med betydande påverkan</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MS</w:t>
            </w:r>
          </w:p>
        </w:tc>
        <w:tc>
          <w:tcPr>
            <w:tcW w:w="2057" w:type="dxa"/>
            <w:shd w:val="clear" w:color="auto" w:fill="auto"/>
          </w:tcPr>
          <w:p w:rsidR="000215C5" w:rsidRDefault="00703023">
            <w:pPr>
              <w:spacing w:after="0"/>
              <w:jc w:val="both"/>
              <w:rPr>
                <w:sz w:val="18"/>
                <w:szCs w:val="18"/>
              </w:rPr>
            </w:pPr>
            <w:r>
              <w:rPr>
                <w:sz w:val="18"/>
              </w:rPr>
              <w:t>Relativt antal grundvattenförekomster som omfattas av operativ övervakning samt antal grundvattenförekomster med betydande påverkan.</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8"/>
        </w:trPr>
        <w:tc>
          <w:tcPr>
            <w:tcW w:w="445" w:type="dxa"/>
            <w:shd w:val="clear" w:color="auto" w:fill="auto"/>
          </w:tcPr>
          <w:p w:rsidR="000215C5" w:rsidRDefault="00703023">
            <w:pPr>
              <w:spacing w:after="0"/>
              <w:jc w:val="both"/>
              <w:rPr>
                <w:sz w:val="18"/>
                <w:szCs w:val="18"/>
              </w:rPr>
            </w:pPr>
            <w:r>
              <w:rPr>
                <w:sz w:val="18"/>
              </w:rPr>
              <w:t>28</w:t>
            </w:r>
          </w:p>
        </w:tc>
        <w:tc>
          <w:tcPr>
            <w:tcW w:w="1317" w:type="dxa"/>
          </w:tcPr>
          <w:p w:rsidR="000215C5" w:rsidRDefault="00703023">
            <w:pPr>
              <w:spacing w:after="0"/>
              <w:jc w:val="both"/>
              <w:rPr>
                <w:sz w:val="18"/>
                <w:szCs w:val="18"/>
              </w:rPr>
            </w:pPr>
            <w:r>
              <w:rPr>
                <w:sz w:val="18"/>
              </w:rPr>
              <w:t>Antal övervakningsstationer per grundvattenförekomst för kemisk övervakning</w:t>
            </w:r>
          </w:p>
        </w:tc>
        <w:tc>
          <w:tcPr>
            <w:tcW w:w="810" w:type="dxa"/>
            <w:shd w:val="clear" w:color="auto" w:fill="auto"/>
          </w:tcPr>
          <w:p w:rsidR="000215C5" w:rsidRDefault="00703023">
            <w:pPr>
              <w:spacing w:after="0"/>
              <w:jc w:val="both"/>
              <w:rPr>
                <w:sz w:val="18"/>
                <w:szCs w:val="18"/>
              </w:rPr>
            </w:pPr>
            <w:r>
              <w:rPr>
                <w:sz w:val="18"/>
              </w:rPr>
              <w:t>Diagram</w:t>
            </w:r>
          </w:p>
        </w:tc>
        <w:tc>
          <w:tcPr>
            <w:tcW w:w="900" w:type="dxa"/>
            <w:shd w:val="clear" w:color="auto" w:fill="auto"/>
          </w:tcPr>
          <w:p w:rsidR="000215C5" w:rsidRDefault="00703023">
            <w:pPr>
              <w:spacing w:after="0"/>
              <w:jc w:val="both"/>
              <w:rPr>
                <w:sz w:val="18"/>
                <w:szCs w:val="18"/>
              </w:rPr>
            </w:pPr>
            <w:r>
              <w:rPr>
                <w:sz w:val="18"/>
              </w:rPr>
              <w:t>EU</w:t>
            </w:r>
          </w:p>
        </w:tc>
        <w:tc>
          <w:tcPr>
            <w:tcW w:w="2057" w:type="dxa"/>
            <w:shd w:val="clear" w:color="auto" w:fill="auto"/>
          </w:tcPr>
          <w:p w:rsidR="000215C5" w:rsidRDefault="00703023">
            <w:pPr>
              <w:spacing w:after="0"/>
              <w:jc w:val="both"/>
              <w:rPr>
                <w:sz w:val="18"/>
                <w:szCs w:val="18"/>
              </w:rPr>
            </w:pPr>
            <w:r>
              <w:rPr>
                <w:sz w:val="18"/>
              </w:rPr>
              <w:t>Antal grundvattenförekomster med 0, 1, 2–5, 6–10, 11 och fler övervakningsstationer för kemisk övervakning.</w:t>
            </w:r>
          </w:p>
        </w:tc>
        <w:tc>
          <w:tcPr>
            <w:tcW w:w="2268" w:type="dxa"/>
            <w:shd w:val="clear" w:color="auto" w:fill="auto"/>
          </w:tcPr>
          <w:p w:rsidR="000215C5" w:rsidRDefault="00703023">
            <w:pPr>
              <w:spacing w:after="0"/>
              <w:jc w:val="both"/>
              <w:rPr>
                <w:sz w:val="18"/>
                <w:szCs w:val="18"/>
              </w:rPr>
            </w:pPr>
            <w:r>
              <w:rPr>
                <w:sz w:val="18"/>
              </w:rPr>
              <w:t>Aggregering på grundval av den information om vattenförekomster som rapporteras på nivån för övervakningsstationer.</w:t>
            </w:r>
          </w:p>
        </w:tc>
        <w:tc>
          <w:tcPr>
            <w:tcW w:w="1795" w:type="dxa"/>
            <w:shd w:val="clear" w:color="auto" w:fill="auto"/>
          </w:tcPr>
          <w:p w:rsidR="000215C5" w:rsidRDefault="00703023">
            <w:pPr>
              <w:spacing w:after="0"/>
              <w:jc w:val="both"/>
              <w:rPr>
                <w:sz w:val="18"/>
                <w:szCs w:val="18"/>
              </w:rPr>
            </w:pPr>
            <w:r>
              <w:rPr>
                <w:sz w:val="18"/>
              </w:rPr>
              <w:t>Ja</w:t>
            </w:r>
          </w:p>
        </w:tc>
      </w:tr>
      <w:tr w:rsidR="000215C5" w:rsidTr="00744D77">
        <w:trPr>
          <w:cantSplit/>
          <w:trHeight w:val="3288"/>
        </w:trPr>
        <w:tc>
          <w:tcPr>
            <w:tcW w:w="44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29</w:t>
            </w:r>
          </w:p>
        </w:tc>
        <w:tc>
          <w:tcPr>
            <w:tcW w:w="1317" w:type="dxa"/>
            <w:tcBorders>
              <w:top w:val="single" w:sz="4" w:space="0" w:color="auto"/>
              <w:left w:val="single" w:sz="4" w:space="0" w:color="auto"/>
              <w:bottom w:val="single" w:sz="4" w:space="0" w:color="auto"/>
              <w:right w:val="single" w:sz="4" w:space="0" w:color="auto"/>
            </w:tcBorders>
          </w:tcPr>
          <w:p w:rsidR="000215C5" w:rsidRDefault="00703023">
            <w:pPr>
              <w:spacing w:after="0"/>
              <w:jc w:val="both"/>
              <w:rPr>
                <w:sz w:val="18"/>
                <w:szCs w:val="18"/>
              </w:rPr>
            </w:pPr>
            <w:r>
              <w:rPr>
                <w:sz w:val="18"/>
              </w:rPr>
              <w:t>Trend för medianhalten av a) totalt ammonium, b) totalt fosfor och c) nitrat hos floder, grupperade per klass av ekologisk status/potential</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Diagram</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EU</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Vattendirektivets information om vattenförekomster kopplade till Wise-SoE långvariga dataserier om vattenkvaliteten i floder för a) totala halter av ammonium, b) totala halter av fosfor och c) nitrat. Trender hos vattenkvaliteten redovisas för varje ekologisk klass och extrapoleras till 2027 för att visa om vattenförekomster med måttlig till otillfredsställande ekologisk status kommer att närma sig hög till god ekologisk status.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Aggregering på grundval av den information som rapporteras på vattenförekomstnivå, kombinerad med information om flodvattenkvalitet från Wise-SoE-databasen.</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8"/>
                <w:szCs w:val="18"/>
              </w:rPr>
            </w:pPr>
            <w:r>
              <w:rPr>
                <w:sz w:val="18"/>
              </w:rPr>
              <w:t>Ja</w:t>
            </w:r>
          </w:p>
        </w:tc>
      </w:tr>
    </w:tbl>
    <w:p w:rsidR="000215C5" w:rsidRDefault="00703023">
      <w:pPr>
        <w:jc w:val="both"/>
        <w:rPr>
          <w:sz w:val="20"/>
        </w:rPr>
      </w:pPr>
      <w:r>
        <w:rPr>
          <w:b/>
          <w:sz w:val="20"/>
        </w:rPr>
        <w:t>Anmärkningar:</w:t>
      </w:r>
      <w:r>
        <w:rPr>
          <w:sz w:val="20"/>
        </w:rPr>
        <w:t xml:space="preserve"> * Informationsnivå: EU = europeisk nivå, MS = nationell nivå, medlemsstatsnivå, RBD = avrinningsdistrikt, SU = delavrinningsdistrikt, WB = vattenförekomst, Site = övervakningsstation.</w:t>
      </w:r>
    </w:p>
    <w:p w:rsidR="000215C5" w:rsidRDefault="00703023">
      <w:pPr>
        <w:jc w:val="both"/>
      </w:pPr>
      <w:r>
        <w:t>Exempel på hur resultat för vattenkvalitet kombineras med information om ekologisk status och potential – fler exempel finns i ETC/ICM 2012</w:t>
      </w:r>
      <w:r>
        <w:rPr>
          <w:rStyle w:val="Fotnotsreferens"/>
        </w:rPr>
        <w:footnoteReference w:id="55"/>
      </w:r>
      <w:r>
        <w:t xml:space="preserve">. </w:t>
      </w:r>
    </w:p>
    <w:p w:rsidR="000215C5" w:rsidRDefault="00703023">
      <w:pPr>
        <w:pStyle w:val="Beskrivning"/>
        <w:jc w:val="both"/>
      </w:pPr>
      <w:r>
        <w:t xml:space="preserve">Figur </w:t>
      </w:r>
      <w:r w:rsidR="00FA0245">
        <w:fldChar w:fldCharType="begin"/>
      </w:r>
      <w:r w:rsidR="00FA0245">
        <w:instrText xml:space="preserve"> SEQ Figure \* ARABIC </w:instrText>
      </w:r>
      <w:r w:rsidR="00FA0245">
        <w:fldChar w:fldCharType="separate"/>
      </w:r>
      <w:r>
        <w:rPr>
          <w:noProof/>
        </w:rPr>
        <w:t>3</w:t>
      </w:r>
      <w:r w:rsidR="00FA0245">
        <w:rPr>
          <w:noProof/>
        </w:rPr>
        <w:fldChar w:fldCharType="end"/>
      </w:r>
      <w:r>
        <w:tab/>
        <w:t>Floder: Koncentrationsintervall (första kvartilen, medianvärdet och tredje kvartilen) för årliga genomsnittliga koncentrationer av näringsämnen i floder i olika klasser av ekologisk status eller potential (hög till dålig)</w:t>
      </w:r>
    </w:p>
    <w:p w:rsidR="000215C5" w:rsidRDefault="00703023">
      <w:pPr>
        <w:jc w:val="both"/>
        <w:rPr>
          <w:noProof/>
        </w:rPr>
      </w:pPr>
      <w:r>
        <w:rPr>
          <w:noProof/>
          <w:lang w:bidi="ar-SA"/>
        </w:rPr>
        <w:drawing>
          <wp:inline distT="0" distB="0" distL="0" distR="0">
            <wp:extent cx="5724525" cy="227330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2273300"/>
                    </a:xfrm>
                    <a:prstGeom prst="rect">
                      <a:avLst/>
                    </a:prstGeom>
                    <a:noFill/>
                    <a:ln>
                      <a:noFill/>
                    </a:ln>
                  </pic:spPr>
                </pic:pic>
              </a:graphicData>
            </a:graphic>
          </wp:inline>
        </w:drawing>
      </w:r>
    </w:p>
    <w:p w:rsidR="000215C5" w:rsidRDefault="00703023">
      <w:pPr>
        <w:jc w:val="both"/>
        <w:rPr>
          <w:sz w:val="20"/>
        </w:rPr>
      </w:pPr>
      <w:r>
        <w:rPr>
          <w:b/>
          <w:sz w:val="20"/>
        </w:rPr>
        <w:t>Anmärkningar:</w:t>
      </w:r>
      <w:r>
        <w:rPr>
          <w:sz w:val="20"/>
        </w:rPr>
        <w:t xml:space="preserve"> Genomsnittligt medelvärde för årliga koncentrationsvärden för vattenkvalitet under åren 2005–2010. Baserat på resultat från 3 368 Wise-SoE-flodövervakningsstationer i 16 medlemsstater. De flesta flodövervakningsstationerna finns i Frankrike (1 416 stationer) och Storbritannien (555 stationer).</w:t>
      </w:r>
    </w:p>
    <w:p w:rsidR="000215C5" w:rsidRDefault="00703023">
      <w:pPr>
        <w:pStyle w:val="Rubrik2"/>
        <w:jc w:val="both"/>
      </w:pPr>
      <w:bookmarkStart w:id="253" w:name="_Toc386464226"/>
      <w:bookmarkStart w:id="254" w:name="_Toc425522053"/>
      <w:bookmarkStart w:id="255" w:name="_Toc432666065"/>
      <w:bookmarkStart w:id="256" w:name="_Toc437520261"/>
      <w:r>
        <w:t>Innehåll i rapporteringen 2016</w:t>
      </w:r>
      <w:bookmarkEnd w:id="247"/>
      <w:bookmarkEnd w:id="253"/>
      <w:bookmarkEnd w:id="254"/>
      <w:bookmarkEnd w:id="255"/>
      <w:bookmarkEnd w:id="256"/>
      <w:r>
        <w:t xml:space="preserve"> </w:t>
      </w:r>
    </w:p>
    <w:p w:rsidR="000215C5" w:rsidRDefault="00703023">
      <w:pPr>
        <w:jc w:val="both"/>
      </w:pPr>
      <w:r>
        <w:t>De uppgifter och den information om övervakning som ska rapporteras enligt artikel 8 i vattendirektivet omfattar en beskrivning av övervakningsstationerna, uppgifter om de olika kvalitetsfaktorer och kemiska ämnen som övervakas vid varje station samt information om de relaterade övervakningsprogrammen.</w:t>
      </w:r>
    </w:p>
    <w:p w:rsidR="000215C5" w:rsidRDefault="00703023">
      <w:pPr>
        <w:jc w:val="both"/>
      </w:pPr>
      <w:r>
        <w:fldChar w:fldCharType="begin"/>
      </w:r>
      <w:r>
        <w:instrText xml:space="preserve"> REF _Ref385340210 \h  \* MERGEFORMAT </w:instrText>
      </w:r>
      <w:r>
        <w:fldChar w:fldCharType="separate"/>
      </w:r>
      <w:r w:rsidR="0008356D">
        <w:t>Figur 4</w:t>
      </w:r>
      <w:r>
        <w:fldChar w:fldCharType="end"/>
      </w:r>
      <w:r>
        <w:t xml:space="preserve"> visar en begreppsmässig översikt av de övervakningsuppgifter som rapporteras enligt vattendirektivet och de övervakningsresultat som rapporteras till Europeiska miljöbyrån (Wise-SoE). Övervakningsstationerna har en unik kod i båda rapporteringskanalerna så att informationen kan slås ihop med de rumsliga uppgifter och den kompletterande information som rapporteras i det gemensamma rapporteringsflödet för Wise Spatial Data.</w:t>
      </w:r>
    </w:p>
    <w:p w:rsidR="000215C5" w:rsidRDefault="00703023">
      <w:pPr>
        <w:pStyle w:val="Beskrivning"/>
        <w:jc w:val="both"/>
      </w:pPr>
      <w:bookmarkStart w:id="257" w:name="_Ref385340210"/>
      <w:r>
        <w:t xml:space="preserve">Figur </w:t>
      </w:r>
      <w:r w:rsidR="00FA0245">
        <w:fldChar w:fldCharType="begin"/>
      </w:r>
      <w:r w:rsidR="00FA0245">
        <w:instrText xml:space="preserve"> SEQ Figure \* ARABIC </w:instrText>
      </w:r>
      <w:r w:rsidR="00FA0245">
        <w:fldChar w:fldCharType="separate"/>
      </w:r>
      <w:r>
        <w:rPr>
          <w:noProof/>
        </w:rPr>
        <w:t>4</w:t>
      </w:r>
      <w:r w:rsidR="00FA0245">
        <w:rPr>
          <w:noProof/>
        </w:rPr>
        <w:fldChar w:fldCharType="end"/>
      </w:r>
      <w:bookmarkEnd w:id="257"/>
      <w:r>
        <w:t xml:space="preserve">: Begreppsmässig översikt av rapporteringen av metadata enligt vattendirektivet (artikel 8) och rapporteringen av övervakningsresultat till EEA Wise-SoE </w:t>
      </w:r>
    </w:p>
    <w:p w:rsidR="000215C5" w:rsidRDefault="00703023">
      <w:pPr>
        <w:pStyle w:val="Beskrivning"/>
        <w:jc w:val="both"/>
      </w:pPr>
      <w:r>
        <w:rPr>
          <w:noProof/>
          <w:lang w:bidi="ar-SA"/>
        </w:rPr>
        <w:drawing>
          <wp:inline distT="0" distB="0" distL="0" distR="0">
            <wp:extent cx="6286500" cy="31418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042" cy="3148637"/>
                    </a:xfrm>
                    <a:prstGeom prst="rect">
                      <a:avLst/>
                    </a:prstGeom>
                    <a:noFill/>
                  </pic:spPr>
                </pic:pic>
              </a:graphicData>
            </a:graphic>
          </wp:inline>
        </w:drawing>
      </w:r>
    </w:p>
    <w:p w:rsidR="000215C5" w:rsidRDefault="000215C5">
      <w:pPr>
        <w:jc w:val="both"/>
        <w:rPr>
          <w:noProof/>
        </w:rPr>
      </w:pPr>
    </w:p>
    <w:p w:rsidR="000215C5" w:rsidRDefault="00703023">
      <w:pPr>
        <w:jc w:val="both"/>
      </w:pPr>
      <w:r>
        <w:rPr>
          <w:b/>
        </w:rPr>
        <w:t>Medlemsstaterna förväntas rapportera följande till EEA Wise-SoE:</w:t>
      </w:r>
    </w:p>
    <w:p w:rsidR="000215C5" w:rsidRDefault="00703023">
      <w:pPr>
        <w:numPr>
          <w:ilvl w:val="0"/>
          <w:numId w:val="3"/>
        </w:numPr>
        <w:jc w:val="both"/>
      </w:pPr>
      <w:r>
        <w:t>Resultat avseende vattenkvalitet, inklusive prioriterade ämnen och särskilda förorenande ämnen för avrinningsdistrikt, ska rapporteras till Europeiska miljöbyråns vattendatabaser över grundvatten, floder, sjöar, vatten i övergångszoner och kustvatten.</w:t>
      </w:r>
    </w:p>
    <w:p w:rsidR="000215C5" w:rsidRDefault="00703023">
      <w:pPr>
        <w:numPr>
          <w:ilvl w:val="0"/>
          <w:numId w:val="3"/>
        </w:numPr>
        <w:jc w:val="both"/>
      </w:pPr>
      <w:r>
        <w:t>Resultaten av övervakningen av biologiska kvalitetsfaktorer ska rapporteras till miljöbyråns vattendatabaser över floder, sjöar, vatten i övergångszoner och kustvatten.</w:t>
      </w:r>
    </w:p>
    <w:p w:rsidR="000215C5" w:rsidRDefault="00703023">
      <w:pPr>
        <w:jc w:val="both"/>
      </w:pPr>
      <w:r>
        <w:t>Rapporteringskraven beskrivs närmare i ROD (Reporting Obligations Database)</w:t>
      </w:r>
      <w:r>
        <w:rPr>
          <w:rStyle w:val="Fotnotsreferens"/>
        </w:rPr>
        <w:footnoteReference w:id="56"/>
      </w:r>
      <w:r>
        <w:t xml:space="preserve">. </w:t>
      </w:r>
    </w:p>
    <w:p w:rsidR="000215C5" w:rsidRDefault="00703023">
      <w:pPr>
        <w:jc w:val="both"/>
      </w:pPr>
      <w:r>
        <w:t>Den information som rapporteras via Wise Spatial Data-kanalen ger de gemensamma referensdatauppsättningarna för rumsliga uppgifter avseende övervakningsstationer och vattenförekomster. Denna information delas mellan de tematiska datauppsättningarna för att säkerställa konsekvens mellan de olika vattenrelaterade direktiven (vattendirektivet, nitratdirektivet, direktivet om avloppsvatten samt direktivet om badvatten) och Wise-SoE.</w:t>
      </w:r>
    </w:p>
    <w:p w:rsidR="000215C5" w:rsidRDefault="00703023">
      <w:pPr>
        <w:pStyle w:val="Rubrik3"/>
      </w:pPr>
      <w:r>
        <w:t>Skiss över mallarna</w:t>
      </w:r>
    </w:p>
    <w:p w:rsidR="000215C5" w:rsidRDefault="00703023">
      <w:pPr>
        <w:jc w:val="both"/>
      </w:pPr>
      <w:r>
        <w:t>Se bilaga 10.4.</w:t>
      </w:r>
    </w:p>
    <w:p w:rsidR="000215C5" w:rsidRDefault="00703023">
      <w:pPr>
        <w:pStyle w:val="Rubrik3"/>
      </w:pPr>
      <w:bookmarkStart w:id="258" w:name="_Ref382300197"/>
      <w:r>
        <w:t>Uppgifter och information som ska rapporteras med hjälp av mallarna</w:t>
      </w:r>
      <w:bookmarkEnd w:id="258"/>
    </w:p>
    <w:p w:rsidR="000215C5" w:rsidRDefault="00703023">
      <w:pPr>
        <w:jc w:val="both"/>
      </w:pPr>
      <w:r>
        <w:t>Information om övervakningsprogram ska rapporteras på nivån för avrinningsdistrikt.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0215C5">
        <w:tc>
          <w:tcPr>
            <w:tcW w:w="9847" w:type="dxa"/>
            <w:shd w:val="clear" w:color="auto" w:fill="auto"/>
          </w:tcPr>
          <w:p w:rsidR="000215C5" w:rsidRDefault="00703023">
            <w:pPr>
              <w:spacing w:after="120"/>
              <w:jc w:val="both"/>
              <w:rPr>
                <w:b/>
                <w:szCs w:val="24"/>
              </w:rPr>
            </w:pPr>
            <w:r>
              <w:rPr>
                <w:b/>
              </w:rPr>
              <w:t>Mall: Övervakning</w:t>
            </w:r>
          </w:p>
        </w:tc>
      </w:tr>
      <w:tr w:rsidR="000215C5">
        <w:tc>
          <w:tcPr>
            <w:tcW w:w="9847" w:type="dxa"/>
            <w:shd w:val="clear" w:color="auto" w:fill="auto"/>
          </w:tcPr>
          <w:p w:rsidR="000215C5" w:rsidRDefault="00703023">
            <w:pPr>
              <w:spacing w:after="120"/>
              <w:jc w:val="both"/>
              <w:rPr>
                <w:b/>
                <w:i/>
                <w:szCs w:val="24"/>
              </w:rPr>
            </w:pPr>
            <w:r>
              <w:rPr>
                <w:b/>
                <w:i/>
              </w:rPr>
              <w:t>Klass: Program</w:t>
            </w:r>
          </w:p>
          <w:p w:rsidR="000215C5" w:rsidRDefault="00703023">
            <w:pPr>
              <w:spacing w:after="120"/>
              <w:jc w:val="both"/>
              <w:rPr>
                <w:i/>
                <w:szCs w:val="24"/>
              </w:rPr>
            </w:pPr>
            <w:r>
              <w:rPr>
                <w:b/>
              </w:rPr>
              <w:t>Egenskaper</w:t>
            </w:r>
            <w:r>
              <w:t>: maxOccurs = unbounded minOccurs = 1</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euProgrammeCode</w:t>
            </w:r>
          </w:p>
          <w:p w:rsidR="000215C5" w:rsidRDefault="00703023">
            <w:pPr>
              <w:spacing w:after="120"/>
              <w:jc w:val="both"/>
              <w:rPr>
                <w:szCs w:val="24"/>
              </w:rPr>
            </w:pPr>
            <w:r>
              <w:rPr>
                <w:b/>
              </w:rPr>
              <w:t xml:space="preserve">Fälttyp/alternativ: </w:t>
            </w:r>
            <w:r>
              <w:t>FeatureUniqueEUCodeType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Övervakningsprogrammets unika EU-kod. Ange övervakningsprogrammets nationella unika kod före medlemsstatens ISO-landskod med två bokstäver. Samma kod som rapporterades 2007 och 2010 ska användas för de övervakningsprogram som fortfarande finns kvar.</w:t>
            </w:r>
          </w:p>
          <w:p w:rsidR="000215C5" w:rsidRDefault="00703023">
            <w:pPr>
              <w:spacing w:after="120"/>
              <w:jc w:val="both"/>
              <w:rPr>
                <w:szCs w:val="24"/>
              </w:rPr>
            </w:pPr>
            <w:r>
              <w:rPr>
                <w:b/>
              </w:rPr>
              <w:t>Kvalitetskontroller</w:t>
            </w:r>
            <w:r>
              <w:t>: Kontroll av posten: De första två bokstävern</w:t>
            </w:r>
            <w:r w:rsidR="002D3B10">
              <w:t>a måste vara medlemsstatens ISO</w:t>
            </w:r>
            <w:r w:rsidR="002D3B10">
              <w:noBreakHyphen/>
            </w:r>
            <w:r>
              <w:t xml:space="preserve">landskod med två bokstäver. </w:t>
            </w:r>
          </w:p>
          <w:p w:rsidR="000215C5" w:rsidRDefault="00703023">
            <w:pPr>
              <w:spacing w:after="120"/>
              <w:jc w:val="both"/>
              <w:rPr>
                <w:b/>
                <w:szCs w:val="24"/>
              </w:rPr>
            </w:pPr>
            <w:r>
              <w:t xml:space="preserve">Intern kontroll: euProgrammeCode måste vara unik. </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programmeName</w:t>
            </w:r>
          </w:p>
          <w:p w:rsidR="000215C5" w:rsidRDefault="00703023">
            <w:pPr>
              <w:spacing w:after="120"/>
              <w:jc w:val="both"/>
              <w:rPr>
                <w:szCs w:val="24"/>
              </w:rPr>
            </w:pPr>
            <w:r>
              <w:rPr>
                <w:b/>
              </w:rPr>
              <w:t xml:space="preserve">Fälttyp/alternativ: </w:t>
            </w:r>
            <w:r>
              <w:t>String250Type</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Krävs. Lättförståeligt namn på övervakningsprogrammet på engelska som är meningsfullt utanför avrinningsdistriktet eller medlemsstaten. Namnet bör avspegla syftet, t.ex. program för kontrollerande, operativ eller undersökande övervakning eller övervakning av dricksvatten, och vilka kategorier som övervakas.</w:t>
            </w:r>
          </w:p>
        </w:tc>
      </w:tr>
      <w:tr w:rsidR="000215C5">
        <w:tc>
          <w:tcPr>
            <w:tcW w:w="9847" w:type="dxa"/>
            <w:shd w:val="clear" w:color="auto" w:fill="auto"/>
          </w:tcPr>
          <w:p w:rsidR="000215C5" w:rsidRPr="00764B64" w:rsidRDefault="00703023">
            <w:pPr>
              <w:spacing w:after="120"/>
              <w:jc w:val="both"/>
              <w:rPr>
                <w:b/>
                <w:szCs w:val="24"/>
              </w:rPr>
            </w:pPr>
            <w:r w:rsidRPr="00764B64">
              <w:rPr>
                <w:b/>
              </w:rPr>
              <w:t>Mallpost</w:t>
            </w:r>
            <w:r w:rsidRPr="00764B64">
              <w:t>:</w:t>
            </w:r>
            <w:r w:rsidRPr="00764B64">
              <w:rPr>
                <w:b/>
              </w:rPr>
              <w:t xml:space="preserve"> </w:t>
            </w:r>
            <w:r w:rsidRPr="00764B64">
              <w:t>programmeCategoryRW</w:t>
            </w:r>
          </w:p>
          <w:p w:rsidR="000215C5" w:rsidRPr="00764B64" w:rsidRDefault="00703023">
            <w:pPr>
              <w:spacing w:after="120"/>
              <w:jc w:val="both"/>
              <w:rPr>
                <w:szCs w:val="24"/>
              </w:rPr>
            </w:pPr>
            <w:r w:rsidRPr="00764B64">
              <w:rPr>
                <w:b/>
              </w:rPr>
              <w:t xml:space="preserve">Fälttyp/alternativ: </w:t>
            </w:r>
            <w:r w:rsidRPr="00764B64">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Krävs. Ange om övervakningsprogrammet används för floder.</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programmeCategoryLW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Krävs. Ange om övervakningsprogrammet används för sjöar.</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programmeCategoryTW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Krävs. Ange om övervakningsprogrammet används för vatten i övergångszoner.</w:t>
            </w:r>
          </w:p>
        </w:tc>
      </w:tr>
      <w:tr w:rsidR="000215C5">
        <w:tc>
          <w:tcPr>
            <w:tcW w:w="9847" w:type="dxa"/>
            <w:shd w:val="clear" w:color="auto" w:fill="auto"/>
          </w:tcPr>
          <w:p w:rsidR="000215C5" w:rsidRPr="006E59C8" w:rsidRDefault="00703023">
            <w:pPr>
              <w:spacing w:after="120"/>
              <w:jc w:val="both"/>
              <w:rPr>
                <w:b/>
                <w:szCs w:val="24"/>
                <w:lang w:val="en-GB"/>
              </w:rPr>
            </w:pPr>
            <w:r w:rsidRPr="006E59C8">
              <w:rPr>
                <w:b/>
                <w:lang w:val="en-GB"/>
              </w:rPr>
              <w:t>Mallpost</w:t>
            </w:r>
            <w:r w:rsidRPr="006E59C8">
              <w:rPr>
                <w:lang w:val="en-GB"/>
              </w:rPr>
              <w:t>:</w:t>
            </w:r>
            <w:r w:rsidRPr="006E59C8">
              <w:rPr>
                <w:b/>
                <w:lang w:val="en-GB"/>
              </w:rPr>
              <w:t xml:space="preserve"> </w:t>
            </w:r>
            <w:r w:rsidRPr="006E59C8">
              <w:rPr>
                <w:lang w:val="en-GB"/>
              </w:rPr>
              <w:t>programmeCategoryCW</w:t>
            </w:r>
          </w:p>
          <w:p w:rsidR="000215C5" w:rsidRPr="006E59C8" w:rsidRDefault="00703023">
            <w:pPr>
              <w:spacing w:after="120"/>
              <w:jc w:val="both"/>
              <w:rPr>
                <w:szCs w:val="24"/>
                <w:lang w:val="en-GB"/>
              </w:rPr>
            </w:pPr>
            <w:r w:rsidRPr="006E59C8">
              <w:rPr>
                <w:b/>
                <w:lang w:val="en-GB"/>
              </w:rPr>
              <w:t xml:space="preserve">Fälttyp/alternativ: </w:t>
            </w:r>
            <w:r w:rsidRPr="006E59C8">
              <w:rPr>
                <w:lang w:val="en-GB"/>
              </w:rP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Krävs. Ange om övervakningsprogrammet används för kustvatten.</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programmeCategoryTeW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Krävs. Ange om övervakningsprogrammet används för territorialvatten.</w:t>
            </w:r>
          </w:p>
        </w:tc>
      </w:tr>
      <w:tr w:rsidR="000215C5">
        <w:tc>
          <w:tcPr>
            <w:tcW w:w="9847" w:type="dxa"/>
            <w:shd w:val="clear" w:color="auto" w:fill="auto"/>
          </w:tcPr>
          <w:p w:rsidR="000215C5" w:rsidRPr="00764B64" w:rsidRDefault="00703023">
            <w:pPr>
              <w:spacing w:after="120"/>
              <w:jc w:val="both"/>
              <w:rPr>
                <w:b/>
                <w:szCs w:val="24"/>
              </w:rPr>
            </w:pPr>
            <w:r w:rsidRPr="00764B64">
              <w:rPr>
                <w:b/>
              </w:rPr>
              <w:t>Mallpost</w:t>
            </w:r>
            <w:r w:rsidRPr="00764B64">
              <w:t>:</w:t>
            </w:r>
            <w:r w:rsidRPr="00764B64">
              <w:rPr>
                <w:b/>
              </w:rPr>
              <w:t xml:space="preserve"> </w:t>
            </w:r>
            <w:r w:rsidRPr="00764B64">
              <w:t>programmeCategoryGW</w:t>
            </w:r>
          </w:p>
          <w:p w:rsidR="000215C5" w:rsidRPr="00764B64" w:rsidRDefault="00703023">
            <w:pPr>
              <w:spacing w:after="120"/>
              <w:jc w:val="both"/>
              <w:rPr>
                <w:szCs w:val="24"/>
              </w:rPr>
            </w:pPr>
            <w:r w:rsidRPr="00764B64">
              <w:rPr>
                <w:b/>
              </w:rPr>
              <w:t xml:space="preserve">Fälttyp/alternativ: </w:t>
            </w:r>
            <w:r w:rsidRPr="00764B64">
              <w:t>YesNoCode_Enum: Yes, No</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Krävs. Ange om övervakningsprogrammet används för grundvatten.</w:t>
            </w:r>
          </w:p>
        </w:tc>
      </w:tr>
      <w:tr w:rsidR="000215C5">
        <w:tc>
          <w:tcPr>
            <w:tcW w:w="9847" w:type="dxa"/>
            <w:shd w:val="clear" w:color="auto" w:fill="auto"/>
          </w:tcPr>
          <w:p w:rsidR="000215C5" w:rsidRPr="00D95552" w:rsidRDefault="00703023">
            <w:pPr>
              <w:spacing w:after="120"/>
              <w:jc w:val="both"/>
              <w:rPr>
                <w:szCs w:val="24"/>
              </w:rPr>
            </w:pPr>
            <w:r w:rsidRPr="00D95552">
              <w:rPr>
                <w:b/>
              </w:rPr>
              <w:t>Mallpost</w:t>
            </w:r>
            <w:r w:rsidRPr="00D95552">
              <w:t>: programmeReference</w:t>
            </w:r>
          </w:p>
          <w:p w:rsidR="000215C5" w:rsidRPr="00D95552" w:rsidRDefault="00703023">
            <w:pPr>
              <w:spacing w:after="120"/>
              <w:jc w:val="both"/>
              <w:rPr>
                <w:szCs w:val="24"/>
              </w:rPr>
            </w:pPr>
            <w:r w:rsidRPr="00D95552">
              <w:rPr>
                <w:b/>
              </w:rPr>
              <w:t>Fälttyp/alternativ:</w:t>
            </w:r>
            <w:r w:rsidRPr="00D95552">
              <w:t xml:space="preserve"> ReferenceType (se bilaga 9)</w:t>
            </w:r>
          </w:p>
          <w:p w:rsidR="000215C5" w:rsidRDefault="00703023">
            <w:pPr>
              <w:spacing w:after="120"/>
              <w:jc w:val="both"/>
              <w:rPr>
                <w:szCs w:val="24"/>
              </w:rPr>
            </w:pPr>
            <w:r>
              <w:rPr>
                <w:b/>
              </w:rPr>
              <w:t>Egenskaper</w:t>
            </w:r>
            <w:r>
              <w:t>: 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de dokument och avsnitt som innehåller relevant information om övervakningsprogrammen. Vägledning om vilka uppgifter som bör ingå i detta dokument ges i avsnitt </w:t>
            </w:r>
            <w:r>
              <w:fldChar w:fldCharType="begin"/>
            </w:r>
            <w:r>
              <w:instrText xml:space="preserve"> REF _Ref402950055 \r \h  \* MERGEFORMAT </w:instrText>
            </w:r>
            <w:r>
              <w:fldChar w:fldCharType="separate"/>
            </w:r>
            <w:r>
              <w:rPr>
                <w:szCs w:val="24"/>
              </w:rPr>
              <w:t>4.3.4</w:t>
            </w:r>
            <w:r>
              <w:fldChar w:fldCharType="end"/>
            </w:r>
            <w:r>
              <w:t xml:space="preserve">. </w:t>
            </w:r>
          </w:p>
        </w:tc>
      </w:tr>
    </w:tbl>
    <w:p w:rsidR="000215C5" w:rsidRDefault="000215C5">
      <w:pPr>
        <w:jc w:val="both"/>
      </w:pPr>
    </w:p>
    <w:p w:rsidR="000215C5" w:rsidRDefault="00703023">
      <w:pPr>
        <w:jc w:val="both"/>
      </w:pPr>
      <w:r>
        <w:t>Följande klass används för att lämna information om övervakningsstationer för yt- och grundvatten: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0215C5">
        <w:tc>
          <w:tcPr>
            <w:tcW w:w="9847" w:type="dxa"/>
            <w:shd w:val="clear" w:color="auto" w:fill="auto"/>
          </w:tcPr>
          <w:p w:rsidR="000215C5" w:rsidRDefault="00703023">
            <w:pPr>
              <w:spacing w:after="120"/>
              <w:jc w:val="both"/>
              <w:rPr>
                <w:b/>
                <w:szCs w:val="24"/>
              </w:rPr>
            </w:pPr>
            <w:r>
              <w:rPr>
                <w:b/>
              </w:rPr>
              <w:t>Mall: Monitoring (fortsättning)</w:t>
            </w:r>
          </w:p>
        </w:tc>
      </w:tr>
      <w:tr w:rsidR="000215C5">
        <w:tc>
          <w:tcPr>
            <w:tcW w:w="9847" w:type="dxa"/>
            <w:shd w:val="clear" w:color="auto" w:fill="auto"/>
          </w:tcPr>
          <w:p w:rsidR="000215C5" w:rsidRDefault="00703023">
            <w:pPr>
              <w:spacing w:after="120"/>
              <w:jc w:val="both"/>
              <w:rPr>
                <w:b/>
                <w:i/>
                <w:szCs w:val="24"/>
              </w:rPr>
            </w:pPr>
            <w:r>
              <w:rPr>
                <w:b/>
                <w:i/>
              </w:rPr>
              <w:t>Klass: MonitoringSite</w:t>
            </w:r>
          </w:p>
          <w:p w:rsidR="000215C5" w:rsidRDefault="00703023">
            <w:pPr>
              <w:spacing w:after="120"/>
              <w:jc w:val="both"/>
              <w:rPr>
                <w:i/>
                <w:szCs w:val="24"/>
              </w:rPr>
            </w:pPr>
            <w:r>
              <w:rPr>
                <w:b/>
              </w:rPr>
              <w:t>Egenskaper</w:t>
            </w:r>
            <w:r>
              <w:t>: maxOccurs = unbounded minOccurs = 1</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euMonitoringSiteCode</w:t>
            </w:r>
          </w:p>
          <w:p w:rsidR="000215C5" w:rsidRDefault="00703023">
            <w:pPr>
              <w:spacing w:after="120"/>
              <w:jc w:val="both"/>
              <w:rPr>
                <w:szCs w:val="24"/>
              </w:rPr>
            </w:pPr>
            <w:r>
              <w:rPr>
                <w:b/>
              </w:rPr>
              <w:t xml:space="preserve">Fälttyp/alternativ: </w:t>
            </w:r>
            <w:r>
              <w:t>FeatureUniqueEUCodeType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Unik EU-kod för övervakningsstationen för ytvatten. Ange övervakningsstationens för ytvatten nationella un</w:t>
            </w:r>
            <w:r w:rsidR="002D3B10">
              <w:t>ika kod före medlemsstatens ISO</w:t>
            </w:r>
            <w:r w:rsidR="002D3B10">
              <w:noBreakHyphen/>
            </w:r>
            <w:r>
              <w:t>landskod med två bokstäver</w:t>
            </w:r>
            <w:r>
              <w:rPr>
                <w:rStyle w:val="Fotnotsreferens"/>
              </w:rPr>
              <w:footnoteReference w:id="57"/>
            </w:r>
            <w:r>
              <w:t>.</w:t>
            </w:r>
          </w:p>
          <w:p w:rsidR="000215C5" w:rsidRDefault="00703023">
            <w:pPr>
              <w:spacing w:after="120"/>
              <w:jc w:val="both"/>
              <w:rPr>
                <w:szCs w:val="24"/>
              </w:rPr>
            </w:pPr>
            <w:r>
              <w:rPr>
                <w:b/>
              </w:rPr>
              <w:t>Kvalitetskontroller</w:t>
            </w:r>
            <w:r>
              <w:t xml:space="preserve">: </w:t>
            </w:r>
          </w:p>
          <w:p w:rsidR="000215C5" w:rsidRDefault="00703023">
            <w:pPr>
              <w:spacing w:after="120"/>
              <w:jc w:val="both"/>
              <w:rPr>
                <w:szCs w:val="24"/>
              </w:rPr>
            </w:pPr>
            <w:r>
              <w:t xml:space="preserve">Kontroll av posten: De första två bokstäverna måste vara medlemsstatens ISO-landskod med två bokstäver. </w:t>
            </w:r>
          </w:p>
          <w:p w:rsidR="000215C5" w:rsidRDefault="00703023">
            <w:pPr>
              <w:spacing w:after="120"/>
              <w:jc w:val="both"/>
              <w:rPr>
                <w:szCs w:val="24"/>
              </w:rPr>
            </w:pPr>
            <w:r>
              <w:t>Intern kontroll: euMonitoringSiteCode måste vara unik.</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euMonitoringSiteName</w:t>
            </w:r>
          </w:p>
          <w:p w:rsidR="000215C5" w:rsidRDefault="00703023">
            <w:pPr>
              <w:spacing w:after="120"/>
              <w:jc w:val="both"/>
              <w:rPr>
                <w:szCs w:val="24"/>
              </w:rPr>
            </w:pPr>
            <w:r>
              <w:rPr>
                <w:b/>
              </w:rPr>
              <w:t xml:space="preserve">Fälttyp/alternativ: </w:t>
            </w:r>
            <w:r>
              <w:t>String250Type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Lättförståeligt namn på övervakningsstationen på engelska som är meningsfullt utanför avrinningsdistriktet eller medlemsstaten. </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euWaterBodyCode</w:t>
            </w:r>
          </w:p>
          <w:p w:rsidR="000215C5" w:rsidRDefault="00703023">
            <w:pPr>
              <w:spacing w:after="120"/>
              <w:jc w:val="both"/>
              <w:rPr>
                <w:szCs w:val="24"/>
              </w:rPr>
            </w:pPr>
            <w:r>
              <w:rPr>
                <w:b/>
              </w:rPr>
              <w:t xml:space="preserve">Fälttyp/alternativ: </w:t>
            </w:r>
            <w:r>
              <w:t>FeatureUniqueEUCodeType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Unik EU-kod för den yt- eller grundvattenförekomst enligt rapporteringen i SWB- eller GWB-mallarna där övervakningsstationen är fysiskt belägen eller närliggande vattenförekomst (i de sällsynta fall då övervakningsstationen inte är fysiskt belägen i vattenförekomsten). </w:t>
            </w:r>
          </w:p>
          <w:p w:rsidR="000215C5" w:rsidRDefault="00703023">
            <w:pPr>
              <w:spacing w:after="120"/>
              <w:jc w:val="both"/>
              <w:rPr>
                <w:szCs w:val="24"/>
              </w:rPr>
            </w:pPr>
            <w:r>
              <w:rPr>
                <w:b/>
              </w:rPr>
              <w:t>Kvalitetskontroller</w:t>
            </w:r>
            <w:r>
              <w:t>: Dubbelkontroll av mallen: Vattenförekomstens kod måste anges i SWB/SurfaceWaterBody/euSurfaceWaterBodyCode eller GWB/GroundWaterBody/euGroundWaterBodyCode.</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waterCategory</w:t>
            </w:r>
          </w:p>
          <w:p w:rsidR="000215C5" w:rsidRDefault="00703023">
            <w:pPr>
              <w:spacing w:after="120"/>
              <w:jc w:val="both"/>
              <w:rPr>
                <w:szCs w:val="24"/>
              </w:rPr>
            </w:pPr>
            <w:r>
              <w:rPr>
                <w:b/>
              </w:rPr>
              <w:t xml:space="preserve">Fälttyp/alternativ: </w:t>
            </w:r>
            <w:r>
              <w:t>WaterCategory_Enum: RW, LW, TW, CW, TeW, GW</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Rapportera den kategori av vattenförekomst som övervakas (där övervakningsstationen är fysiskt belägen eller närliggande vattenförekomst). </w:t>
            </w:r>
          </w:p>
          <w:p w:rsidR="000215C5" w:rsidRDefault="00703023">
            <w:pPr>
              <w:spacing w:after="120"/>
              <w:jc w:val="both"/>
              <w:rPr>
                <w:szCs w:val="24"/>
              </w:rPr>
            </w:pPr>
            <w:r>
              <w:rPr>
                <w:b/>
              </w:rPr>
              <w:t>Kvalitetskontroller</w:t>
            </w:r>
            <w:r>
              <w:t xml:space="preserve">: om waterCategory är ”GW” ska euWaterBodyCode anges i GWB/GroundWaterBody/euGroundWaterBodyCode. </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ecologicalMonitoring</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övervakningsstationen används för ekologisk övervakning. Rapportera ”Not applicable” för övervakningsstationer för grundvatten.</w:t>
            </w:r>
          </w:p>
          <w:p w:rsidR="000215C5" w:rsidRDefault="00703023">
            <w:pPr>
              <w:spacing w:after="120"/>
              <w:jc w:val="both"/>
              <w:rPr>
                <w:b/>
                <w:szCs w:val="24"/>
              </w:rPr>
            </w:pPr>
            <w:r>
              <w:rPr>
                <w:b/>
              </w:rPr>
              <w:t>Kvalitetskontroller</w:t>
            </w:r>
            <w:r>
              <w:t>: Intern kontroll: ”Not applicable” måste väljas om waterCategory är ”GW”.</w:t>
            </w:r>
          </w:p>
        </w:tc>
      </w:tr>
      <w:tr w:rsidR="000215C5">
        <w:tc>
          <w:tcPr>
            <w:tcW w:w="9847" w:type="dxa"/>
            <w:shd w:val="clear" w:color="auto" w:fill="auto"/>
          </w:tcPr>
          <w:p w:rsidR="000215C5" w:rsidRDefault="00703023">
            <w:pPr>
              <w:spacing w:after="120"/>
              <w:jc w:val="both"/>
              <w:rPr>
                <w:b/>
                <w:szCs w:val="24"/>
              </w:rPr>
            </w:pPr>
            <w:r>
              <w:rPr>
                <w:b/>
              </w:rPr>
              <w:t>Mallpost</w:t>
            </w:r>
            <w:r>
              <w:t>: chemicalMonitoring</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övervakningsstationen för yt- eller grundvatten används för kemisk övervakning. </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quantitativeMonitoring</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övervakningsstationen för grundvatten används för kvantitativ övervakning. Rapportera ”Not applicable” för övervakningsstationer för ytvatten.</w:t>
            </w:r>
          </w:p>
          <w:p w:rsidR="000215C5" w:rsidRDefault="00703023">
            <w:pPr>
              <w:spacing w:after="120"/>
              <w:jc w:val="both"/>
              <w:rPr>
                <w:b/>
                <w:szCs w:val="24"/>
              </w:rPr>
            </w:pPr>
            <w:r>
              <w:rPr>
                <w:b/>
              </w:rPr>
              <w:t>Kvalitetskontroller</w:t>
            </w:r>
            <w:r>
              <w:t>: Intern kontroll: ”Not applicable” måste väljas om waterCategory inte är ”GW”.</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quantitativeFrequency</w:t>
            </w:r>
          </w:p>
          <w:p w:rsidR="000215C5" w:rsidRDefault="00703023">
            <w:pPr>
              <w:spacing w:after="120"/>
              <w:jc w:val="both"/>
              <w:rPr>
                <w:szCs w:val="24"/>
              </w:rPr>
            </w:pPr>
            <w:r>
              <w:rPr>
                <w:b/>
              </w:rPr>
              <w:t xml:space="preserve">Fälttyp/alternativ: </w:t>
            </w:r>
            <w:r>
              <w:t>nonNegativeInteger</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övervakningsstationen för grundvatten används för kvantitativ övervakning ska övervakningsfrekvensen rapporteras.</w:t>
            </w:r>
          </w:p>
          <w:p w:rsidR="000215C5" w:rsidRDefault="00703023">
            <w:pPr>
              <w:spacing w:after="120"/>
              <w:jc w:val="both"/>
              <w:rPr>
                <w:szCs w:val="24"/>
              </w:rPr>
            </w:pPr>
            <w:r>
              <w:t xml:space="preserve">Ytterligare vägledning om vilka uppgifter som ska rapporteras finns i ordlistan i avsnitt </w:t>
            </w:r>
            <w:r>
              <w:fldChar w:fldCharType="begin"/>
            </w:r>
            <w:r>
              <w:instrText xml:space="preserve"> REF _Ref425176628 \r \h  \* MERGEFORMAT </w:instrText>
            </w:r>
            <w:r>
              <w:fldChar w:fldCharType="separate"/>
            </w:r>
            <w:r>
              <w:rPr>
                <w:szCs w:val="24"/>
              </w:rPr>
              <w:t>4.3.5</w:t>
            </w:r>
            <w:r>
              <w:fldChar w:fldCharType="end"/>
            </w:r>
            <w:r>
              <w:t xml:space="preserve">. </w:t>
            </w:r>
          </w:p>
          <w:p w:rsidR="000215C5" w:rsidRDefault="00703023">
            <w:pPr>
              <w:spacing w:after="120"/>
              <w:jc w:val="both"/>
              <w:rPr>
                <w:b/>
                <w:szCs w:val="24"/>
              </w:rPr>
            </w:pPr>
            <w:r>
              <w:rPr>
                <w:b/>
              </w:rPr>
              <w:t>Kvalitetskontroller</w:t>
            </w:r>
            <w:r>
              <w:t>: Villkorlig kontroll: Rapportera om quantitativeMonitoring är ”Yes”.</w:t>
            </w:r>
          </w:p>
        </w:tc>
      </w:tr>
      <w:tr w:rsidR="000215C5">
        <w:tc>
          <w:tcPr>
            <w:tcW w:w="9847" w:type="dxa"/>
            <w:shd w:val="clear" w:color="auto" w:fill="auto"/>
          </w:tcPr>
          <w:p w:rsidR="000215C5" w:rsidRDefault="00703023">
            <w:pPr>
              <w:spacing w:after="120"/>
              <w:jc w:val="both"/>
              <w:rPr>
                <w:b/>
              </w:rPr>
            </w:pPr>
            <w:r>
              <w:rPr>
                <w:b/>
              </w:rPr>
              <w:t>Mallpost</w:t>
            </w:r>
            <w:r>
              <w:t>:</w:t>
            </w:r>
            <w:r>
              <w:rPr>
                <w:b/>
              </w:rPr>
              <w:t xml:space="preserve"> </w:t>
            </w:r>
            <w:r>
              <w:t>quantitativeCycle</w:t>
            </w:r>
          </w:p>
          <w:p w:rsidR="000215C5" w:rsidRDefault="00703023">
            <w:pPr>
              <w:spacing w:after="120"/>
              <w:jc w:val="both"/>
            </w:pPr>
            <w:r>
              <w:rPr>
                <w:b/>
              </w:rPr>
              <w:t xml:space="preserve">Fälttyp/alternativ: </w:t>
            </w:r>
            <w:r>
              <w:t>nonNegativeInteger</w:t>
            </w:r>
          </w:p>
          <w:p w:rsidR="000215C5" w:rsidRDefault="00703023">
            <w:pPr>
              <w:spacing w:after="120"/>
              <w:jc w:val="both"/>
            </w:pPr>
            <w:r>
              <w:rPr>
                <w:b/>
              </w:rPr>
              <w:t>Egenskaper</w:t>
            </w:r>
            <w:r>
              <w:t>: maxOccurs = 1 minOccurs = 0</w:t>
            </w:r>
          </w:p>
          <w:p w:rsidR="000215C5" w:rsidRDefault="00703023">
            <w:pPr>
              <w:spacing w:after="120"/>
              <w:jc w:val="both"/>
              <w:rPr>
                <w:szCs w:val="24"/>
              </w:rPr>
            </w:pPr>
            <w:r>
              <w:rPr>
                <w:b/>
              </w:rPr>
              <w:t>Vägledning om hur man fyller i mallposten</w:t>
            </w:r>
            <w:r>
              <w:t>: Villkorlig. Om övervakningsstationen för grundvatten används för kvantitativ övervakning ska övervakningcykeln rapporteras.</w:t>
            </w:r>
          </w:p>
          <w:p w:rsidR="000215C5" w:rsidRDefault="00703023">
            <w:pPr>
              <w:spacing w:after="120"/>
              <w:jc w:val="both"/>
              <w:rPr>
                <w:szCs w:val="24"/>
              </w:rPr>
            </w:pPr>
            <w:r>
              <w:t xml:space="preserve">Ytterligare vägledning om vilka uppgifter som ska rapporteras finns i ordlistan i avsnitt </w:t>
            </w:r>
            <w:r>
              <w:fldChar w:fldCharType="begin"/>
            </w:r>
            <w:r>
              <w:instrText xml:space="preserve"> REF _Ref425176628 \r \h  \* MERGEFORMAT </w:instrText>
            </w:r>
            <w:r>
              <w:fldChar w:fldCharType="separate"/>
            </w:r>
            <w:r>
              <w:rPr>
                <w:szCs w:val="24"/>
              </w:rPr>
              <w:t>4.3.5</w:t>
            </w:r>
            <w:r>
              <w:fldChar w:fldCharType="end"/>
            </w:r>
            <w:r>
              <w:t xml:space="preserve">. </w:t>
            </w:r>
          </w:p>
          <w:p w:rsidR="000215C5" w:rsidRDefault="00703023">
            <w:pPr>
              <w:spacing w:after="120"/>
              <w:jc w:val="both"/>
              <w:rPr>
                <w:b/>
                <w:szCs w:val="24"/>
              </w:rPr>
            </w:pPr>
            <w:r>
              <w:rPr>
                <w:b/>
              </w:rPr>
              <w:t>Kvalitetskontroller</w:t>
            </w:r>
            <w:r>
              <w:t xml:space="preserve">: Villkorlig kontroll: Rapportera om quantitativeMonitoring är ”Yes”. </w:t>
            </w:r>
          </w:p>
        </w:tc>
      </w:tr>
      <w:tr w:rsidR="000215C5">
        <w:tc>
          <w:tcPr>
            <w:tcW w:w="9847" w:type="dxa"/>
            <w:shd w:val="clear" w:color="auto" w:fill="auto"/>
          </w:tcPr>
          <w:p w:rsidR="000215C5" w:rsidRDefault="00703023">
            <w:pPr>
              <w:spacing w:after="120"/>
              <w:jc w:val="both"/>
              <w:rPr>
                <w:b/>
                <w:szCs w:val="24"/>
              </w:rPr>
            </w:pPr>
            <w:r>
              <w:rPr>
                <w:b/>
              </w:rPr>
              <w:t xml:space="preserve">Mallpost: </w:t>
            </w:r>
            <w:r>
              <w:t>quantitativeLastMonitored</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color w:val="000000"/>
                <w:szCs w:val="24"/>
              </w:rPr>
            </w:pPr>
            <w:r>
              <w:rPr>
                <w:b/>
              </w:rPr>
              <w:t>Vägledning om hur man fyller i mallposten</w:t>
            </w:r>
            <w:r>
              <w:t>: Villkorlig. Om övervakningsstationen för grundvatten används för kvantitativ övervakning ska det senaste året (i formatet ÅÅÅÅ) som övervakades rapporteras. Ange 9999 om parametern inte har mätts ännu.</w:t>
            </w:r>
            <w:r>
              <w:rPr>
                <w:color w:val="000000"/>
              </w:rPr>
              <w:t xml:space="preserve"> </w:t>
            </w:r>
          </w:p>
          <w:p w:rsidR="000215C5" w:rsidRDefault="00703023">
            <w:pPr>
              <w:spacing w:after="120"/>
              <w:jc w:val="both"/>
              <w:rPr>
                <w:b/>
                <w:szCs w:val="24"/>
              </w:rPr>
            </w:pPr>
            <w:r>
              <w:rPr>
                <w:b/>
              </w:rPr>
              <w:t>Kvalitetskontroller</w:t>
            </w:r>
            <w:r>
              <w:t>: Villkorlig kontroll: Rapportera om quantitativeMonitoring är ”Yes”.</w:t>
            </w:r>
          </w:p>
        </w:tc>
      </w:tr>
      <w:tr w:rsidR="000215C5">
        <w:tc>
          <w:tcPr>
            <w:tcW w:w="9847" w:type="dxa"/>
            <w:shd w:val="clear" w:color="auto" w:fill="auto"/>
          </w:tcPr>
          <w:p w:rsidR="000215C5" w:rsidRDefault="00703023">
            <w:pPr>
              <w:spacing w:after="120"/>
              <w:jc w:val="both"/>
              <w:rPr>
                <w:szCs w:val="24"/>
              </w:rPr>
            </w:pPr>
            <w:r>
              <w:rPr>
                <w:b/>
              </w:rPr>
              <w:t>Mallpost</w:t>
            </w:r>
            <w:r>
              <w:t>:</w:t>
            </w:r>
            <w:r>
              <w:rPr>
                <w:b/>
              </w:rPr>
              <w:t xml:space="preserve"> </w:t>
            </w:r>
            <w:r>
              <w:t>wellSpring</w:t>
            </w:r>
          </w:p>
          <w:p w:rsidR="000215C5" w:rsidRDefault="00703023">
            <w:pPr>
              <w:spacing w:after="120"/>
              <w:jc w:val="both"/>
              <w:rPr>
                <w:szCs w:val="24"/>
              </w:rPr>
            </w:pPr>
            <w:r>
              <w:rPr>
                <w:b/>
              </w:rPr>
              <w:t xml:space="preserve">Fälttyp/alternativ: </w:t>
            </w:r>
            <w:r>
              <w:t>WellSpring_Enum:Well, Spring, Other</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För övervakningsstationer för grundvatten: ange om övervakningsstationen är en brunn, källa eller annat.</w:t>
            </w:r>
          </w:p>
          <w:p w:rsidR="000215C5" w:rsidRDefault="00703023">
            <w:pPr>
              <w:spacing w:after="120"/>
              <w:jc w:val="both"/>
              <w:rPr>
                <w:b/>
                <w:szCs w:val="24"/>
              </w:rPr>
            </w:pPr>
            <w:r>
              <w:rPr>
                <w:b/>
              </w:rPr>
              <w:t>Kvalitetskontroller</w:t>
            </w:r>
            <w:r>
              <w:t>: Villkorlig kontroll: rapportera om waterCategory är ”GW”.</w:t>
            </w:r>
            <w:r>
              <w:rPr>
                <w:b/>
              </w:rPr>
              <w:t xml:space="preserve"> </w:t>
            </w:r>
          </w:p>
        </w:tc>
      </w:tr>
      <w:tr w:rsidR="000215C5">
        <w:tc>
          <w:tcPr>
            <w:tcW w:w="9847" w:type="dxa"/>
            <w:shd w:val="clear" w:color="auto" w:fill="auto"/>
          </w:tcPr>
          <w:p w:rsidR="000215C5" w:rsidRDefault="00703023">
            <w:pPr>
              <w:spacing w:after="120"/>
              <w:jc w:val="both"/>
              <w:rPr>
                <w:szCs w:val="24"/>
              </w:rPr>
            </w:pPr>
            <w:r>
              <w:rPr>
                <w:b/>
              </w:rPr>
              <w:t>Mallpost</w:t>
            </w:r>
            <w:r>
              <w:t>:</w:t>
            </w:r>
            <w:r>
              <w:rPr>
                <w:b/>
              </w:rPr>
              <w:t xml:space="preserve"> </w:t>
            </w:r>
            <w:r>
              <w:t>depth</w:t>
            </w:r>
          </w:p>
          <w:p w:rsidR="000215C5" w:rsidRDefault="00703023">
            <w:pPr>
              <w:spacing w:after="120"/>
              <w:jc w:val="both"/>
              <w:rPr>
                <w:szCs w:val="24"/>
              </w:rPr>
            </w:pPr>
            <w:r>
              <w:rPr>
                <w:b/>
              </w:rPr>
              <w:t xml:space="preserve">Fälttyp/alternativ: </w:t>
            </w:r>
            <w:r>
              <w:t>MonitoringDepth_Enum:Upper, Medium, Lower, Mixed</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Villkorlig. För övervakningsstationer för grundvatten: ange det grundvattenlager inom grundvattenförekomsten där provtagningen sker. En visualisering av grundvattenförekomster med flera lager finns i avsnitten 1.3 och 2.3 i bilaga 4.</w:t>
            </w:r>
          </w:p>
          <w:p w:rsidR="000215C5" w:rsidRDefault="00703023">
            <w:pPr>
              <w:spacing w:after="120"/>
              <w:jc w:val="both"/>
              <w:rPr>
                <w:b/>
                <w:szCs w:val="24"/>
              </w:rPr>
            </w:pPr>
            <w:r>
              <w:rPr>
                <w:b/>
              </w:rPr>
              <w:t>Kvalitetskontroller</w:t>
            </w:r>
            <w:r>
              <w:t>: Villkorlig kontroll: rapportera om waterCategory är ”GW”.</w:t>
            </w:r>
            <w:r>
              <w:rPr>
                <w:b/>
              </w:rPr>
              <w:t xml:space="preserve"> </w:t>
            </w:r>
          </w:p>
        </w:tc>
      </w:tr>
    </w:tbl>
    <w:p w:rsidR="000215C5" w:rsidRDefault="000215C5">
      <w:pPr>
        <w:jc w:val="both"/>
        <w:rPr>
          <w:b/>
        </w:rPr>
      </w:pPr>
    </w:p>
    <w:p w:rsidR="000215C5" w:rsidRDefault="00703023">
      <w:pPr>
        <w:jc w:val="both"/>
      </w:pPr>
      <w:r>
        <w:t>Följande klass (underkategori till MonitoringSite) används för att rapportera varje kvalitetsfaktor som övervakas vid övervakningsstationen för ytvatten: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0215C5">
        <w:tc>
          <w:tcPr>
            <w:tcW w:w="9847" w:type="dxa"/>
            <w:shd w:val="clear" w:color="auto" w:fill="auto"/>
          </w:tcPr>
          <w:p w:rsidR="000215C5" w:rsidRDefault="00703023">
            <w:pPr>
              <w:spacing w:after="120"/>
              <w:jc w:val="both"/>
              <w:rPr>
                <w:b/>
                <w:szCs w:val="24"/>
              </w:rPr>
            </w:pPr>
            <w:r>
              <w:rPr>
                <w:b/>
              </w:rPr>
              <w:t>Mall: Monitoring (fortsättning)</w:t>
            </w:r>
          </w:p>
        </w:tc>
      </w:tr>
      <w:tr w:rsidR="000215C5">
        <w:tc>
          <w:tcPr>
            <w:tcW w:w="9847" w:type="dxa"/>
            <w:shd w:val="clear" w:color="auto" w:fill="auto"/>
          </w:tcPr>
          <w:p w:rsidR="000215C5" w:rsidRDefault="00703023">
            <w:pPr>
              <w:spacing w:after="120"/>
              <w:jc w:val="both"/>
              <w:rPr>
                <w:b/>
                <w:i/>
                <w:szCs w:val="24"/>
              </w:rPr>
            </w:pPr>
            <w:r>
              <w:rPr>
                <w:b/>
                <w:i/>
              </w:rPr>
              <w:t>Class SWEcologicalMonitoring</w:t>
            </w:r>
          </w:p>
          <w:p w:rsidR="000215C5" w:rsidRDefault="00703023">
            <w:pPr>
              <w:spacing w:after="120"/>
              <w:jc w:val="both"/>
              <w:rPr>
                <w:i/>
                <w:szCs w:val="24"/>
              </w:rPr>
            </w:pPr>
            <w:r>
              <w:rPr>
                <w:b/>
                <w:i/>
              </w:rPr>
              <w:t>Egenskaper</w:t>
            </w:r>
            <w:r>
              <w:rPr>
                <w:i/>
              </w:rPr>
              <w:t>: maxOccurs = unbounded minOccurs = 0</w:t>
            </w:r>
          </w:p>
          <w:p w:rsidR="000215C5" w:rsidRDefault="00703023">
            <w:pPr>
              <w:spacing w:after="120"/>
              <w:jc w:val="both"/>
              <w:rPr>
                <w:i/>
                <w:szCs w:val="24"/>
              </w:rPr>
            </w:pPr>
            <w:r>
              <w:rPr>
                <w:i/>
              </w:rPr>
              <w:t>Villkorlig kontroll: rapportera minst 1 om ecologicalMonitoring är ”Yes”.</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qeCode</w:t>
            </w:r>
          </w:p>
          <w:p w:rsidR="000215C5" w:rsidRDefault="00703023">
            <w:pPr>
              <w:spacing w:after="120"/>
              <w:jc w:val="both"/>
              <w:rPr>
                <w:szCs w:val="24"/>
              </w:rPr>
            </w:pPr>
            <w:r>
              <w:rPr>
                <w:b/>
              </w:rPr>
              <w:t xml:space="preserve">Fälttyp/alternativ: </w:t>
            </w:r>
            <w:r>
              <w:t xml:space="preserve">QualityElement_Enum (se bilaga 8h) </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Krävs</w:t>
            </w:r>
            <w:r>
              <w:rPr>
                <w:rStyle w:val="Fotnotsreferens"/>
              </w:rPr>
              <w:footnoteReference w:id="58"/>
            </w:r>
            <w:r>
              <w:t xml:space="preserve">. Välj alla kvalitetsfaktorer (QE) som övervakas vid denna övervakningsstation för ytvatten från uppräkningslistan. </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qeDescription</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”QE1-5 – Other species” har valts från uppräkningslistan och rapporteras under qualityElementCode, ange den eller de andra kvalitetsfaktorer som övervakas vid denna övervakningsstation för ytvatten.</w:t>
            </w:r>
          </w:p>
          <w:p w:rsidR="000215C5" w:rsidRDefault="00703023">
            <w:pPr>
              <w:spacing w:after="120"/>
              <w:jc w:val="both"/>
              <w:rPr>
                <w:b/>
                <w:szCs w:val="24"/>
              </w:rPr>
            </w:pPr>
            <w:r>
              <w:rPr>
                <w:b/>
              </w:rPr>
              <w:t>Kvalitetskontroller</w:t>
            </w:r>
            <w:r>
              <w:t>: Villkorlig kontroll: Rapportera om alternativet ”QE1-5 – Other species” väljs under qualityElementCode i uppräkningslistan.</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qeFrequency</w:t>
            </w:r>
          </w:p>
          <w:p w:rsidR="000215C5" w:rsidRDefault="00703023">
            <w:pPr>
              <w:spacing w:after="120"/>
              <w:jc w:val="both"/>
              <w:rPr>
                <w:szCs w:val="24"/>
              </w:rPr>
            </w:pPr>
            <w:r>
              <w:rPr>
                <w:b/>
              </w:rPr>
              <w:t xml:space="preserve">Fälttyp/alternativ: </w:t>
            </w:r>
            <w:r>
              <w:t>nonNegativeInteger</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Rapportera övervakningsfrekvensen för varje kvalitetsfaktor vid denna övervakningsstation för ytvatten.</w:t>
            </w:r>
          </w:p>
          <w:p w:rsidR="000215C5" w:rsidRDefault="00703023">
            <w:pPr>
              <w:spacing w:after="120"/>
              <w:jc w:val="both"/>
              <w:rPr>
                <w:b/>
                <w:szCs w:val="24"/>
              </w:rPr>
            </w:pPr>
            <w:r>
              <w:t xml:space="preserve">Ytterligare vägledning om vilka uppgifter som ska rapporteras finns i ordlistan i avsnitt </w:t>
            </w:r>
            <w:r>
              <w:fldChar w:fldCharType="begin"/>
            </w:r>
            <w:r>
              <w:instrText xml:space="preserve"> REF _Ref425176628 \r \h  \* MERGEFORMAT </w:instrText>
            </w:r>
            <w:r>
              <w:fldChar w:fldCharType="separate"/>
            </w:r>
            <w:r>
              <w:rPr>
                <w:szCs w:val="24"/>
              </w:rPr>
              <w:t>4.3.5</w:t>
            </w:r>
            <w:r>
              <w:fldChar w:fldCharType="end"/>
            </w:r>
            <w:r>
              <w:t>.</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qeCycle</w:t>
            </w:r>
          </w:p>
          <w:p w:rsidR="000215C5" w:rsidRDefault="00703023">
            <w:pPr>
              <w:spacing w:after="120"/>
              <w:jc w:val="both"/>
              <w:rPr>
                <w:szCs w:val="24"/>
              </w:rPr>
            </w:pPr>
            <w:r>
              <w:rPr>
                <w:b/>
              </w:rPr>
              <w:t xml:space="preserve">Fälttyp/alternativ: </w:t>
            </w:r>
            <w:r>
              <w:t>nonNegativeInteger</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Rapportera övervakningscykeln för varje kvalitetsfaktor vid denna övervakningsstation för ytvatten.</w:t>
            </w:r>
          </w:p>
          <w:p w:rsidR="000215C5" w:rsidRDefault="00703023">
            <w:pPr>
              <w:spacing w:after="120"/>
              <w:jc w:val="both"/>
              <w:rPr>
                <w:b/>
                <w:szCs w:val="24"/>
              </w:rPr>
            </w:pPr>
            <w:r>
              <w:t xml:space="preserve">Ytterligare vägledning om vilka uppgifter som ska rapporteras finns i ordlistan i avsnitt </w:t>
            </w:r>
            <w:r>
              <w:fldChar w:fldCharType="begin"/>
            </w:r>
            <w:r>
              <w:instrText xml:space="preserve"> REF _Ref425176628 \r \h  \* MERGEFORMAT </w:instrText>
            </w:r>
            <w:r>
              <w:fldChar w:fldCharType="separate"/>
            </w:r>
            <w:r>
              <w:rPr>
                <w:szCs w:val="24"/>
              </w:rPr>
              <w:t>4.3.5</w:t>
            </w:r>
            <w:r>
              <w:fldChar w:fldCharType="end"/>
            </w:r>
            <w:r>
              <w:t>.</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qeLastMonitored</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Rapportera det senaste året (i formatet ÅÅÅÅ) då varje kvalitetsfaktor övervakades vid denna övervakningsstation för ytvatten. Ange 9999 om kvalitetsfaktorn inte har mätts ännu.</w:t>
            </w:r>
          </w:p>
        </w:tc>
      </w:tr>
    </w:tbl>
    <w:p w:rsidR="000215C5" w:rsidRDefault="000215C5">
      <w:pPr>
        <w:jc w:val="both"/>
      </w:pPr>
    </w:p>
    <w:p w:rsidR="000215C5" w:rsidRDefault="00703023">
      <w:pPr>
        <w:jc w:val="both"/>
      </w:pPr>
      <w:r>
        <w:t>Följande klass (underkategori till MonitoringSite) används för att rapportera varje kemiskt ämne som övervakas vid övervakningsstationen för grundvatten: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0215C5">
        <w:tc>
          <w:tcPr>
            <w:tcW w:w="9847" w:type="dxa"/>
            <w:shd w:val="clear" w:color="auto" w:fill="auto"/>
          </w:tcPr>
          <w:p w:rsidR="000215C5" w:rsidRDefault="00703023">
            <w:pPr>
              <w:spacing w:after="120"/>
              <w:jc w:val="both"/>
              <w:rPr>
                <w:b/>
                <w:szCs w:val="24"/>
              </w:rPr>
            </w:pPr>
            <w:r>
              <w:rPr>
                <w:b/>
              </w:rPr>
              <w:t>Mall: Monitoring (fortsättning)</w:t>
            </w:r>
          </w:p>
        </w:tc>
      </w:tr>
      <w:tr w:rsidR="000215C5">
        <w:tc>
          <w:tcPr>
            <w:tcW w:w="9847" w:type="dxa"/>
            <w:shd w:val="clear" w:color="auto" w:fill="auto"/>
          </w:tcPr>
          <w:p w:rsidR="000215C5" w:rsidRDefault="00703023">
            <w:pPr>
              <w:spacing w:after="120"/>
              <w:jc w:val="both"/>
              <w:rPr>
                <w:b/>
                <w:i/>
                <w:szCs w:val="24"/>
              </w:rPr>
            </w:pPr>
            <w:r>
              <w:rPr>
                <w:b/>
                <w:i/>
              </w:rPr>
              <w:t>Class ChemicalMonitoring</w:t>
            </w:r>
          </w:p>
          <w:p w:rsidR="000215C5" w:rsidRDefault="00703023">
            <w:pPr>
              <w:spacing w:after="120"/>
              <w:jc w:val="both"/>
              <w:rPr>
                <w:i/>
                <w:szCs w:val="24"/>
              </w:rPr>
            </w:pPr>
            <w:r>
              <w:rPr>
                <w:b/>
                <w:i/>
              </w:rPr>
              <w:t>Egenskaper</w:t>
            </w:r>
            <w:r>
              <w:rPr>
                <w:i/>
              </w:rPr>
              <w:t>: maxOccurs = unbounded minOccurs = 0</w:t>
            </w:r>
          </w:p>
          <w:p w:rsidR="000215C5" w:rsidRDefault="00703023">
            <w:pPr>
              <w:spacing w:after="120"/>
              <w:jc w:val="both"/>
              <w:rPr>
                <w:b/>
                <w:szCs w:val="24"/>
              </w:rPr>
            </w:pPr>
            <w:r>
              <w:rPr>
                <w:i/>
              </w:rPr>
              <w:t>Villkorlig kontroll: rapportera minst 1 om chemicalMonitoring är ”Yes”.</w:t>
            </w:r>
          </w:p>
        </w:tc>
      </w:tr>
      <w:tr w:rsidR="000215C5">
        <w:tc>
          <w:tcPr>
            <w:tcW w:w="9847" w:type="dxa"/>
            <w:shd w:val="clear" w:color="auto" w:fill="auto"/>
          </w:tcPr>
          <w:p w:rsidR="000215C5" w:rsidRDefault="00703023">
            <w:pPr>
              <w:spacing w:after="120"/>
              <w:jc w:val="both"/>
              <w:rPr>
                <w:b/>
                <w:szCs w:val="24"/>
              </w:rPr>
            </w:pPr>
            <w:r>
              <w:rPr>
                <w:b/>
              </w:rPr>
              <w:t>Mallpost</w:t>
            </w:r>
            <w:r>
              <w:t>: chemicalSubstanceCode</w:t>
            </w:r>
          </w:p>
          <w:p w:rsidR="000215C5" w:rsidRDefault="00703023">
            <w:pPr>
              <w:spacing w:after="120"/>
              <w:jc w:val="both"/>
              <w:rPr>
                <w:szCs w:val="24"/>
              </w:rPr>
            </w:pPr>
            <w:r>
              <w:rPr>
                <w:b/>
              </w:rPr>
              <w:t xml:space="preserve">Fälttyp/alternativ: </w:t>
            </w:r>
            <w:r>
              <w:t>ChemicalSubstances_Union_Enum (se bilaga 8e)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Rapportera varje kemiskt ämne eller parameter som övervakas vid denna station. </w:t>
            </w:r>
          </w:p>
          <w:p w:rsidR="000215C5" w:rsidRDefault="00703023">
            <w:pPr>
              <w:jc w:val="both"/>
            </w:pPr>
            <w:r>
              <w:t>Observera att för ytvatten ingår prioriterade ämnen i bedömningen av kemisk status enligt vattendirektivet, medan ej prioriterade särskilda förorenande ämnen för avrinningsdistrikt ingår i bedömningen av ekologisk status. För att förenkla rapporteringen av övervakningsuppgifter ska dessa uppgifter dock rapporteras tillsammans. Tänk på att följande förorenande ämnen och parametrar endast gäller för grundvatten (för ytvatten ingår de flesta av dem i ekologisk status eller rapporteras individuellt när det gäller bekämpningsmedel). Hårdhet, vattentemperatur, löst syre, COD</w:t>
            </w:r>
            <w:r>
              <w:rPr>
                <w:vertAlign w:val="subscript"/>
              </w:rPr>
              <w:t>Mn</w:t>
            </w:r>
            <w:r>
              <w:t>, totalt organiskt kol (TOC), klorid, sulfat, elektrisk konduktivitet, pH, vätekarbonat (bikarbonat) HCO3, syraneutraliserande förmåga till pH 4.5, nitrat, totalt fosfor, bekämpningsmedel (aktiva ämnen i bekämpningsmedel, inbegripet relevanta metaboliter, nedbrytnings- och reaktionsprodukter) – totalt.</w:t>
            </w:r>
          </w:p>
        </w:tc>
      </w:tr>
      <w:tr w:rsidR="000215C5">
        <w:tc>
          <w:tcPr>
            <w:tcW w:w="9847" w:type="dxa"/>
            <w:shd w:val="clear" w:color="auto" w:fill="auto"/>
          </w:tcPr>
          <w:p w:rsidR="000215C5" w:rsidRDefault="00703023">
            <w:pPr>
              <w:spacing w:after="120"/>
              <w:jc w:val="both"/>
              <w:rPr>
                <w:b/>
                <w:szCs w:val="24"/>
              </w:rPr>
            </w:pPr>
            <w:r>
              <w:rPr>
                <w:b/>
              </w:rPr>
              <w:t>Mallpost</w:t>
            </w:r>
            <w:r>
              <w:t>: chemicalSubstanceOther</w:t>
            </w:r>
          </w:p>
          <w:p w:rsidR="000215C5" w:rsidRDefault="00703023">
            <w:pPr>
              <w:spacing w:after="120"/>
              <w:jc w:val="both"/>
              <w:rPr>
                <w:b/>
                <w:szCs w:val="24"/>
              </w:rPr>
            </w:pPr>
            <w:r>
              <w:rPr>
                <w:b/>
              </w:rPr>
              <w:t>Fälttyp/alternativ:</w:t>
            </w:r>
            <w:r>
              <w:t xml:space="preserve"> String100Type</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Villkorlig. Om chemicalSubstanceCode är ”Other”, ange CAS-nummer (i förekommande fall) samt namnet på det kemiska ämnet i detta fält.</w:t>
            </w:r>
          </w:p>
          <w:p w:rsidR="000215C5" w:rsidRDefault="00703023">
            <w:pPr>
              <w:spacing w:after="120"/>
              <w:jc w:val="both"/>
              <w:rPr>
                <w:szCs w:val="24"/>
              </w:rPr>
            </w:pPr>
            <w:r>
              <w:rPr>
                <w:b/>
              </w:rPr>
              <w:t>Kvalitetskontroller</w:t>
            </w:r>
            <w:r>
              <w:t xml:space="preserve">: Villkorlig kontroll: rapportera om chemicalSubstanceCode är ”EEA_00-00-0 – Other chemical parameter”.  </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chemicalMatrix</w:t>
            </w:r>
          </w:p>
          <w:p w:rsidR="000215C5" w:rsidRDefault="00703023">
            <w:pPr>
              <w:spacing w:after="120"/>
              <w:jc w:val="both"/>
              <w:rPr>
                <w:szCs w:val="24"/>
              </w:rPr>
            </w:pPr>
            <w:r>
              <w:rPr>
                <w:b/>
              </w:rPr>
              <w:t xml:space="preserve">Fälttyp/alternativ: </w:t>
            </w:r>
            <w:r>
              <w:t>ChemicalMatrixType_Enum:</w:t>
            </w:r>
          </w:p>
          <w:p w:rsidR="000215C5" w:rsidRDefault="00703023">
            <w:pPr>
              <w:spacing w:after="120"/>
              <w:jc w:val="both"/>
              <w:rPr>
                <w:color w:val="000000"/>
              </w:rPr>
            </w:pPr>
            <w:r>
              <w:rPr>
                <w:color w:val="000000"/>
              </w:rPr>
              <w:t>Water</w:t>
            </w:r>
          </w:p>
          <w:p w:rsidR="000215C5" w:rsidRDefault="00703023">
            <w:pPr>
              <w:spacing w:after="120"/>
              <w:jc w:val="both"/>
              <w:rPr>
                <w:color w:val="000000"/>
              </w:rPr>
            </w:pPr>
            <w:r>
              <w:rPr>
                <w:color w:val="000000"/>
              </w:rPr>
              <w:t>Biota</w:t>
            </w:r>
          </w:p>
          <w:p w:rsidR="000215C5" w:rsidRDefault="00703023">
            <w:pPr>
              <w:spacing w:after="120"/>
              <w:jc w:val="both"/>
              <w:rPr>
                <w:color w:val="000000"/>
              </w:rPr>
            </w:pPr>
            <w:r>
              <w:rPr>
                <w:color w:val="000000"/>
              </w:rPr>
              <w:t>Biota - fish</w:t>
            </w:r>
          </w:p>
          <w:p w:rsidR="000215C5" w:rsidRDefault="00703023">
            <w:pPr>
              <w:spacing w:after="120"/>
              <w:jc w:val="both"/>
              <w:rPr>
                <w:color w:val="000000"/>
              </w:rPr>
            </w:pPr>
            <w:r>
              <w:rPr>
                <w:color w:val="000000"/>
              </w:rPr>
              <w:t>Biota - other</w:t>
            </w:r>
          </w:p>
          <w:p w:rsidR="000215C5" w:rsidRPr="00D95552" w:rsidRDefault="00703023">
            <w:pPr>
              <w:spacing w:after="120"/>
              <w:jc w:val="both"/>
              <w:rPr>
                <w:color w:val="000000"/>
                <w:lang w:val="it-IT"/>
              </w:rPr>
            </w:pPr>
            <w:r w:rsidRPr="00D95552">
              <w:rPr>
                <w:color w:val="000000"/>
                <w:lang w:val="it-IT"/>
              </w:rPr>
              <w:t>Sediment</w:t>
            </w:r>
          </w:p>
          <w:p w:rsidR="000215C5" w:rsidRPr="00D95552" w:rsidRDefault="00703023">
            <w:pPr>
              <w:spacing w:after="120"/>
              <w:jc w:val="both"/>
              <w:rPr>
                <w:color w:val="000000"/>
                <w:lang w:val="it-IT"/>
              </w:rPr>
            </w:pPr>
            <w:r w:rsidRPr="00D95552">
              <w:rPr>
                <w:color w:val="000000"/>
                <w:lang w:val="it-IT"/>
              </w:rPr>
              <w:t>Sediment - suspended sediment</w:t>
            </w:r>
          </w:p>
          <w:p w:rsidR="000215C5" w:rsidRPr="00D95552" w:rsidRDefault="00703023">
            <w:pPr>
              <w:spacing w:after="120"/>
              <w:jc w:val="both"/>
              <w:rPr>
                <w:color w:val="000000"/>
                <w:lang w:val="it-IT"/>
              </w:rPr>
            </w:pPr>
            <w:r w:rsidRPr="00D95552">
              <w:rPr>
                <w:color w:val="000000"/>
                <w:lang w:val="it-IT"/>
              </w:rPr>
              <w:t xml:space="preserve">Sediment - settled sediment </w:t>
            </w:r>
          </w:p>
          <w:p w:rsidR="000215C5" w:rsidRDefault="00703023">
            <w:pPr>
              <w:spacing w:after="120"/>
              <w:jc w:val="both"/>
            </w:pPr>
            <w:r>
              <w:rPr>
                <w:b/>
              </w:rPr>
              <w:t>Egenskaper</w:t>
            </w:r>
            <w:r>
              <w:t>: maxOccurs = 1 minOccurs = 1</w:t>
            </w:r>
          </w:p>
          <w:p w:rsidR="000215C5" w:rsidRDefault="00703023">
            <w:pPr>
              <w:spacing w:after="120"/>
              <w:jc w:val="both"/>
              <w:rPr>
                <w:b/>
                <w:szCs w:val="24"/>
              </w:rPr>
            </w:pPr>
            <w:r>
              <w:rPr>
                <w:b/>
              </w:rPr>
              <w:t>Vägledning om hur man fyller i mallposten</w:t>
            </w:r>
            <w:r>
              <w:t>: Krävs. Rapportera den matris inom vilken varje kemiskt ämne övervakas. Rapportera ”Water” för övervakningsstationer för grundvatten.</w:t>
            </w:r>
          </w:p>
        </w:tc>
      </w:tr>
      <w:tr w:rsidR="000215C5">
        <w:tc>
          <w:tcPr>
            <w:tcW w:w="9847"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chemicalPurpose</w:t>
            </w:r>
          </w:p>
          <w:p w:rsidR="000215C5" w:rsidRPr="00D95552" w:rsidRDefault="00703023">
            <w:pPr>
              <w:spacing w:after="120"/>
              <w:jc w:val="both"/>
              <w:rPr>
                <w:szCs w:val="24"/>
              </w:rPr>
            </w:pPr>
            <w:r w:rsidRPr="00D95552">
              <w:rPr>
                <w:b/>
              </w:rPr>
              <w:t>Fälttyp/alternativ:</w:t>
            </w:r>
            <w:r w:rsidRPr="00D95552">
              <w:t xml:space="preserve"> ChemicalPurpose_Enum: </w:t>
            </w:r>
            <w:r w:rsidRPr="00D95552">
              <w:rPr>
                <w:color w:val="000000"/>
              </w:rPr>
              <w:t xml:space="preserve">Status, Trend, Both </w:t>
            </w:r>
          </w:p>
          <w:p w:rsidR="000215C5" w:rsidRDefault="00703023">
            <w:pPr>
              <w:spacing w:after="120"/>
              <w:jc w:val="both"/>
            </w:pPr>
            <w:r>
              <w:rPr>
                <w:b/>
              </w:rPr>
              <w:t>Egenskaper</w:t>
            </w:r>
            <w:r>
              <w:t>: maxOccurs = 1 minOccurs = 1</w:t>
            </w:r>
          </w:p>
          <w:p w:rsidR="000215C5" w:rsidRDefault="00703023">
            <w:pPr>
              <w:spacing w:after="120"/>
              <w:jc w:val="both"/>
              <w:rPr>
                <w:szCs w:val="24"/>
              </w:rPr>
            </w:pPr>
            <w:r>
              <w:rPr>
                <w:b/>
              </w:rPr>
              <w:t>Vägledning om hur man fyller i mallposten</w:t>
            </w:r>
            <w:r>
              <w:t>: Krävs. Rapportera om den kemiska övervakningen används för statusbedömning, trendbedömning eller båda.</w:t>
            </w:r>
          </w:p>
        </w:tc>
      </w:tr>
      <w:tr w:rsidR="000215C5">
        <w:tc>
          <w:tcPr>
            <w:tcW w:w="9847" w:type="dxa"/>
            <w:shd w:val="clear" w:color="auto" w:fill="auto"/>
          </w:tcPr>
          <w:p w:rsidR="000215C5" w:rsidRDefault="00703023">
            <w:pPr>
              <w:spacing w:after="120"/>
              <w:jc w:val="both"/>
              <w:rPr>
                <w:b/>
                <w:szCs w:val="24"/>
              </w:rPr>
            </w:pPr>
            <w:r>
              <w:rPr>
                <w:b/>
              </w:rPr>
              <w:t>Mallpost</w:t>
            </w:r>
            <w:r>
              <w:t>: chemicalFrequency</w:t>
            </w:r>
          </w:p>
          <w:p w:rsidR="000215C5" w:rsidRDefault="00703023">
            <w:pPr>
              <w:spacing w:after="120"/>
              <w:jc w:val="both"/>
              <w:rPr>
                <w:szCs w:val="24"/>
              </w:rPr>
            </w:pPr>
            <w:r>
              <w:rPr>
                <w:b/>
              </w:rPr>
              <w:t xml:space="preserve">Fälttyp/alternativ: </w:t>
            </w:r>
            <w:r>
              <w:t>nonNegativeInteger</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Rapportera övervakningsfrekvensen för varje kemiskt ämne vid denna övervakningsstation.</w:t>
            </w:r>
          </w:p>
          <w:p w:rsidR="000215C5" w:rsidRDefault="00703023">
            <w:pPr>
              <w:spacing w:after="120"/>
              <w:jc w:val="both"/>
              <w:rPr>
                <w:b/>
                <w:szCs w:val="24"/>
              </w:rPr>
            </w:pPr>
            <w:r>
              <w:t xml:space="preserve">Ytterligare vägledning om vilka uppgifter som ska rapporteras finns i ordlistan i avsnitt </w:t>
            </w:r>
            <w:r>
              <w:rPr>
                <w:szCs w:val="24"/>
              </w:rPr>
              <w:fldChar w:fldCharType="begin"/>
            </w:r>
            <w:r>
              <w:rPr>
                <w:szCs w:val="24"/>
              </w:rPr>
              <w:instrText xml:space="preserve"> REF _Ref425176628 \r \h  \* MERGEFORMAT </w:instrText>
            </w:r>
            <w:r>
              <w:rPr>
                <w:szCs w:val="24"/>
              </w:rPr>
            </w:r>
            <w:r>
              <w:rPr>
                <w:szCs w:val="24"/>
              </w:rPr>
              <w:fldChar w:fldCharType="separate"/>
            </w:r>
            <w:r>
              <w:rPr>
                <w:szCs w:val="24"/>
              </w:rPr>
              <w:t>4.3.5</w:t>
            </w:r>
            <w:r>
              <w:rPr>
                <w:szCs w:val="24"/>
              </w:rPr>
              <w:fldChar w:fldCharType="end"/>
            </w:r>
            <w:r>
              <w:t>.</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chemicalCycle</w:t>
            </w:r>
          </w:p>
          <w:p w:rsidR="000215C5" w:rsidRDefault="00703023">
            <w:pPr>
              <w:spacing w:after="120"/>
              <w:jc w:val="both"/>
              <w:rPr>
                <w:szCs w:val="24"/>
              </w:rPr>
            </w:pPr>
            <w:r>
              <w:rPr>
                <w:b/>
              </w:rPr>
              <w:t xml:space="preserve">Fälttyp/alternativ: </w:t>
            </w:r>
            <w:r>
              <w:t>nonNegativeInteger</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Rapportera övervakningscykeln för varje kemiskt ämne vid denna övervakningsstation.</w:t>
            </w:r>
          </w:p>
          <w:p w:rsidR="000215C5" w:rsidRDefault="00703023">
            <w:pPr>
              <w:spacing w:after="120"/>
              <w:jc w:val="both"/>
              <w:rPr>
                <w:szCs w:val="24"/>
              </w:rPr>
            </w:pPr>
            <w:r>
              <w:t xml:space="preserve">Ytterligare vägledning om vilka uppgifter som ska rapporteras finns i ordlistan i avsnitt </w:t>
            </w:r>
            <w:r>
              <w:rPr>
                <w:szCs w:val="24"/>
              </w:rPr>
              <w:fldChar w:fldCharType="begin"/>
            </w:r>
            <w:r>
              <w:rPr>
                <w:szCs w:val="24"/>
              </w:rPr>
              <w:instrText xml:space="preserve"> REF _Ref425176628 \r \h  \* MERGEFORMAT </w:instrText>
            </w:r>
            <w:r>
              <w:rPr>
                <w:szCs w:val="24"/>
              </w:rPr>
            </w:r>
            <w:r>
              <w:rPr>
                <w:szCs w:val="24"/>
              </w:rPr>
              <w:fldChar w:fldCharType="separate"/>
            </w:r>
            <w:r>
              <w:rPr>
                <w:szCs w:val="24"/>
              </w:rPr>
              <w:t>4.3.5</w:t>
            </w:r>
            <w:r>
              <w:rPr>
                <w:szCs w:val="24"/>
              </w:rPr>
              <w:fldChar w:fldCharType="end"/>
            </w:r>
            <w:r>
              <w:t>.</w:t>
            </w:r>
          </w:p>
        </w:tc>
      </w:tr>
      <w:tr w:rsidR="000215C5">
        <w:tc>
          <w:tcPr>
            <w:tcW w:w="9847" w:type="dxa"/>
            <w:shd w:val="clear" w:color="auto" w:fill="auto"/>
          </w:tcPr>
          <w:p w:rsidR="000215C5" w:rsidRDefault="00703023">
            <w:pPr>
              <w:spacing w:after="120"/>
              <w:jc w:val="both"/>
              <w:rPr>
                <w:b/>
                <w:szCs w:val="24"/>
              </w:rPr>
            </w:pPr>
            <w:r>
              <w:rPr>
                <w:b/>
              </w:rPr>
              <w:t>Mallpost</w:t>
            </w:r>
            <w:r>
              <w:t>: chemicalLastMonitored</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Egenskaper</w:t>
            </w:r>
            <w:r>
              <w:t>: maxOccurs = 1 minOccurs = 1</w:t>
            </w:r>
          </w:p>
          <w:p w:rsidR="000215C5" w:rsidRDefault="00703023">
            <w:pPr>
              <w:spacing w:after="120"/>
              <w:jc w:val="both"/>
              <w:rPr>
                <w:b/>
                <w:szCs w:val="24"/>
              </w:rPr>
            </w:pPr>
            <w:r>
              <w:rPr>
                <w:b/>
              </w:rPr>
              <w:t>Vägledning om hur man fyller i mallposten</w:t>
            </w:r>
            <w:r>
              <w:t>: Krävs. Rapportera det senaste året (i formatet ÅÅÅÅ) då varje kemiskt ämne övervakades vid denna övervakningsstation. Ange 9999 om det kemiska ämnet inte har mätts ännu.</w:t>
            </w:r>
          </w:p>
        </w:tc>
      </w:tr>
    </w:tbl>
    <w:p w:rsidR="000215C5" w:rsidRDefault="000215C5">
      <w:pPr>
        <w:jc w:val="both"/>
      </w:pPr>
    </w:p>
    <w:p w:rsidR="000215C5" w:rsidRDefault="00703023">
      <w:pPr>
        <w:jc w:val="both"/>
      </w:pPr>
      <w:r>
        <w:t>Följande klass (underkategori till MonitoringSite) används för att rapportera syftet och det program som är kopplat till detta: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0215C5">
        <w:tc>
          <w:tcPr>
            <w:tcW w:w="9847" w:type="dxa"/>
            <w:shd w:val="clear" w:color="auto" w:fill="auto"/>
          </w:tcPr>
          <w:p w:rsidR="000215C5" w:rsidRDefault="00703023">
            <w:pPr>
              <w:spacing w:after="120"/>
              <w:jc w:val="both"/>
              <w:rPr>
                <w:b/>
                <w:szCs w:val="24"/>
              </w:rPr>
            </w:pPr>
            <w:r>
              <w:rPr>
                <w:b/>
              </w:rPr>
              <w:t>Mall: Monitoring (fortsättning)</w:t>
            </w:r>
          </w:p>
        </w:tc>
      </w:tr>
      <w:tr w:rsidR="000215C5" w:rsidRPr="00764B64">
        <w:tc>
          <w:tcPr>
            <w:tcW w:w="9847" w:type="dxa"/>
            <w:shd w:val="clear" w:color="auto" w:fill="auto"/>
          </w:tcPr>
          <w:p w:rsidR="000215C5" w:rsidRPr="00D95552" w:rsidRDefault="00703023">
            <w:pPr>
              <w:spacing w:after="120"/>
              <w:jc w:val="both"/>
              <w:rPr>
                <w:b/>
                <w:i/>
                <w:szCs w:val="24"/>
              </w:rPr>
            </w:pPr>
            <w:r w:rsidRPr="00D95552">
              <w:rPr>
                <w:b/>
                <w:i/>
              </w:rPr>
              <w:t>Class MonitoringPurpose</w:t>
            </w:r>
          </w:p>
          <w:p w:rsidR="000215C5" w:rsidRPr="00D95552" w:rsidRDefault="00703023">
            <w:pPr>
              <w:spacing w:after="120"/>
              <w:jc w:val="both"/>
              <w:rPr>
                <w:i/>
                <w:szCs w:val="24"/>
              </w:rPr>
            </w:pPr>
            <w:r w:rsidRPr="00D95552">
              <w:rPr>
                <w:b/>
                <w:i/>
              </w:rPr>
              <w:t>Egenskaper</w:t>
            </w:r>
            <w:r w:rsidRPr="00D95552">
              <w:rPr>
                <w:i/>
              </w:rPr>
              <w:t>: maxOccurs = unbounded minOccurs = 1</w:t>
            </w:r>
          </w:p>
        </w:tc>
      </w:tr>
      <w:tr w:rsidR="000215C5">
        <w:tc>
          <w:tcPr>
            <w:tcW w:w="9847" w:type="dxa"/>
            <w:shd w:val="clear" w:color="auto" w:fill="auto"/>
          </w:tcPr>
          <w:p w:rsidR="000215C5" w:rsidRPr="00D95552" w:rsidRDefault="00703023">
            <w:pPr>
              <w:spacing w:after="120"/>
              <w:jc w:val="both"/>
              <w:rPr>
                <w:b/>
                <w:szCs w:val="24"/>
              </w:rPr>
            </w:pPr>
            <w:r w:rsidRPr="00D95552">
              <w:rPr>
                <w:b/>
              </w:rPr>
              <w:t>Mallpost</w:t>
            </w:r>
            <w:r w:rsidRPr="00D95552">
              <w:t>: monitoringPurpose</w:t>
            </w:r>
          </w:p>
          <w:p w:rsidR="000215C5" w:rsidRPr="00D95552" w:rsidRDefault="00703023">
            <w:pPr>
              <w:spacing w:after="120"/>
              <w:jc w:val="both"/>
              <w:rPr>
                <w:szCs w:val="24"/>
              </w:rPr>
            </w:pPr>
            <w:r w:rsidRPr="00D95552">
              <w:rPr>
                <w:b/>
              </w:rPr>
              <w:t xml:space="preserve">Fälttyp/alternativ: </w:t>
            </w:r>
            <w:r w:rsidRPr="00D95552">
              <w:t>MonitoringPurpose_Enum (se bilaga 8i)</w:t>
            </w:r>
          </w:p>
          <w:p w:rsidR="000215C5" w:rsidRPr="00D95552" w:rsidRDefault="00703023">
            <w:pPr>
              <w:spacing w:after="120"/>
              <w:jc w:val="both"/>
              <w:rPr>
                <w:szCs w:val="24"/>
              </w:rPr>
            </w:pPr>
            <w:r w:rsidRPr="00D95552">
              <w:rPr>
                <w:b/>
              </w:rPr>
              <w:t>Egenskaper</w:t>
            </w:r>
            <w:r w:rsidRPr="00D95552">
              <w:t>: maxOccurs = 1 minOccurs = 1</w:t>
            </w:r>
          </w:p>
          <w:p w:rsidR="000215C5" w:rsidRDefault="00703023">
            <w:pPr>
              <w:spacing w:after="120"/>
              <w:jc w:val="both"/>
            </w:pPr>
            <w:r>
              <w:rPr>
                <w:b/>
              </w:rPr>
              <w:t>Vägledning om hur man fyller i mallposten</w:t>
            </w:r>
            <w:r>
              <w:t xml:space="preserve">: Krävs. Rapportera varje rapporteringssyfte för varje övervakningsstation. </w:t>
            </w:r>
          </w:p>
        </w:tc>
      </w:tr>
      <w:tr w:rsidR="000215C5">
        <w:tc>
          <w:tcPr>
            <w:tcW w:w="9847" w:type="dxa"/>
            <w:shd w:val="clear" w:color="auto" w:fill="auto"/>
          </w:tcPr>
          <w:p w:rsidR="000215C5" w:rsidRDefault="00703023">
            <w:pPr>
              <w:spacing w:after="120"/>
              <w:jc w:val="both"/>
              <w:rPr>
                <w:b/>
                <w:szCs w:val="24"/>
              </w:rPr>
            </w:pPr>
            <w:r>
              <w:rPr>
                <w:b/>
              </w:rPr>
              <w:t>Mallpost</w:t>
            </w:r>
            <w:r>
              <w:t>:</w:t>
            </w:r>
            <w:r>
              <w:rPr>
                <w:b/>
              </w:rPr>
              <w:t xml:space="preserve"> </w:t>
            </w:r>
            <w:r>
              <w:t>euProgrammeCode</w:t>
            </w:r>
          </w:p>
          <w:p w:rsidR="000215C5" w:rsidRDefault="00703023">
            <w:pPr>
              <w:spacing w:after="120"/>
              <w:jc w:val="both"/>
              <w:rPr>
                <w:color w:val="000000"/>
              </w:rPr>
            </w:pPr>
            <w:r>
              <w:rPr>
                <w:b/>
              </w:rPr>
              <w:t xml:space="preserve">Fälttyp/alternativ: </w:t>
            </w:r>
            <w:r>
              <w:t>FeatureUniqueEUCodeType</w:t>
            </w:r>
          </w:p>
          <w:p w:rsidR="000215C5" w:rsidRDefault="00703023">
            <w:pPr>
              <w:spacing w:after="120"/>
              <w:jc w:val="both"/>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Rapportera EU-koden för det övervakningsprogram som används för att uppfylla det relevanta syftet vid denna övervakningsstation. </w:t>
            </w:r>
          </w:p>
          <w:p w:rsidR="000215C5" w:rsidRDefault="00703023">
            <w:pPr>
              <w:spacing w:after="120"/>
              <w:jc w:val="both"/>
              <w:rPr>
                <w:szCs w:val="24"/>
              </w:rPr>
            </w:pPr>
            <w:r>
              <w:rPr>
                <w:b/>
              </w:rPr>
              <w:t>Kvalitetskontroll</w:t>
            </w:r>
            <w:r>
              <w:t xml:space="preserve">: Kontroll av posten: De första två bokstäverna måste </w:t>
            </w:r>
            <w:r w:rsidR="00B53C58">
              <w:t>vara medlemsstatens ISO</w:t>
            </w:r>
            <w:r w:rsidR="00B53C58">
              <w:noBreakHyphen/>
            </w:r>
            <w:r>
              <w:t xml:space="preserve">landskod med två bokstäver. </w:t>
            </w:r>
          </w:p>
          <w:p w:rsidR="000215C5" w:rsidRDefault="00703023">
            <w:pPr>
              <w:spacing w:after="120"/>
              <w:jc w:val="both"/>
              <w:rPr>
                <w:i/>
                <w:szCs w:val="24"/>
              </w:rPr>
            </w:pPr>
            <w:r>
              <w:t xml:space="preserve">Intern kontroll: koden måste anges i </w:t>
            </w:r>
            <w:r>
              <w:rPr>
                <w:i/>
              </w:rPr>
              <w:t>Monitoring/Programme/euProgrammeCode.</w:t>
            </w:r>
          </w:p>
        </w:tc>
      </w:tr>
    </w:tbl>
    <w:p w:rsidR="000215C5" w:rsidRDefault="000215C5">
      <w:pPr>
        <w:jc w:val="both"/>
      </w:pPr>
    </w:p>
    <w:p w:rsidR="000215C5" w:rsidRDefault="00703023">
      <w:pPr>
        <w:pStyle w:val="Rubrik3"/>
      </w:pPr>
      <w:r>
        <w:t>GIS-information:</w:t>
      </w:r>
    </w:p>
    <w:p w:rsidR="000215C5" w:rsidRDefault="00703023">
      <w:pPr>
        <w:jc w:val="both"/>
      </w:pPr>
      <w:r>
        <w:t xml:space="preserve">Övervakningsstationernas lokalisering måste rapporteras separat som </w:t>
      </w:r>
      <w:r w:rsidR="00AA6552">
        <w:t>GML-filer (se bilaga 5 till GIS</w:t>
      </w:r>
      <w:r w:rsidR="00AA6552">
        <w:noBreakHyphen/>
      </w:r>
      <w:r>
        <w:t>vägledningen för närmare information).</w:t>
      </w:r>
    </w:p>
    <w:p w:rsidR="000215C5" w:rsidRDefault="00703023">
      <w:pPr>
        <w:pStyle w:val="Rubrik3"/>
      </w:pPr>
      <w:bookmarkStart w:id="259" w:name="_Ref402950055"/>
      <w:r>
        <w:t>Vägledning om innehållet i förvaltningsplanerna för avrinningsdistrikt och bakgrundsdokument</w:t>
      </w:r>
      <w:bookmarkEnd w:id="259"/>
    </w:p>
    <w:p w:rsidR="000215C5" w:rsidRDefault="00703023">
      <w:pPr>
        <w:jc w:val="both"/>
      </w:pPr>
      <w:r>
        <w:t>Nedan ges vägledning om de uppgifter som kommissionen förväntar sig att medlemsstaterna lämnar i de relevanta kapitlen om övervakning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pPr>
      <w:r>
        <w:t>Förvaltningsplanerna eller bakgrundsdokumenten ska innehålla följande:</w:t>
      </w:r>
    </w:p>
    <w:p w:rsidR="000215C5" w:rsidRDefault="00703023">
      <w:pPr>
        <w:numPr>
          <w:ilvl w:val="0"/>
          <w:numId w:val="16"/>
        </w:numPr>
        <w:jc w:val="both"/>
      </w:pPr>
      <w:r>
        <w:t xml:space="preserve">Sammanfattning av betydande ändringar i de övervakningsprogram som genomförts sedan den första rapporteringen 2007, de första förvaltningsplanerna 2010, de övervakningsprogram som utgjorde underlaget för utarbetandet av den andra versionen av förvaltningsplanerna fram till 2015 och de övervakningsprogram som planeras genomföras fram till 2021. </w:t>
      </w:r>
    </w:p>
    <w:p w:rsidR="000215C5" w:rsidRDefault="00703023">
      <w:pPr>
        <w:numPr>
          <w:ilvl w:val="0"/>
          <w:numId w:val="16"/>
        </w:numPr>
        <w:jc w:val="both"/>
      </w:pPr>
      <w:r>
        <w:t>Detaljerad information om utformningen av varje typ av övervakningsprogram, inklusive övervakningsmål, valda kvalitetsfaktorer, logisk grund för antalet valda övervakningsstationer och deras lokalisering, konfidens- och noggrannhetsnivå osv.</w:t>
      </w:r>
    </w:p>
    <w:p w:rsidR="000215C5" w:rsidRDefault="00703023">
      <w:pPr>
        <w:jc w:val="both"/>
        <w:rPr>
          <w:i/>
        </w:rPr>
      </w:pPr>
      <w:r>
        <w:rPr>
          <w:i/>
        </w:rPr>
        <w:t>Ytvatten</w:t>
      </w:r>
    </w:p>
    <w:p w:rsidR="000215C5" w:rsidRDefault="00703023">
      <w:pPr>
        <w:numPr>
          <w:ilvl w:val="0"/>
          <w:numId w:val="30"/>
        </w:numPr>
        <w:jc w:val="both"/>
      </w:pPr>
      <w:r>
        <w:t>Vilka av de krav och mål som fastställs i bilaga V punkt 1.3.1 till vattendirektivet har inbegripits i utformningen av det kontrollerande övervakningsprogrammet för ytvatten? Informationen ska lämnas för att</w:t>
      </w:r>
    </w:p>
    <w:p w:rsidR="000215C5" w:rsidRDefault="00703023">
      <w:pPr>
        <w:numPr>
          <w:ilvl w:val="0"/>
          <w:numId w:val="29"/>
        </w:numPr>
        <w:jc w:val="both"/>
      </w:pPr>
      <w:r>
        <w:t>komplettera och bekräfta det förfarande för bedömning av miljöpåverkan som anges i bilaga II,</w:t>
      </w:r>
    </w:p>
    <w:p w:rsidR="000215C5" w:rsidRDefault="00703023">
      <w:pPr>
        <w:numPr>
          <w:ilvl w:val="0"/>
          <w:numId w:val="29"/>
        </w:numPr>
        <w:jc w:val="both"/>
      </w:pPr>
      <w:r>
        <w:t>kunna utforma effektiva och ändamålsenliga övervakningsprogram i framtiden,</w:t>
      </w:r>
    </w:p>
    <w:p w:rsidR="000215C5" w:rsidRDefault="00703023">
      <w:pPr>
        <w:numPr>
          <w:ilvl w:val="0"/>
          <w:numId w:val="29"/>
        </w:numPr>
        <w:jc w:val="both"/>
      </w:pPr>
      <w:r>
        <w:t>bedöma de långsiktiga förändringarna i naturliga förhållanden,</w:t>
      </w:r>
    </w:p>
    <w:p w:rsidR="000215C5" w:rsidRDefault="00703023">
      <w:pPr>
        <w:numPr>
          <w:ilvl w:val="0"/>
          <w:numId w:val="29"/>
        </w:numPr>
        <w:jc w:val="both"/>
      </w:pPr>
      <w:r>
        <w:t>bedöma de långsiktiga förändringar som orsakas av omfattande mänsklig verksamhet,</w:t>
      </w:r>
    </w:p>
    <w:p w:rsidR="000215C5" w:rsidRDefault="00703023">
      <w:pPr>
        <w:numPr>
          <w:ilvl w:val="0"/>
          <w:numId w:val="29"/>
        </w:numPr>
        <w:jc w:val="both"/>
      </w:pPr>
      <w:r>
        <w:t>bedöma den allmänna ytvattenstatusen i varje avrinningsområde eller delavrinningsområde inom avrinningsdistriktet.</w:t>
      </w:r>
    </w:p>
    <w:p w:rsidR="000215C5" w:rsidRDefault="00703023">
      <w:pPr>
        <w:numPr>
          <w:ilvl w:val="0"/>
          <w:numId w:val="30"/>
        </w:numPr>
        <w:jc w:val="both"/>
      </w:pPr>
      <w:r>
        <w:t xml:space="preserve">För den kontrollerande övervakningen krävs att följande övervakas: Parametrar som indikerar samtliga biologiska kvalitetsfaktorer, parametrar som indikerar samtliga hydromorfologiska kvalitetsfaktorer, parametrar som indikerar samtliga allmänna fysikalisk-kemiska kvalitetsfaktorer, prioriterade förorenande ämnen som släpps ut i avrinningsområdet eller delavrinningsområdet, och (villkorligt) andra förorenande ämnen som släpps ut i betydande mängder i avrinningsområdet eller delavrinningsområdet. Hur har vattenförekomsterna och kvalitetsfaktorerna valts för den kontrollerande övervakningen (t.ex. i förhållande till all eventuell påverkan, baserat på utsläppsregister)? </w:t>
      </w:r>
    </w:p>
    <w:p w:rsidR="000215C5" w:rsidRDefault="00703023">
      <w:pPr>
        <w:numPr>
          <w:ilvl w:val="0"/>
          <w:numId w:val="30"/>
        </w:numPr>
        <w:jc w:val="both"/>
      </w:pPr>
      <w:r>
        <w:t>Skälet till att utelämna kvalitetsfaktorer som inte övervakas i vattenförekomster som ingår i den kontrollerande övervakningen (t.ex. att det inte finns någon lämplig metod, praktiska överväganden, vetenskapligt motiverat).</w:t>
      </w:r>
    </w:p>
    <w:p w:rsidR="000215C5" w:rsidRDefault="00703023">
      <w:pPr>
        <w:numPr>
          <w:ilvl w:val="0"/>
          <w:numId w:val="30"/>
        </w:numPr>
        <w:jc w:val="both"/>
      </w:pPr>
      <w:r>
        <w:t>Det operativa övervakningsprogrammet ska vara utformat för att hantera den betydande påverkan som fastställts i den analys av påverkan och effekter som krävs enligt artikel 5 i vattendirektivet. Vilka biologiska kvalitetsfaktorer har valts i det operativa övervakningsprogrammet för att hantera olika former av påverkan och effekter? Presentera en tabell enligt följande:</w:t>
      </w:r>
    </w:p>
    <w:p w:rsidR="000215C5" w:rsidRDefault="00703023">
      <w:pPr>
        <w:jc w:val="both"/>
      </w:pPr>
      <w:r>
        <w:rPr>
          <w:i/>
        </w:rPr>
        <w:t>Biologiska kvalitetsfaktorer som används i operativ övervakning (ange i varje fält relevanta biologiska kvalitetsfaktorer från uppräkningslistan i bilaga 8h):</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75"/>
        <w:gridCol w:w="1593"/>
        <w:gridCol w:w="1593"/>
        <w:gridCol w:w="1593"/>
        <w:gridCol w:w="1593"/>
      </w:tblGrid>
      <w:tr w:rsidR="000215C5">
        <w:trPr>
          <w:tblCellSpacing w:w="0" w:type="dxa"/>
        </w:trPr>
        <w:tc>
          <w:tcPr>
            <w:tcW w:w="3275" w:type="dxa"/>
            <w:shd w:val="clear" w:color="auto" w:fill="BFBFBF"/>
          </w:tcPr>
          <w:p w:rsidR="000215C5" w:rsidRDefault="00703023">
            <w:pPr>
              <w:spacing w:after="100" w:afterAutospacing="1"/>
              <w:jc w:val="both"/>
              <w:rPr>
                <w:szCs w:val="24"/>
              </w:rPr>
            </w:pPr>
            <w:r>
              <w:t>Effekt</w:t>
            </w:r>
          </w:p>
        </w:tc>
        <w:tc>
          <w:tcPr>
            <w:tcW w:w="1593" w:type="dxa"/>
            <w:shd w:val="clear" w:color="auto" w:fill="BFBFBF"/>
          </w:tcPr>
          <w:p w:rsidR="000215C5" w:rsidRDefault="00703023">
            <w:pPr>
              <w:spacing w:after="100" w:afterAutospacing="1"/>
              <w:jc w:val="both"/>
              <w:rPr>
                <w:szCs w:val="24"/>
              </w:rPr>
            </w:pPr>
            <w:r>
              <w:t>Floder</w:t>
            </w:r>
          </w:p>
        </w:tc>
        <w:tc>
          <w:tcPr>
            <w:tcW w:w="1593" w:type="dxa"/>
            <w:shd w:val="clear" w:color="auto" w:fill="BFBFBF"/>
          </w:tcPr>
          <w:p w:rsidR="000215C5" w:rsidRDefault="00703023">
            <w:pPr>
              <w:spacing w:after="100" w:afterAutospacing="1"/>
              <w:jc w:val="both"/>
              <w:rPr>
                <w:szCs w:val="24"/>
              </w:rPr>
            </w:pPr>
            <w:r>
              <w:t>Sjöar</w:t>
            </w:r>
          </w:p>
        </w:tc>
        <w:tc>
          <w:tcPr>
            <w:tcW w:w="1593" w:type="dxa"/>
            <w:shd w:val="clear" w:color="auto" w:fill="BFBFBF"/>
          </w:tcPr>
          <w:p w:rsidR="000215C5" w:rsidRDefault="00703023">
            <w:pPr>
              <w:spacing w:after="100" w:afterAutospacing="1"/>
              <w:jc w:val="both"/>
              <w:rPr>
                <w:szCs w:val="24"/>
              </w:rPr>
            </w:pPr>
            <w:r>
              <w:t>Vatten i övergångszon</w:t>
            </w:r>
          </w:p>
        </w:tc>
        <w:tc>
          <w:tcPr>
            <w:tcW w:w="1593" w:type="dxa"/>
            <w:shd w:val="clear" w:color="auto" w:fill="BFBFBF"/>
          </w:tcPr>
          <w:p w:rsidR="000215C5" w:rsidRDefault="00703023">
            <w:pPr>
              <w:spacing w:after="100" w:afterAutospacing="1"/>
              <w:jc w:val="both"/>
              <w:rPr>
                <w:szCs w:val="24"/>
              </w:rPr>
            </w:pPr>
            <w:r>
              <w:t>Kustvatten</w:t>
            </w:r>
          </w:p>
        </w:tc>
      </w:tr>
      <w:tr w:rsidR="000215C5">
        <w:trPr>
          <w:tblCellSpacing w:w="0" w:type="dxa"/>
        </w:trPr>
        <w:tc>
          <w:tcPr>
            <w:tcW w:w="3275" w:type="dxa"/>
          </w:tcPr>
          <w:p w:rsidR="000215C5" w:rsidRDefault="00703023">
            <w:pPr>
              <w:spacing w:after="100" w:afterAutospacing="1"/>
              <w:jc w:val="both"/>
              <w:rPr>
                <w:szCs w:val="24"/>
              </w:rPr>
            </w:pPr>
            <w:r>
              <w:t xml:space="preserve">Föroreningar av näringsämnen </w:t>
            </w: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r>
      <w:tr w:rsidR="000215C5">
        <w:trPr>
          <w:tblCellSpacing w:w="0" w:type="dxa"/>
        </w:trPr>
        <w:tc>
          <w:tcPr>
            <w:tcW w:w="3275" w:type="dxa"/>
          </w:tcPr>
          <w:p w:rsidR="000215C5" w:rsidRDefault="00703023">
            <w:pPr>
              <w:spacing w:after="100" w:afterAutospacing="1"/>
              <w:jc w:val="both"/>
              <w:rPr>
                <w:szCs w:val="24"/>
              </w:rPr>
            </w:pPr>
            <w:r>
              <w:t>Organiska föroreningar</w:t>
            </w: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r>
      <w:tr w:rsidR="000215C5">
        <w:trPr>
          <w:tblCellSpacing w:w="0" w:type="dxa"/>
        </w:trPr>
        <w:tc>
          <w:tcPr>
            <w:tcW w:w="3275" w:type="dxa"/>
          </w:tcPr>
          <w:p w:rsidR="000215C5" w:rsidRDefault="00703023">
            <w:pPr>
              <w:spacing w:after="100" w:afterAutospacing="1"/>
              <w:jc w:val="both"/>
              <w:rPr>
                <w:szCs w:val="24"/>
              </w:rPr>
            </w:pPr>
            <w:r>
              <w:t xml:space="preserve">Kemiska föroreningar </w:t>
            </w: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r>
      <w:tr w:rsidR="000215C5">
        <w:trPr>
          <w:tblCellSpacing w:w="0" w:type="dxa"/>
        </w:trPr>
        <w:tc>
          <w:tcPr>
            <w:tcW w:w="3275" w:type="dxa"/>
          </w:tcPr>
          <w:p w:rsidR="000215C5" w:rsidRPr="005A2243" w:rsidRDefault="00703023">
            <w:pPr>
              <w:spacing w:after="100" w:afterAutospacing="1"/>
              <w:jc w:val="both"/>
              <w:rPr>
                <w:szCs w:val="24"/>
              </w:rPr>
            </w:pPr>
            <w:r w:rsidRPr="005A2243">
              <w:t>Kemiska föroreningar av sediment</w:t>
            </w:r>
          </w:p>
        </w:tc>
        <w:tc>
          <w:tcPr>
            <w:tcW w:w="1593" w:type="dxa"/>
          </w:tcPr>
          <w:p w:rsidR="000215C5" w:rsidRPr="005A2243"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r>
      <w:tr w:rsidR="000215C5">
        <w:trPr>
          <w:tblCellSpacing w:w="0" w:type="dxa"/>
        </w:trPr>
        <w:tc>
          <w:tcPr>
            <w:tcW w:w="3275" w:type="dxa"/>
          </w:tcPr>
          <w:p w:rsidR="000215C5" w:rsidRPr="005A2243" w:rsidRDefault="00703023">
            <w:pPr>
              <w:spacing w:after="100" w:afterAutospacing="1"/>
              <w:jc w:val="both"/>
              <w:rPr>
                <w:szCs w:val="24"/>
              </w:rPr>
            </w:pPr>
            <w:r w:rsidRPr="005A2243">
              <w:t>Saltföroreningar</w:t>
            </w:r>
          </w:p>
        </w:tc>
        <w:tc>
          <w:tcPr>
            <w:tcW w:w="1593" w:type="dxa"/>
          </w:tcPr>
          <w:p w:rsidR="000215C5" w:rsidRPr="005A2243"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r>
      <w:tr w:rsidR="000215C5">
        <w:trPr>
          <w:tblCellSpacing w:w="0" w:type="dxa"/>
        </w:trPr>
        <w:tc>
          <w:tcPr>
            <w:tcW w:w="3275" w:type="dxa"/>
          </w:tcPr>
          <w:p w:rsidR="000215C5" w:rsidRPr="005A2243" w:rsidRDefault="00703023">
            <w:pPr>
              <w:spacing w:after="100" w:afterAutospacing="1"/>
              <w:jc w:val="both"/>
              <w:rPr>
                <w:szCs w:val="24"/>
              </w:rPr>
            </w:pPr>
            <w:r w:rsidRPr="005A2243">
              <w:t>Försurning</w:t>
            </w:r>
          </w:p>
        </w:tc>
        <w:tc>
          <w:tcPr>
            <w:tcW w:w="1593" w:type="dxa"/>
          </w:tcPr>
          <w:p w:rsidR="000215C5" w:rsidRPr="005A2243"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r>
      <w:tr w:rsidR="000215C5">
        <w:trPr>
          <w:tblCellSpacing w:w="0" w:type="dxa"/>
        </w:trPr>
        <w:tc>
          <w:tcPr>
            <w:tcW w:w="3275" w:type="dxa"/>
          </w:tcPr>
          <w:p w:rsidR="000215C5" w:rsidRPr="005A2243" w:rsidRDefault="00703023">
            <w:pPr>
              <w:spacing w:after="100" w:afterAutospacing="1"/>
              <w:jc w:val="both"/>
              <w:rPr>
                <w:szCs w:val="24"/>
              </w:rPr>
            </w:pPr>
            <w:r w:rsidRPr="005A2243">
              <w:t>Förhöjda temperaturer</w:t>
            </w:r>
          </w:p>
        </w:tc>
        <w:tc>
          <w:tcPr>
            <w:tcW w:w="1593" w:type="dxa"/>
          </w:tcPr>
          <w:p w:rsidR="000215C5" w:rsidRPr="005A2243"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r>
      <w:tr w:rsidR="000215C5">
        <w:trPr>
          <w:tblCellSpacing w:w="0" w:type="dxa"/>
        </w:trPr>
        <w:tc>
          <w:tcPr>
            <w:tcW w:w="3275" w:type="dxa"/>
          </w:tcPr>
          <w:p w:rsidR="000215C5" w:rsidRPr="005A2243" w:rsidRDefault="00703023">
            <w:pPr>
              <w:spacing w:after="100" w:afterAutospacing="1"/>
              <w:jc w:val="both"/>
              <w:rPr>
                <w:szCs w:val="24"/>
              </w:rPr>
            </w:pPr>
            <w:r w:rsidRPr="005A2243">
              <w:t>Ändrade livsmiljöer till följd av hydrologiska och morfologiska förändringar</w:t>
            </w:r>
          </w:p>
        </w:tc>
        <w:tc>
          <w:tcPr>
            <w:tcW w:w="1593" w:type="dxa"/>
          </w:tcPr>
          <w:p w:rsidR="000215C5" w:rsidRPr="005A2243"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r>
      <w:tr w:rsidR="000215C5">
        <w:trPr>
          <w:tblCellSpacing w:w="0" w:type="dxa"/>
        </w:trPr>
        <w:tc>
          <w:tcPr>
            <w:tcW w:w="3275" w:type="dxa"/>
          </w:tcPr>
          <w:p w:rsidR="000215C5" w:rsidRDefault="00703023">
            <w:pPr>
              <w:spacing w:after="100" w:afterAutospacing="1"/>
              <w:jc w:val="both"/>
              <w:rPr>
                <w:szCs w:val="24"/>
              </w:rPr>
            </w:pPr>
            <w:r>
              <w:t>Andra effekter</w:t>
            </w: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c>
          <w:tcPr>
            <w:tcW w:w="1593" w:type="dxa"/>
          </w:tcPr>
          <w:p w:rsidR="000215C5" w:rsidRDefault="000215C5">
            <w:pPr>
              <w:spacing w:after="100" w:afterAutospacing="1"/>
              <w:jc w:val="both"/>
              <w:rPr>
                <w:szCs w:val="24"/>
              </w:rPr>
            </w:pPr>
          </w:p>
        </w:tc>
      </w:tr>
    </w:tbl>
    <w:p w:rsidR="000215C5" w:rsidRDefault="000215C5">
      <w:pPr>
        <w:jc w:val="both"/>
        <w:rPr>
          <w:i/>
        </w:rPr>
      </w:pPr>
    </w:p>
    <w:p w:rsidR="000215C5" w:rsidRDefault="00703023">
      <w:pPr>
        <w:numPr>
          <w:ilvl w:val="0"/>
          <w:numId w:val="31"/>
        </w:numPr>
        <w:jc w:val="both"/>
      </w:pPr>
      <w:r>
        <w:t>Hur övervakas prioriterade ämnen i sediment och/eller biota för att bedöma långsiktiga trender för prioriterade ämnen? Följande anges i artikel 3.3 i direktiv 2008/105/EG</w:t>
      </w:r>
      <w:r>
        <w:rPr>
          <w:rStyle w:val="Fotnotsreferens"/>
        </w:rPr>
        <w:footnoteReference w:id="59"/>
      </w:r>
      <w:r w:rsidR="003F7836">
        <w:t xml:space="preserve"> (artikel </w:t>
      </w:r>
      <w:r>
        <w:t>3.6 i den nuvarande versionen i dess lydelse enligt direktiv 2013/39/EU</w:t>
      </w:r>
      <w:r>
        <w:rPr>
          <w:rStyle w:val="Fotnotsreferens"/>
        </w:rPr>
        <w:footnoteReference w:id="60"/>
      </w:r>
      <w:r>
        <w:t>): ”Medlemsstaterna ska bestämma övervakningsfrekvensen för sediment och/eller biota för att få fram tillräckligt med uppgifter för en tillförlitlig långsiktig trendanalys. Som riktlinje bör övervakning ske vart tredje år, såvida inte teknisk kunskap och expertutlåtande motiverar ett annat intervall.” Ange de prioriterade ämnen som omfattas av övervakning av långsiktiga trender och vid hur många stationer, vilka matriser som används och vilka intervall som tillämpas.</w:t>
      </w:r>
    </w:p>
    <w:p w:rsidR="000215C5" w:rsidRDefault="00703023">
      <w:pPr>
        <w:numPr>
          <w:ilvl w:val="0"/>
          <w:numId w:val="31"/>
        </w:numPr>
        <w:jc w:val="both"/>
      </w:pPr>
      <w:r>
        <w:t>Enligt vattendirektivet är det tillåtet att gruppera vattenförekomster för övervakning och bedömning. Endast liknande typer av vattenförekomster får grupperas, t.ex. vattenförekomster med lika eller nästan lika ekologiska förhållanden, eller vattenförekomster som liknar varandra när det gäller omfattning och typer av påverkan eller kombinationer av olika typer av påverkan. Grupperingen måste alltid vara tekniskt eller vetenskapligt motiverad. Övervakningen av tillräckligt indikativa eller representativa vattenförekomster i delgrupperna av yt- eller grundvattenförekomster måste också ge en godtagbar konfidens- och noggrannhetsnivå i övervakningsresultaten, särskilt när det gäller klassificering av vattenförekomsternas status. Förklara och motivera grunden för grupperingen, vilka kategorier av vattenförekomster som har grupperats och i hur stor utsträckning. Förklara eventuella metodskillnader mellan vattenkategorierna.</w:t>
      </w:r>
    </w:p>
    <w:p w:rsidR="000215C5" w:rsidRDefault="00703023">
      <w:pPr>
        <w:numPr>
          <w:ilvl w:val="0"/>
          <w:numId w:val="31"/>
        </w:numPr>
        <w:jc w:val="both"/>
      </w:pPr>
      <w:r>
        <w:t>En sammanfattning av hur kraven för yt- och grundvatten när det gäller skyddsområden för dricksvatten har integrerats i vattendirektivets övervakningsprogram.</w:t>
      </w:r>
    </w:p>
    <w:p w:rsidR="000215C5" w:rsidRDefault="00703023">
      <w:pPr>
        <w:numPr>
          <w:ilvl w:val="0"/>
          <w:numId w:val="31"/>
        </w:numPr>
        <w:jc w:val="both"/>
      </w:pPr>
      <w:r>
        <w:t xml:space="preserve">En sammanfattning av gränsöverskridande övervakningsnätverk för yt- och grundvattenförekomster, inklusive gränsöverskridande länder utanför EU. </w:t>
      </w:r>
    </w:p>
    <w:p w:rsidR="000215C5" w:rsidRDefault="000215C5">
      <w:pPr>
        <w:jc w:val="both"/>
        <w:rPr>
          <w:b/>
        </w:rPr>
      </w:pPr>
    </w:p>
    <w:p w:rsidR="000215C5" w:rsidRDefault="00703023">
      <w:pPr>
        <w:jc w:val="both"/>
        <w:rPr>
          <w:i/>
        </w:rPr>
      </w:pPr>
      <w:r>
        <w:rPr>
          <w:i/>
        </w:rPr>
        <w:t>Grundvatten</w:t>
      </w:r>
    </w:p>
    <w:p w:rsidR="000215C5" w:rsidRDefault="00703023">
      <w:pPr>
        <w:numPr>
          <w:ilvl w:val="0"/>
          <w:numId w:val="32"/>
        </w:numPr>
        <w:jc w:val="both"/>
        <w:rPr>
          <w:szCs w:val="24"/>
        </w:rPr>
      </w:pPr>
      <w:r>
        <w:t>När det gäller kontrollerande övervakning ska medlemsstaterna enligt bilaga V i vattendirektivet övervaka en uppsättning grundparametrar i alla grundvattenförekomster samt parametrar som utgör indikation på påverkan i grundvattenförekomster som identifierats vara utsatta för risker. I fråga om operativ övervakning ska medlemsstaterna endast övervaka de parametrar som utgör indikation på den påverkan som vattenförekomsten är utsatt för.</w:t>
      </w:r>
      <w:r>
        <w:rPr>
          <w:b/>
        </w:rPr>
        <w:t xml:space="preserve"> </w:t>
      </w:r>
      <w:r>
        <w:t>Hur har parametrarna för övervakningsprogrammen för grundvattenförekomster valts för att hantera olika typer av påverkan och effekter?</w:t>
      </w:r>
    </w:p>
    <w:p w:rsidR="000215C5" w:rsidRDefault="00703023">
      <w:pPr>
        <w:numPr>
          <w:ilvl w:val="0"/>
          <w:numId w:val="33"/>
        </w:numPr>
        <w:jc w:val="both"/>
      </w:pPr>
      <w:r>
        <w:t>Hur är övervakningsprogrammen för grundvattenförekomsters kemiska status utformade för att upptäcka betydande och ihållande uppåtgående trender för förorenande ämnen? Ange vilken av följande aspekter som tagits med i övervakningsprogrammen och hur.</w:t>
      </w:r>
    </w:p>
    <w:p w:rsidR="000215C5" w:rsidRDefault="00703023">
      <w:pPr>
        <w:numPr>
          <w:ilvl w:val="1"/>
          <w:numId w:val="33"/>
        </w:numPr>
        <w:jc w:val="both"/>
      </w:pPr>
      <w:r>
        <w:t>Trendbedömningar har endast gjorts för grundvattenförekomster som riskerar att inte uppnå vattendirektivets miljömål.</w:t>
      </w:r>
    </w:p>
    <w:p w:rsidR="000215C5" w:rsidRDefault="00703023">
      <w:pPr>
        <w:numPr>
          <w:ilvl w:val="1"/>
          <w:numId w:val="33"/>
        </w:numPr>
        <w:jc w:val="both"/>
      </w:pPr>
      <w:r>
        <w:t>Trendbedömningar har gjorts av grundvattenförekomster som för närvarande inte är i riskzonen för att skilja mellan långsiktiga trender till följd av förändrade naturliga förhållanden och till följd av mänsklig verksamhet.</w:t>
      </w:r>
    </w:p>
    <w:p w:rsidR="000215C5" w:rsidRDefault="00703023">
      <w:pPr>
        <w:numPr>
          <w:ilvl w:val="1"/>
          <w:numId w:val="33"/>
        </w:numPr>
        <w:jc w:val="both"/>
      </w:pPr>
      <w:r>
        <w:t>Trendbedömningarna grundas på uppgifter från kontrollerande och operativ övervakning från individuella övervakningsstationer.</w:t>
      </w:r>
    </w:p>
    <w:p w:rsidR="000215C5" w:rsidRDefault="00703023">
      <w:pPr>
        <w:numPr>
          <w:ilvl w:val="1"/>
          <w:numId w:val="33"/>
        </w:numPr>
        <w:jc w:val="both"/>
      </w:pPr>
      <w:r>
        <w:t>Statistisk metod för trendbedömning vid varje övervakningsstation (statistisk metod som anpassats till grundförhållandena, tex. regressionsanalys för normal fördelning och icke-parametriska tester för tidsserier som inte är normalt fördelade).</w:t>
      </w:r>
    </w:p>
    <w:p w:rsidR="000215C5" w:rsidRDefault="00703023">
      <w:pPr>
        <w:numPr>
          <w:ilvl w:val="1"/>
          <w:numId w:val="33"/>
        </w:numPr>
        <w:jc w:val="both"/>
      </w:pPr>
      <w:r>
        <w:t>Individuella parameterkoncentrationer (eller värden) under kvantifieringsgränsen (Limit of Quantification, LOQ) har ersatts med halva värdet för den högsta LOQ som förekommit i de analyserade tidsserierna.</w:t>
      </w:r>
    </w:p>
    <w:p w:rsidR="000215C5" w:rsidRDefault="00703023">
      <w:pPr>
        <w:numPr>
          <w:ilvl w:val="1"/>
          <w:numId w:val="33"/>
        </w:numPr>
        <w:jc w:val="both"/>
      </w:pPr>
      <w:r>
        <w:t>Hur identifierades uppåtgående trender i tillräckligt god tid för att vidta åtgärder?</w:t>
      </w:r>
    </w:p>
    <w:p w:rsidR="000215C5" w:rsidRDefault="00703023">
      <w:pPr>
        <w:numPr>
          <w:ilvl w:val="1"/>
          <w:numId w:val="33"/>
        </w:numPr>
        <w:jc w:val="both"/>
      </w:pPr>
      <w:r>
        <w:t>Ange den längd på tidsserierna som ansågs vara lämplig för att upptäcka betydande trender.</w:t>
      </w:r>
    </w:p>
    <w:p w:rsidR="000215C5" w:rsidRDefault="00703023">
      <w:pPr>
        <w:numPr>
          <w:ilvl w:val="1"/>
          <w:numId w:val="33"/>
        </w:numPr>
        <w:jc w:val="both"/>
      </w:pPr>
      <w:r>
        <w:t>Hur övervägdes referensnivåerna för ämnen som förekommer både naturligt och till följd av mänsklig verksamhet?</w:t>
      </w:r>
    </w:p>
    <w:p w:rsidR="000215C5" w:rsidRDefault="00703023">
      <w:pPr>
        <w:numPr>
          <w:ilvl w:val="1"/>
          <w:numId w:val="33"/>
        </w:numPr>
        <w:jc w:val="both"/>
      </w:pPr>
      <w:r>
        <w:t>Vilka åtgärder vidtogs för att skilja mellan uppåtgående trender och naturliga variationer med en tillräcklig konfidens- och noggrannhetsnivå?</w:t>
      </w:r>
    </w:p>
    <w:p w:rsidR="000215C5" w:rsidRDefault="00703023">
      <w:pPr>
        <w:numPr>
          <w:ilvl w:val="1"/>
          <w:numId w:val="33"/>
        </w:numPr>
        <w:jc w:val="both"/>
      </w:pPr>
      <w:r>
        <w:t>Vad ansågs vara en tillräcklig konfidens- och noggrannhetsnivå i trendbedömningen?</w:t>
      </w:r>
    </w:p>
    <w:p w:rsidR="000215C5" w:rsidRDefault="00703023">
      <w:pPr>
        <w:pStyle w:val="Rubrik3"/>
      </w:pPr>
      <w:bookmarkStart w:id="260" w:name="_Ref425176628"/>
      <w:r>
        <w:t>Ordlista: förtydligande av begrepp och rapporteringskrav</w:t>
      </w:r>
      <w:bookmarkEnd w:id="260"/>
    </w:p>
    <w:p w:rsidR="000215C5" w:rsidRDefault="00703023">
      <w:pPr>
        <w:autoSpaceDE w:val="0"/>
        <w:autoSpaceDN w:val="0"/>
        <w:adjustRightInd w:val="0"/>
        <w:spacing w:after="0"/>
        <w:jc w:val="both"/>
        <w:rPr>
          <w:szCs w:val="24"/>
        </w:rPr>
      </w:pPr>
      <w:r>
        <w:t xml:space="preserve">Posterna ”Frequency” och ”Cycle” används tillsammans för att beskriva övervakningsintervallet för kvalitetsfaktorer eller kemiska ämnen vid övervakningsstationer för ytvatten eller kemiska parametrar för övervakningsstationer för grundvatten. </w:t>
      </w:r>
    </w:p>
    <w:p w:rsidR="000215C5" w:rsidRDefault="000215C5">
      <w:pPr>
        <w:autoSpaceDE w:val="0"/>
        <w:autoSpaceDN w:val="0"/>
        <w:adjustRightInd w:val="0"/>
        <w:spacing w:after="0"/>
        <w:jc w:val="both"/>
        <w:rPr>
          <w:szCs w:val="24"/>
        </w:rPr>
      </w:pPr>
    </w:p>
    <w:p w:rsidR="000215C5" w:rsidRDefault="00703023">
      <w:pPr>
        <w:autoSpaceDE w:val="0"/>
        <w:autoSpaceDN w:val="0"/>
        <w:adjustRightInd w:val="0"/>
        <w:spacing w:after="0"/>
        <w:jc w:val="both"/>
        <w:rPr>
          <w:szCs w:val="24"/>
        </w:rPr>
      </w:pPr>
      <w:r>
        <w:t xml:space="preserve">”Frequency” är antalet bestämningar eller provtagningar som görs under ett år då övervakning sker. Exempel: ”12” motsvarar cirka 12 månatliga bestämningar, ”4” motsvarar bestämningar ungefär var tredje månad, ”2” motsvarar bestämningar ungefär var sjätte månad eller två gånger om året och ”1” motsvarar en bestämning under året. </w:t>
      </w:r>
    </w:p>
    <w:p w:rsidR="000215C5" w:rsidRDefault="000215C5">
      <w:pPr>
        <w:autoSpaceDE w:val="0"/>
        <w:autoSpaceDN w:val="0"/>
        <w:adjustRightInd w:val="0"/>
        <w:spacing w:after="0"/>
        <w:jc w:val="both"/>
        <w:rPr>
          <w:szCs w:val="24"/>
        </w:rPr>
      </w:pPr>
    </w:p>
    <w:p w:rsidR="000215C5" w:rsidRDefault="00703023">
      <w:pPr>
        <w:autoSpaceDE w:val="0"/>
        <w:autoSpaceDN w:val="0"/>
        <w:adjustRightInd w:val="0"/>
        <w:spacing w:after="0"/>
        <w:jc w:val="both"/>
      </w:pPr>
      <w:r>
        <w:t>”Cycle” är den period (år) mellan de år som övervakning sker inom den sexåriga planeringscykeln. Exempel: ”1” anger att posten kommer att övervakas varje år under sexårscykeln, ”2” en gång vartannat år (dvs. tre gånger under sexårscykeln) och ”3” en gång vart tredje år (dvs. två gånger under sexårscykeln). ”0” ska användas för att ange att övervakningsprogrammet kommer att genomföras en gång per planeringscykel och att beslut om framtida övervakning kommer att fattas beroende på resultaten.</w:t>
      </w:r>
    </w:p>
    <w:p w:rsidR="000215C5" w:rsidRDefault="000215C5">
      <w:pPr>
        <w:autoSpaceDE w:val="0"/>
        <w:autoSpaceDN w:val="0"/>
        <w:adjustRightInd w:val="0"/>
        <w:spacing w:after="0"/>
        <w:jc w:val="both"/>
      </w:pPr>
    </w:p>
    <w:p w:rsidR="000215C5" w:rsidRDefault="00703023">
      <w:pPr>
        <w:jc w:val="both"/>
        <w:rPr>
          <w:color w:val="000000"/>
          <w:sz w:val="22"/>
          <w:szCs w:val="22"/>
        </w:rPr>
      </w:pPr>
      <w:r>
        <w:t xml:space="preserve">Vissa kvalitetsfaktorer (t.ex. </w:t>
      </w:r>
      <w:r>
        <w:rPr>
          <w:color w:val="000000"/>
          <w:sz w:val="22"/>
        </w:rPr>
        <w:t>QE2-1 Hydrologisk regim: floder</w:t>
      </w:r>
      <w:r>
        <w:t>) eller parametrar (t.ex. grundvattennivå) mäts kontinuerligt. I dessa fall ska ”365” anges i posten ”Frequency” och ”1” i posten ”Cycle”.</w:t>
      </w:r>
    </w:p>
    <w:p w:rsidR="000215C5" w:rsidRDefault="00703023">
      <w:pPr>
        <w:jc w:val="both"/>
      </w:pPr>
      <w:r>
        <w:t>Nedan ges några exempel: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732"/>
        <w:gridCol w:w="5289"/>
      </w:tblGrid>
      <w:tr w:rsidR="000215C5">
        <w:tc>
          <w:tcPr>
            <w:tcW w:w="2832" w:type="dxa"/>
            <w:shd w:val="clear" w:color="auto" w:fill="auto"/>
          </w:tcPr>
          <w:p w:rsidR="000215C5" w:rsidRDefault="00703023">
            <w:pPr>
              <w:autoSpaceDE w:val="0"/>
              <w:autoSpaceDN w:val="0"/>
              <w:adjustRightInd w:val="0"/>
              <w:spacing w:after="0"/>
              <w:jc w:val="both"/>
              <w:rPr>
                <w:b/>
                <w:bCs/>
                <w:sz w:val="22"/>
                <w:szCs w:val="22"/>
              </w:rPr>
            </w:pPr>
            <w:r>
              <w:rPr>
                <w:b/>
                <w:sz w:val="22"/>
              </w:rPr>
              <w:t xml:space="preserve">Frequency </w:t>
            </w:r>
          </w:p>
        </w:tc>
        <w:tc>
          <w:tcPr>
            <w:tcW w:w="1732" w:type="dxa"/>
            <w:shd w:val="clear" w:color="auto" w:fill="auto"/>
          </w:tcPr>
          <w:p w:rsidR="000215C5" w:rsidRDefault="00703023">
            <w:pPr>
              <w:autoSpaceDE w:val="0"/>
              <w:autoSpaceDN w:val="0"/>
              <w:adjustRightInd w:val="0"/>
              <w:jc w:val="both"/>
              <w:rPr>
                <w:b/>
                <w:bCs/>
                <w:sz w:val="22"/>
                <w:szCs w:val="22"/>
              </w:rPr>
            </w:pPr>
            <w:r>
              <w:rPr>
                <w:b/>
                <w:sz w:val="22"/>
              </w:rPr>
              <w:t xml:space="preserve">Cycle </w:t>
            </w:r>
          </w:p>
        </w:tc>
        <w:tc>
          <w:tcPr>
            <w:tcW w:w="5289" w:type="dxa"/>
            <w:shd w:val="clear" w:color="auto" w:fill="auto"/>
          </w:tcPr>
          <w:p w:rsidR="000215C5" w:rsidRDefault="00703023">
            <w:pPr>
              <w:autoSpaceDE w:val="0"/>
              <w:autoSpaceDN w:val="0"/>
              <w:adjustRightInd w:val="0"/>
              <w:jc w:val="both"/>
              <w:rPr>
                <w:b/>
                <w:bCs/>
                <w:sz w:val="22"/>
                <w:szCs w:val="22"/>
              </w:rPr>
            </w:pPr>
            <w:r>
              <w:rPr>
                <w:b/>
                <w:sz w:val="22"/>
              </w:rPr>
              <w:t>Description</w:t>
            </w:r>
          </w:p>
        </w:tc>
      </w:tr>
      <w:tr w:rsidR="000215C5">
        <w:tc>
          <w:tcPr>
            <w:tcW w:w="2832" w:type="dxa"/>
            <w:shd w:val="clear" w:color="auto" w:fill="auto"/>
          </w:tcPr>
          <w:p w:rsidR="000215C5" w:rsidRDefault="00703023">
            <w:pPr>
              <w:autoSpaceDE w:val="0"/>
              <w:autoSpaceDN w:val="0"/>
              <w:adjustRightInd w:val="0"/>
              <w:spacing w:after="0"/>
              <w:jc w:val="both"/>
              <w:rPr>
                <w:sz w:val="22"/>
                <w:szCs w:val="22"/>
              </w:rPr>
            </w:pPr>
            <w:r>
              <w:rPr>
                <w:sz w:val="22"/>
              </w:rPr>
              <w:t xml:space="preserve">12 </w:t>
            </w:r>
          </w:p>
        </w:tc>
        <w:tc>
          <w:tcPr>
            <w:tcW w:w="1732" w:type="dxa"/>
            <w:shd w:val="clear" w:color="auto" w:fill="auto"/>
          </w:tcPr>
          <w:p w:rsidR="000215C5" w:rsidRDefault="00703023">
            <w:pPr>
              <w:autoSpaceDE w:val="0"/>
              <w:autoSpaceDN w:val="0"/>
              <w:adjustRightInd w:val="0"/>
              <w:jc w:val="both"/>
              <w:rPr>
                <w:sz w:val="22"/>
                <w:szCs w:val="22"/>
              </w:rPr>
            </w:pPr>
            <w:r>
              <w:rPr>
                <w:sz w:val="22"/>
              </w:rPr>
              <w:t xml:space="preserve">1 </w:t>
            </w:r>
          </w:p>
        </w:tc>
        <w:tc>
          <w:tcPr>
            <w:tcW w:w="5289" w:type="dxa"/>
            <w:shd w:val="clear" w:color="auto" w:fill="auto"/>
          </w:tcPr>
          <w:p w:rsidR="000215C5" w:rsidRDefault="00703023">
            <w:pPr>
              <w:autoSpaceDE w:val="0"/>
              <w:autoSpaceDN w:val="0"/>
              <w:adjustRightInd w:val="0"/>
              <w:jc w:val="both"/>
              <w:rPr>
                <w:sz w:val="22"/>
                <w:szCs w:val="22"/>
              </w:rPr>
            </w:pPr>
            <w:r>
              <w:rPr>
                <w:sz w:val="22"/>
              </w:rPr>
              <w:t>Faktorn fastställs månatligen varje år.</w:t>
            </w:r>
          </w:p>
        </w:tc>
      </w:tr>
      <w:tr w:rsidR="000215C5">
        <w:tc>
          <w:tcPr>
            <w:tcW w:w="2832" w:type="dxa"/>
            <w:shd w:val="clear" w:color="auto" w:fill="auto"/>
          </w:tcPr>
          <w:p w:rsidR="000215C5" w:rsidRDefault="00703023">
            <w:pPr>
              <w:autoSpaceDE w:val="0"/>
              <w:autoSpaceDN w:val="0"/>
              <w:adjustRightInd w:val="0"/>
              <w:spacing w:after="0"/>
              <w:jc w:val="both"/>
              <w:rPr>
                <w:sz w:val="22"/>
                <w:szCs w:val="22"/>
              </w:rPr>
            </w:pPr>
            <w:r>
              <w:rPr>
                <w:sz w:val="22"/>
              </w:rPr>
              <w:t xml:space="preserve">1 </w:t>
            </w:r>
          </w:p>
        </w:tc>
        <w:tc>
          <w:tcPr>
            <w:tcW w:w="1732" w:type="dxa"/>
            <w:shd w:val="clear" w:color="auto" w:fill="auto"/>
          </w:tcPr>
          <w:p w:rsidR="000215C5" w:rsidRDefault="00703023">
            <w:pPr>
              <w:autoSpaceDE w:val="0"/>
              <w:autoSpaceDN w:val="0"/>
              <w:adjustRightInd w:val="0"/>
              <w:jc w:val="both"/>
              <w:rPr>
                <w:sz w:val="22"/>
                <w:szCs w:val="22"/>
              </w:rPr>
            </w:pPr>
            <w:r>
              <w:rPr>
                <w:sz w:val="22"/>
              </w:rPr>
              <w:t xml:space="preserve">2 </w:t>
            </w:r>
          </w:p>
        </w:tc>
        <w:tc>
          <w:tcPr>
            <w:tcW w:w="5289" w:type="dxa"/>
            <w:shd w:val="clear" w:color="auto" w:fill="auto"/>
          </w:tcPr>
          <w:p w:rsidR="000215C5" w:rsidRDefault="00703023">
            <w:pPr>
              <w:autoSpaceDE w:val="0"/>
              <w:autoSpaceDN w:val="0"/>
              <w:adjustRightInd w:val="0"/>
              <w:jc w:val="both"/>
              <w:rPr>
                <w:sz w:val="22"/>
                <w:szCs w:val="22"/>
              </w:rPr>
            </w:pPr>
            <w:r>
              <w:rPr>
                <w:sz w:val="22"/>
              </w:rPr>
              <w:t>Faktorn fastställs vartannat år.</w:t>
            </w:r>
          </w:p>
        </w:tc>
      </w:tr>
      <w:tr w:rsidR="000215C5">
        <w:tc>
          <w:tcPr>
            <w:tcW w:w="2832" w:type="dxa"/>
            <w:shd w:val="clear" w:color="auto" w:fill="auto"/>
          </w:tcPr>
          <w:p w:rsidR="000215C5" w:rsidRDefault="00703023">
            <w:pPr>
              <w:autoSpaceDE w:val="0"/>
              <w:autoSpaceDN w:val="0"/>
              <w:adjustRightInd w:val="0"/>
              <w:spacing w:after="0"/>
              <w:jc w:val="both"/>
              <w:rPr>
                <w:sz w:val="22"/>
                <w:szCs w:val="22"/>
              </w:rPr>
            </w:pPr>
            <w:r>
              <w:rPr>
                <w:sz w:val="22"/>
              </w:rPr>
              <w:t xml:space="preserve">12 </w:t>
            </w:r>
          </w:p>
        </w:tc>
        <w:tc>
          <w:tcPr>
            <w:tcW w:w="1732" w:type="dxa"/>
            <w:shd w:val="clear" w:color="auto" w:fill="auto"/>
          </w:tcPr>
          <w:p w:rsidR="000215C5" w:rsidRDefault="00703023">
            <w:pPr>
              <w:autoSpaceDE w:val="0"/>
              <w:autoSpaceDN w:val="0"/>
              <w:adjustRightInd w:val="0"/>
              <w:jc w:val="both"/>
              <w:rPr>
                <w:sz w:val="22"/>
                <w:szCs w:val="22"/>
              </w:rPr>
            </w:pPr>
            <w:r>
              <w:rPr>
                <w:sz w:val="22"/>
              </w:rPr>
              <w:t xml:space="preserve">0 </w:t>
            </w:r>
          </w:p>
        </w:tc>
        <w:tc>
          <w:tcPr>
            <w:tcW w:w="5289" w:type="dxa"/>
            <w:shd w:val="clear" w:color="auto" w:fill="auto"/>
          </w:tcPr>
          <w:p w:rsidR="000215C5" w:rsidRDefault="00703023">
            <w:pPr>
              <w:autoSpaceDE w:val="0"/>
              <w:autoSpaceDN w:val="0"/>
              <w:adjustRightInd w:val="0"/>
              <w:jc w:val="both"/>
              <w:rPr>
                <w:sz w:val="22"/>
                <w:szCs w:val="22"/>
              </w:rPr>
            </w:pPr>
            <w:r>
              <w:rPr>
                <w:sz w:val="22"/>
              </w:rPr>
              <w:t>Faktorn fastställts månatligen för endast ett år (dvs. cykeln upprepas inte).</w:t>
            </w:r>
          </w:p>
        </w:tc>
      </w:tr>
      <w:tr w:rsidR="000215C5">
        <w:tc>
          <w:tcPr>
            <w:tcW w:w="2832" w:type="dxa"/>
            <w:shd w:val="clear" w:color="auto" w:fill="auto"/>
          </w:tcPr>
          <w:p w:rsidR="000215C5" w:rsidRDefault="00703023">
            <w:pPr>
              <w:autoSpaceDE w:val="0"/>
              <w:autoSpaceDN w:val="0"/>
              <w:adjustRightInd w:val="0"/>
              <w:spacing w:after="0"/>
              <w:jc w:val="both"/>
              <w:rPr>
                <w:sz w:val="22"/>
                <w:szCs w:val="22"/>
              </w:rPr>
            </w:pPr>
            <w:r>
              <w:rPr>
                <w:sz w:val="22"/>
              </w:rPr>
              <w:t>365</w:t>
            </w:r>
          </w:p>
        </w:tc>
        <w:tc>
          <w:tcPr>
            <w:tcW w:w="1732" w:type="dxa"/>
            <w:shd w:val="clear" w:color="auto" w:fill="auto"/>
          </w:tcPr>
          <w:p w:rsidR="000215C5" w:rsidRDefault="00703023">
            <w:pPr>
              <w:autoSpaceDE w:val="0"/>
              <w:autoSpaceDN w:val="0"/>
              <w:adjustRightInd w:val="0"/>
              <w:jc w:val="both"/>
              <w:rPr>
                <w:sz w:val="22"/>
                <w:szCs w:val="22"/>
              </w:rPr>
            </w:pPr>
            <w:r>
              <w:rPr>
                <w:sz w:val="22"/>
              </w:rPr>
              <w:t>1</w:t>
            </w:r>
          </w:p>
        </w:tc>
        <w:tc>
          <w:tcPr>
            <w:tcW w:w="5289" w:type="dxa"/>
            <w:shd w:val="clear" w:color="auto" w:fill="auto"/>
          </w:tcPr>
          <w:p w:rsidR="000215C5" w:rsidRDefault="00703023">
            <w:pPr>
              <w:autoSpaceDE w:val="0"/>
              <w:autoSpaceDN w:val="0"/>
              <w:adjustRightInd w:val="0"/>
              <w:jc w:val="both"/>
              <w:rPr>
                <w:sz w:val="22"/>
                <w:szCs w:val="22"/>
              </w:rPr>
            </w:pPr>
            <w:r>
              <w:rPr>
                <w:sz w:val="22"/>
              </w:rPr>
              <w:t xml:space="preserve">Faktorn fastställs dagligen varje år eller kontinuerligt (t.ex. vattentabell eller floders vattenföring). </w:t>
            </w:r>
          </w:p>
        </w:tc>
      </w:tr>
    </w:tbl>
    <w:p w:rsidR="000215C5" w:rsidRDefault="000215C5">
      <w:pPr>
        <w:jc w:val="both"/>
      </w:pPr>
      <w:bookmarkStart w:id="261" w:name="_Toc375220072"/>
      <w:bookmarkStart w:id="262" w:name="_Toc386464227"/>
    </w:p>
    <w:p w:rsidR="000215C5" w:rsidRDefault="00703023">
      <w:pPr>
        <w:pStyle w:val="Rubrik1"/>
        <w:jc w:val="both"/>
      </w:pPr>
      <w:bookmarkStart w:id="263" w:name="_Toc425522054"/>
      <w:bookmarkStart w:id="264" w:name="_Toc432666066"/>
      <w:bookmarkStart w:id="265" w:name="_Toc437520262"/>
      <w:r>
        <w:t>Skyddade områden (mallarna SWB och GWB)</w:t>
      </w:r>
      <w:bookmarkEnd w:id="261"/>
      <w:bookmarkEnd w:id="262"/>
      <w:bookmarkEnd w:id="263"/>
      <w:bookmarkEnd w:id="264"/>
      <w:bookmarkEnd w:id="265"/>
    </w:p>
    <w:p w:rsidR="000215C5" w:rsidRDefault="00703023">
      <w:pPr>
        <w:pStyle w:val="Rubrik2"/>
        <w:jc w:val="both"/>
      </w:pPr>
      <w:bookmarkStart w:id="266" w:name="_Toc386464228"/>
      <w:bookmarkStart w:id="267" w:name="_Toc425522055"/>
      <w:bookmarkStart w:id="268" w:name="_Toc432666067"/>
      <w:bookmarkStart w:id="269" w:name="_Toc437520263"/>
      <w:bookmarkStart w:id="270" w:name="_Toc375220073"/>
      <w:r>
        <w:t>Inledning</w:t>
      </w:r>
      <w:bookmarkEnd w:id="266"/>
      <w:bookmarkEnd w:id="267"/>
      <w:bookmarkEnd w:id="268"/>
      <w:bookmarkEnd w:id="269"/>
    </w:p>
    <w:p w:rsidR="000215C5" w:rsidRDefault="00703023">
      <w:pPr>
        <w:autoSpaceDE w:val="0"/>
        <w:autoSpaceDN w:val="0"/>
        <w:adjustRightInd w:val="0"/>
        <w:jc w:val="both"/>
      </w:pPr>
      <w:r>
        <w:t>Enligt artikel 6 och bilaga IV till vattendirektivet ska medlemsstaterna se till att det upprättas ett eller flera register över alla områden inom varje avrinningsdistrikt som har förklarats kräva särskilt skydd enligt viss gemenskapslagstiftning för skyddet av deras yt- och grundvatten eller för bevarandet av livsmiljöer och arter som är direkt beroende av va</w:t>
      </w:r>
      <w:r w:rsidR="003F7836">
        <w:t>tten, inklusive skydd av Natura </w:t>
      </w:r>
      <w:r>
        <w:t>2000-områden och ekonomiskt betydelsefulla vattenlevande djur- eller växtarter (t.ex. skaldjur).</w:t>
      </w:r>
    </w:p>
    <w:p w:rsidR="000215C5" w:rsidRDefault="00703023">
      <w:pPr>
        <w:pStyle w:val="Text4"/>
        <w:tabs>
          <w:tab w:val="clear" w:pos="2302"/>
        </w:tabs>
        <w:ind w:left="0"/>
        <w:jc w:val="both"/>
      </w:pPr>
      <w:r>
        <w:t xml:space="preserve">En sammanfattning av registret över skyddade områden ska ingå i förvaltningsplanen för avrinningsdistriktet, inklusive kartor, som visar var varje skyddat område är beläget, och en beskrivning av den gemenskapslagstiftning, den nationella eller den lokala lagstiftning i enlighet med vilken de blivit förklarade som sådana. </w:t>
      </w:r>
      <w:r>
        <w:rPr>
          <w:b/>
        </w:rPr>
        <w:t>Det förväntas att alla skyddade områden rapporteras i mallarna för ytvattenförekomster (SWB) och grundvattenförekomster (GWB)</w:t>
      </w:r>
      <w:r>
        <w:t xml:space="preserve"> genom angivelse av kopplingarna till de berörda yt- och grundvattenförekomsterna</w:t>
      </w:r>
      <w:r>
        <w:rPr>
          <w:rStyle w:val="Fotnotsreferens"/>
        </w:rPr>
        <w:footnoteReference w:id="61"/>
      </w:r>
      <w:r>
        <w:t>.</w:t>
      </w:r>
    </w:p>
    <w:p w:rsidR="000215C5" w:rsidRDefault="00703023">
      <w:pPr>
        <w:pStyle w:val="Text4"/>
        <w:tabs>
          <w:tab w:val="clear" w:pos="2302"/>
        </w:tabs>
        <w:ind w:left="0"/>
        <w:jc w:val="both"/>
      </w:pPr>
      <w:r>
        <w:t>EU:s relevanta lagstiftning för vattenskydd med strängare mål omfattar följande direktiv:</w:t>
      </w:r>
    </w:p>
    <w:p w:rsidR="000215C5" w:rsidRDefault="00703023">
      <w:pPr>
        <w:pStyle w:val="Text4"/>
        <w:numPr>
          <w:ilvl w:val="0"/>
          <w:numId w:val="17"/>
        </w:numPr>
        <w:tabs>
          <w:tab w:val="clear" w:pos="2302"/>
          <w:tab w:val="left" w:pos="709"/>
        </w:tabs>
        <w:ind w:left="709"/>
        <w:jc w:val="both"/>
      </w:pPr>
      <w:r>
        <w:t>Dricksvattendirektivet (80/778/EEG, ändrat genom direktiv 98/83/EG).</w:t>
      </w:r>
    </w:p>
    <w:p w:rsidR="000215C5" w:rsidRDefault="00703023">
      <w:pPr>
        <w:pStyle w:val="Text4"/>
        <w:numPr>
          <w:ilvl w:val="0"/>
          <w:numId w:val="17"/>
        </w:numPr>
        <w:tabs>
          <w:tab w:val="clear" w:pos="2302"/>
          <w:tab w:val="left" w:pos="709"/>
        </w:tabs>
        <w:ind w:left="709"/>
        <w:jc w:val="both"/>
      </w:pPr>
      <w:r>
        <w:t>Direktivet om skaldjursvatten (2006/113/EG)</w:t>
      </w:r>
      <w:r>
        <w:rPr>
          <w:rStyle w:val="Fotnotsreferens"/>
        </w:rPr>
        <w:footnoteReference w:id="62"/>
      </w:r>
      <w:r>
        <w:t>.</w:t>
      </w:r>
    </w:p>
    <w:p w:rsidR="000215C5" w:rsidRDefault="00703023">
      <w:pPr>
        <w:pStyle w:val="Text4"/>
        <w:numPr>
          <w:ilvl w:val="0"/>
          <w:numId w:val="17"/>
        </w:numPr>
        <w:tabs>
          <w:tab w:val="clear" w:pos="2302"/>
          <w:tab w:val="left" w:pos="709"/>
        </w:tabs>
        <w:ind w:left="709"/>
        <w:jc w:val="both"/>
      </w:pPr>
      <w:r>
        <w:t>Direktivet om kvaliteten på sådant sötvatten som behöver skyddas eller förbättras för att upprätthålla fiskbestånden (2006/44/EG)</w:t>
      </w:r>
      <w:r>
        <w:rPr>
          <w:rStyle w:val="Fotnotsreferens"/>
        </w:rPr>
        <w:footnoteReference w:id="63"/>
      </w:r>
      <w:r>
        <w:t>.</w:t>
      </w:r>
    </w:p>
    <w:p w:rsidR="000215C5" w:rsidRDefault="00703023">
      <w:pPr>
        <w:pStyle w:val="Text4"/>
        <w:numPr>
          <w:ilvl w:val="0"/>
          <w:numId w:val="17"/>
        </w:numPr>
        <w:tabs>
          <w:tab w:val="clear" w:pos="2302"/>
          <w:tab w:val="left" w:pos="709"/>
        </w:tabs>
        <w:ind w:left="709"/>
        <w:jc w:val="both"/>
      </w:pPr>
      <w:r>
        <w:t>Badvattendirektivet (2006/7/EG)</w:t>
      </w:r>
      <w:r>
        <w:rPr>
          <w:vertAlign w:val="superscript"/>
        </w:rPr>
        <w:fldChar w:fldCharType="begin"/>
      </w:r>
      <w:r>
        <w:rPr>
          <w:vertAlign w:val="superscript"/>
        </w:rPr>
        <w:instrText xml:space="preserve"> NOTEREF _Ref427327009 \h  \* MERGEFORMAT </w:instrText>
      </w:r>
      <w:r>
        <w:rPr>
          <w:vertAlign w:val="superscript"/>
        </w:rPr>
      </w:r>
      <w:r>
        <w:rPr>
          <w:vertAlign w:val="superscript"/>
        </w:rPr>
        <w:fldChar w:fldCharType="separate"/>
      </w:r>
      <w:r>
        <w:rPr>
          <w:vertAlign w:val="superscript"/>
        </w:rPr>
        <w:t>11</w:t>
      </w:r>
      <w:r>
        <w:rPr>
          <w:vertAlign w:val="superscript"/>
        </w:rPr>
        <w:fldChar w:fldCharType="end"/>
      </w:r>
      <w:r>
        <w:t>.</w:t>
      </w:r>
    </w:p>
    <w:p w:rsidR="000215C5" w:rsidRDefault="00703023">
      <w:pPr>
        <w:pStyle w:val="Text4"/>
        <w:numPr>
          <w:ilvl w:val="0"/>
          <w:numId w:val="17"/>
        </w:numPr>
        <w:tabs>
          <w:tab w:val="clear" w:pos="2302"/>
          <w:tab w:val="left" w:pos="709"/>
        </w:tabs>
        <w:ind w:left="709"/>
        <w:jc w:val="both"/>
      </w:pPr>
      <w:r>
        <w:t>Nitratdirektivet (91/676/EEG)</w:t>
      </w:r>
      <w:r>
        <w:rPr>
          <w:vertAlign w:val="superscript"/>
        </w:rPr>
        <w:fldChar w:fldCharType="begin"/>
      </w:r>
      <w:r>
        <w:rPr>
          <w:vertAlign w:val="superscript"/>
        </w:rPr>
        <w:instrText xml:space="preserve"> NOTEREF _Ref427327028 \h  \* MERGEFORMAT </w:instrText>
      </w:r>
      <w:r>
        <w:rPr>
          <w:vertAlign w:val="superscript"/>
        </w:rPr>
      </w:r>
      <w:r>
        <w:rPr>
          <w:vertAlign w:val="superscript"/>
        </w:rPr>
        <w:fldChar w:fldCharType="separate"/>
      </w:r>
      <w:r>
        <w:rPr>
          <w:vertAlign w:val="superscript"/>
        </w:rPr>
        <w:t>9</w:t>
      </w:r>
      <w:r>
        <w:rPr>
          <w:vertAlign w:val="superscript"/>
        </w:rPr>
        <w:fldChar w:fldCharType="end"/>
      </w:r>
      <w:r>
        <w:t>.</w:t>
      </w:r>
    </w:p>
    <w:p w:rsidR="000215C5" w:rsidRDefault="00703023">
      <w:pPr>
        <w:pStyle w:val="Text4"/>
        <w:numPr>
          <w:ilvl w:val="0"/>
          <w:numId w:val="17"/>
        </w:numPr>
        <w:tabs>
          <w:tab w:val="clear" w:pos="2302"/>
          <w:tab w:val="left" w:pos="709"/>
        </w:tabs>
        <w:ind w:left="709"/>
        <w:jc w:val="both"/>
      </w:pPr>
      <w:r>
        <w:t>Direktivet om rening av avloppsvatten från tätbebyggelse (91/271/EEG)</w:t>
      </w:r>
      <w:r>
        <w:rPr>
          <w:vertAlign w:val="superscript"/>
        </w:rPr>
        <w:fldChar w:fldCharType="begin"/>
      </w:r>
      <w:r>
        <w:rPr>
          <w:vertAlign w:val="superscript"/>
        </w:rPr>
        <w:instrText xml:space="preserve"> NOTEREF _Ref427327043 \h  \* MERGEFORMAT </w:instrText>
      </w:r>
      <w:r>
        <w:rPr>
          <w:vertAlign w:val="superscript"/>
        </w:rPr>
      </w:r>
      <w:r>
        <w:rPr>
          <w:vertAlign w:val="superscript"/>
        </w:rPr>
        <w:fldChar w:fldCharType="separate"/>
      </w:r>
      <w:r>
        <w:rPr>
          <w:vertAlign w:val="superscript"/>
        </w:rPr>
        <w:t>8</w:t>
      </w:r>
      <w:r>
        <w:rPr>
          <w:vertAlign w:val="superscript"/>
        </w:rPr>
        <w:fldChar w:fldCharType="end"/>
      </w:r>
      <w:r>
        <w:t>.</w:t>
      </w:r>
    </w:p>
    <w:p w:rsidR="000215C5" w:rsidRDefault="00703023">
      <w:pPr>
        <w:pStyle w:val="Text4"/>
        <w:numPr>
          <w:ilvl w:val="0"/>
          <w:numId w:val="17"/>
        </w:numPr>
        <w:tabs>
          <w:tab w:val="clear" w:pos="2302"/>
          <w:tab w:val="left" w:pos="709"/>
        </w:tabs>
        <w:ind w:left="709"/>
        <w:jc w:val="both"/>
      </w:pPr>
      <w:r>
        <w:t>Fågeldirektivet (2009/147/EG)</w:t>
      </w:r>
      <w:r>
        <w:rPr>
          <w:rStyle w:val="Fotnotsreferens"/>
        </w:rPr>
        <w:footnoteReference w:id="64"/>
      </w:r>
      <w:r>
        <w:t>.</w:t>
      </w:r>
    </w:p>
    <w:p w:rsidR="000215C5" w:rsidRDefault="00703023">
      <w:pPr>
        <w:pStyle w:val="Text4"/>
        <w:numPr>
          <w:ilvl w:val="0"/>
          <w:numId w:val="17"/>
        </w:numPr>
        <w:tabs>
          <w:tab w:val="clear" w:pos="2302"/>
          <w:tab w:val="left" w:pos="709"/>
        </w:tabs>
        <w:ind w:left="709"/>
        <w:jc w:val="both"/>
      </w:pPr>
      <w:r>
        <w:t>Livsmiljödirektivet (92/43/EEG)</w:t>
      </w:r>
      <w:r>
        <w:rPr>
          <w:rStyle w:val="Fotnotsreferens"/>
        </w:rPr>
        <w:footnoteReference w:id="65"/>
      </w:r>
      <w:r>
        <w:t>.</w:t>
      </w:r>
    </w:p>
    <w:p w:rsidR="000215C5" w:rsidRDefault="00703023">
      <w:pPr>
        <w:pStyle w:val="Text4"/>
        <w:tabs>
          <w:tab w:val="clear" w:pos="2302"/>
        </w:tabs>
        <w:ind w:left="0"/>
        <w:jc w:val="both"/>
      </w:pPr>
      <w:r>
        <w:t>Direktivet om kvaliteten på sådant sötvatten som behöver skyddas eller förbättras för att upprätthålla fiskbestånden och direktivet om kvalitetskrav för s</w:t>
      </w:r>
      <w:r w:rsidR="003F7836">
        <w:t>kaldjursvatten upphävdes den 22 </w:t>
      </w:r>
      <w:r>
        <w:t>december 2013. Enligt vattendirektivet ska skyddsnivån upprätthållas genom att de utsedda områdena inbegrips som skyddade områden enligt direktivet. Nödvändiga kompletterande mål och åtgärder ska anges i förvaltningsplanerna och åtgärdsprogrammen.</w:t>
      </w:r>
    </w:p>
    <w:p w:rsidR="000215C5" w:rsidRDefault="00703023">
      <w:pPr>
        <w:pStyle w:val="Text4"/>
        <w:tabs>
          <w:tab w:val="clear" w:pos="2302"/>
        </w:tabs>
        <w:ind w:left="0"/>
        <w:jc w:val="both"/>
      </w:pPr>
      <w:r>
        <w:t>Miljömålen för vattenförekomster som utses till skyddade områden har fastställts som bättre status än god status, eftersom strängare mål har ställts upp för dessa områden i den berörda unionslagstiftningen.</w:t>
      </w:r>
    </w:p>
    <w:p w:rsidR="000215C5" w:rsidRDefault="00703023">
      <w:pPr>
        <w:pStyle w:val="Text4"/>
        <w:tabs>
          <w:tab w:val="clear" w:pos="2302"/>
        </w:tabs>
        <w:ind w:left="0"/>
        <w:jc w:val="both"/>
      </w:pPr>
      <w:r>
        <w:t>Enligt bilaga VII punkt 7.1 i vattendirektivet ska ”en sammanfattning av de åtgärder som krävs för att genomföra gemenskapslagstiftningen för vattenskydd” lämnas. Kompletterande åtgärder för skyddade områden ska utgöra en integrerad del av förvaltningsplanerna. Syftet med detta är att se till att kraven för dessa skyddade områden ingår i den allmänna förvaltningen av avrinningsdistrikten och att säkerställa konsekvens mellan hela vattenplaneringen och de mål som redan fastställts i lagstiftning på EU-nivå och nationell lagstiftning.</w:t>
      </w:r>
    </w:p>
    <w:p w:rsidR="000215C5" w:rsidRDefault="00703023">
      <w:pPr>
        <w:pStyle w:val="Text4"/>
        <w:tabs>
          <w:tab w:val="clear" w:pos="2302"/>
        </w:tabs>
        <w:ind w:left="0"/>
        <w:jc w:val="both"/>
      </w:pPr>
      <w:r>
        <w:t>I artikel 4.1. c i vattendirektivet anges att medlemsstaterna ska ”åstadkomma överensstämmelse med alla normer och mål senast 15 år efter tidpunkten för detta direktivs ikraftträdande, om inte annat anges i den gemenskapslagstiftning enligt vilken de enskilda skyddade områdena har fastställts”. Vattenförekomster i skyddade områden måste därför uppnå god status senast 2015, och tidigare om så krävs enligt annan EU-lagstiftning. Om vattenförekomsten inte har god status bör det bero på att ett undantag enligt artikel 4.4 i vattendirektivet är tillämpligt.</w:t>
      </w:r>
    </w:p>
    <w:p w:rsidR="000215C5" w:rsidRDefault="00703023">
      <w:pPr>
        <w:pStyle w:val="Text4"/>
        <w:tabs>
          <w:tab w:val="clear" w:pos="2302"/>
        </w:tabs>
        <w:ind w:left="0"/>
        <w:jc w:val="both"/>
      </w:pPr>
      <w:r>
        <w:t>De kompletterande åtgärderna kan vara av samma typ som vattendirektivets åtgärder (t.ex. åtgärder för att minska urlakning av kväve från jordbruket eller åtgärder för att förbättra en flods hydromorfologiska status), men åtgärderna måste leda till en större förbättring av vattenförekomstens status. Alternativt kan de inriktas på att hantera andra föroreningsaspekter som inte ingår i vattendirektivets definition av god status (t.ex. mikrobiologiska normer för skydd av skaldjur och badvatten). Det kan även röra sig om andra typer av åtgärder som inriktas på de särskilda skyddsmålen för det berörda området.</w:t>
      </w:r>
    </w:p>
    <w:p w:rsidR="000215C5" w:rsidRDefault="00703023">
      <w:pPr>
        <w:pStyle w:val="Text4"/>
        <w:tabs>
          <w:tab w:val="clear" w:pos="2302"/>
        </w:tabs>
        <w:ind w:left="0"/>
        <w:jc w:val="both"/>
      </w:pPr>
      <w:r>
        <w:t>I likhet med andra miljömål i vattendirektivet kan undantag vara tillämpliga, under förutsättning att villkoren i de berörda artiklarna är uppfyllda. När det gäller skyddade områden måste det säkerställas att vattendirektivets undantag inte motverkar målen enligt den berörda lagstiftningen. Rapporteringen av undantag för skyddade områden avser endast de kompletterande mål som ställs upp (t.ex. mål enligt artikel 4.1 c). Undantag från miljömålen i 4.1 a och b i vattendirektivet rapporteras i samband med rapporteringen av de berörda yt- eller grundvattenförekomsternas status (se relevanta delar i avsnitten 2 och 3).</w:t>
      </w:r>
    </w:p>
    <w:p w:rsidR="000215C5" w:rsidRDefault="00703023">
      <w:pPr>
        <w:pStyle w:val="Rubrik3"/>
      </w:pPr>
      <w:bookmarkStart w:id="271" w:name="_Toc386464229"/>
      <w:r>
        <w:t>Hur kommer kommissionen och Europeiska miljöbyrån att använda den rapporterade informationen</w:t>
      </w:r>
      <w:bookmarkEnd w:id="271"/>
      <w:r>
        <w:t>?</w:t>
      </w:r>
    </w:p>
    <w:p w:rsidR="000215C5" w:rsidRDefault="00703023">
      <w:pPr>
        <w:pStyle w:val="Brdtext"/>
        <w:jc w:val="both"/>
      </w:pPr>
      <w:r>
        <w:t>Kommissionen kommer att använda den information om skyddade områden som rapporteras av medlemsstaterna för att kontrollera att ett register över skyddade områden har upprättats för avrinningsdistriktet och att lämpliga skyddsnivåer råder. På EU-nivå kommer statistik och information att lämnas till Europaparlamentet. Allmänheten kommer att få tillgång till informationen via Wise.</w:t>
      </w:r>
    </w:p>
    <w:p w:rsidR="000215C5" w:rsidRDefault="00703023">
      <w:pPr>
        <w:pStyle w:val="Rubrik2"/>
        <w:jc w:val="both"/>
      </w:pPr>
      <w:bookmarkStart w:id="272" w:name="_Toc386464230"/>
      <w:bookmarkStart w:id="273" w:name="_Toc425522056"/>
      <w:bookmarkStart w:id="274" w:name="_Toc432666068"/>
      <w:bookmarkStart w:id="275" w:name="_Toc437520264"/>
      <w:r>
        <w:t>Produkter från rapporteringen</w:t>
      </w:r>
      <w:bookmarkEnd w:id="272"/>
      <w:bookmarkEnd w:id="273"/>
      <w:bookmarkEnd w:id="274"/>
      <w:bookmarkEnd w:id="27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1037"/>
        <w:gridCol w:w="1260"/>
        <w:gridCol w:w="1956"/>
        <w:gridCol w:w="1984"/>
        <w:gridCol w:w="1701"/>
      </w:tblGrid>
      <w:tr w:rsidR="000215C5" w:rsidTr="000F54DD">
        <w:trPr>
          <w:cantSplit/>
          <w:tblHeader/>
        </w:trPr>
        <w:tc>
          <w:tcPr>
            <w:tcW w:w="455" w:type="dxa"/>
            <w:shd w:val="clear" w:color="auto" w:fill="auto"/>
          </w:tcPr>
          <w:p w:rsidR="000215C5" w:rsidRDefault="00703023">
            <w:pPr>
              <w:spacing w:after="0"/>
              <w:jc w:val="both"/>
              <w:rPr>
                <w:b/>
                <w:sz w:val="18"/>
                <w:szCs w:val="18"/>
              </w:rPr>
            </w:pPr>
            <w:r>
              <w:rPr>
                <w:b/>
                <w:sz w:val="18"/>
              </w:rPr>
              <w:t>Nb</w:t>
            </w:r>
          </w:p>
        </w:tc>
        <w:tc>
          <w:tcPr>
            <w:tcW w:w="1496" w:type="dxa"/>
            <w:shd w:val="clear" w:color="auto" w:fill="auto"/>
          </w:tcPr>
          <w:p w:rsidR="000215C5" w:rsidRDefault="00703023">
            <w:pPr>
              <w:spacing w:after="0"/>
              <w:jc w:val="both"/>
              <w:rPr>
                <w:b/>
                <w:sz w:val="18"/>
                <w:szCs w:val="18"/>
              </w:rPr>
            </w:pPr>
            <w:r>
              <w:rPr>
                <w:b/>
                <w:sz w:val="18"/>
              </w:rPr>
              <w:t>Produktens namn</w:t>
            </w:r>
          </w:p>
        </w:tc>
        <w:tc>
          <w:tcPr>
            <w:tcW w:w="1037" w:type="dxa"/>
            <w:shd w:val="clear" w:color="auto" w:fill="auto"/>
          </w:tcPr>
          <w:p w:rsidR="000215C5" w:rsidRDefault="00703023">
            <w:pPr>
              <w:spacing w:after="0"/>
              <w:jc w:val="both"/>
              <w:rPr>
                <w:b/>
                <w:sz w:val="18"/>
                <w:szCs w:val="18"/>
              </w:rPr>
            </w:pPr>
            <w:r>
              <w:rPr>
                <w:b/>
                <w:sz w:val="18"/>
              </w:rPr>
              <w:t>Produkttyp</w:t>
            </w:r>
          </w:p>
        </w:tc>
        <w:tc>
          <w:tcPr>
            <w:tcW w:w="1260" w:type="dxa"/>
            <w:shd w:val="clear" w:color="auto" w:fill="auto"/>
          </w:tcPr>
          <w:p w:rsidR="000215C5" w:rsidRDefault="00703023">
            <w:pPr>
              <w:spacing w:after="0"/>
              <w:jc w:val="both"/>
              <w:rPr>
                <w:b/>
                <w:sz w:val="18"/>
                <w:szCs w:val="18"/>
              </w:rPr>
            </w:pPr>
            <w:r>
              <w:rPr>
                <w:b/>
                <w:sz w:val="18"/>
              </w:rPr>
              <w:t>Informations</w:t>
            </w:r>
            <w:r w:rsidR="000F54DD">
              <w:rPr>
                <w:b/>
                <w:sz w:val="18"/>
              </w:rPr>
              <w:t>-</w:t>
            </w:r>
            <w:r>
              <w:rPr>
                <w:b/>
                <w:sz w:val="18"/>
              </w:rPr>
              <w:t>nivå*</w:t>
            </w:r>
          </w:p>
        </w:tc>
        <w:tc>
          <w:tcPr>
            <w:tcW w:w="1956" w:type="dxa"/>
            <w:shd w:val="clear" w:color="auto" w:fill="auto"/>
          </w:tcPr>
          <w:p w:rsidR="000215C5" w:rsidRDefault="00703023">
            <w:pPr>
              <w:spacing w:after="0"/>
              <w:jc w:val="both"/>
              <w:rPr>
                <w:b/>
                <w:sz w:val="18"/>
                <w:szCs w:val="18"/>
              </w:rPr>
            </w:pPr>
            <w:r>
              <w:rPr>
                <w:b/>
                <w:sz w:val="18"/>
              </w:rPr>
              <w:t>Detaljerad information visas</w:t>
            </w:r>
          </w:p>
        </w:tc>
        <w:tc>
          <w:tcPr>
            <w:tcW w:w="1984"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701"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0F54DD">
        <w:trPr>
          <w:cantSplit/>
        </w:trPr>
        <w:tc>
          <w:tcPr>
            <w:tcW w:w="455" w:type="dxa"/>
            <w:shd w:val="clear" w:color="auto" w:fill="auto"/>
          </w:tcPr>
          <w:p w:rsidR="000215C5" w:rsidRDefault="00703023">
            <w:pPr>
              <w:spacing w:after="0"/>
              <w:jc w:val="both"/>
              <w:rPr>
                <w:sz w:val="18"/>
                <w:szCs w:val="18"/>
              </w:rPr>
            </w:pPr>
            <w:r>
              <w:rPr>
                <w:sz w:val="18"/>
              </w:rPr>
              <w:t>1</w:t>
            </w:r>
          </w:p>
        </w:tc>
        <w:tc>
          <w:tcPr>
            <w:tcW w:w="1496" w:type="dxa"/>
            <w:shd w:val="clear" w:color="auto" w:fill="auto"/>
          </w:tcPr>
          <w:p w:rsidR="000215C5" w:rsidRDefault="00703023">
            <w:pPr>
              <w:spacing w:after="0"/>
              <w:jc w:val="both"/>
              <w:rPr>
                <w:b/>
                <w:sz w:val="18"/>
                <w:szCs w:val="18"/>
              </w:rPr>
            </w:pPr>
            <w:r>
              <w:rPr>
                <w:b/>
                <w:sz w:val="18"/>
              </w:rPr>
              <w:t>Antal skyddade områden av varje typ</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Antal skyddade områden för varje rapporterad typ.</w:t>
            </w:r>
          </w:p>
        </w:tc>
        <w:tc>
          <w:tcPr>
            <w:tcW w:w="1984" w:type="dxa"/>
            <w:shd w:val="clear" w:color="auto" w:fill="auto"/>
          </w:tcPr>
          <w:p w:rsidR="000215C5" w:rsidRDefault="00703023">
            <w:pPr>
              <w:spacing w:after="0"/>
              <w:jc w:val="both"/>
              <w:rPr>
                <w:sz w:val="18"/>
                <w:szCs w:val="18"/>
              </w:rPr>
            </w:pPr>
            <w:r>
              <w:rPr>
                <w:sz w:val="18"/>
              </w:rPr>
              <w:t>Aggregering på grundval av det rapporterade registret över skyddade områden.</w:t>
            </w:r>
          </w:p>
        </w:tc>
        <w:tc>
          <w:tcPr>
            <w:tcW w:w="1701" w:type="dxa"/>
            <w:shd w:val="clear" w:color="auto" w:fill="auto"/>
          </w:tcPr>
          <w:p w:rsidR="000215C5" w:rsidRDefault="00703023">
            <w:pPr>
              <w:spacing w:after="0"/>
              <w:jc w:val="both"/>
              <w:rPr>
                <w:sz w:val="18"/>
                <w:szCs w:val="18"/>
              </w:rPr>
            </w:pPr>
            <w:r>
              <w:rPr>
                <w:sz w:val="18"/>
              </w:rPr>
              <w:t>Ja</w:t>
            </w:r>
          </w:p>
        </w:tc>
      </w:tr>
      <w:tr w:rsidR="000215C5" w:rsidTr="000F54DD">
        <w:trPr>
          <w:cantSplit/>
        </w:trPr>
        <w:tc>
          <w:tcPr>
            <w:tcW w:w="455" w:type="dxa"/>
            <w:shd w:val="clear" w:color="auto" w:fill="auto"/>
          </w:tcPr>
          <w:p w:rsidR="000215C5" w:rsidRDefault="00703023">
            <w:pPr>
              <w:spacing w:after="0"/>
              <w:jc w:val="both"/>
              <w:rPr>
                <w:sz w:val="18"/>
                <w:szCs w:val="18"/>
              </w:rPr>
            </w:pPr>
            <w:r>
              <w:rPr>
                <w:sz w:val="18"/>
              </w:rPr>
              <w:t>2</w:t>
            </w:r>
          </w:p>
        </w:tc>
        <w:tc>
          <w:tcPr>
            <w:tcW w:w="1496" w:type="dxa"/>
            <w:shd w:val="clear" w:color="auto" w:fill="auto"/>
          </w:tcPr>
          <w:p w:rsidR="000215C5" w:rsidRDefault="00703023">
            <w:pPr>
              <w:spacing w:after="0"/>
              <w:jc w:val="both"/>
              <w:rPr>
                <w:b/>
                <w:sz w:val="18"/>
                <w:szCs w:val="18"/>
              </w:rPr>
            </w:pPr>
            <w:r>
              <w:rPr>
                <w:b/>
                <w:sz w:val="18"/>
              </w:rPr>
              <w:t xml:space="preserve">Antal skyddade områden </w:t>
            </w:r>
          </w:p>
        </w:tc>
        <w:tc>
          <w:tcPr>
            <w:tcW w:w="1037" w:type="dxa"/>
            <w:shd w:val="clear" w:color="auto" w:fill="auto"/>
          </w:tcPr>
          <w:p w:rsidR="000215C5" w:rsidRDefault="00703023">
            <w:pPr>
              <w:spacing w:after="0"/>
              <w:jc w:val="both"/>
              <w:rPr>
                <w:sz w:val="18"/>
                <w:szCs w:val="18"/>
              </w:rPr>
            </w:pPr>
            <w:r>
              <w:rPr>
                <w:sz w:val="18"/>
              </w:rPr>
              <w:t>Diagram</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Antal skyddade områden av varje typ.</w:t>
            </w:r>
          </w:p>
        </w:tc>
        <w:tc>
          <w:tcPr>
            <w:tcW w:w="1984" w:type="dxa"/>
            <w:shd w:val="clear" w:color="auto" w:fill="auto"/>
          </w:tcPr>
          <w:p w:rsidR="000215C5" w:rsidRDefault="00703023">
            <w:pPr>
              <w:spacing w:after="0"/>
              <w:jc w:val="both"/>
              <w:rPr>
                <w:sz w:val="18"/>
                <w:szCs w:val="18"/>
              </w:rPr>
            </w:pPr>
            <w:r>
              <w:rPr>
                <w:sz w:val="18"/>
              </w:rPr>
              <w:t xml:space="preserve">Aggregering på grundval av den information som rapporteras på nivån för skyddade områden. </w:t>
            </w:r>
          </w:p>
        </w:tc>
        <w:tc>
          <w:tcPr>
            <w:tcW w:w="1701" w:type="dxa"/>
            <w:shd w:val="clear" w:color="auto" w:fill="auto"/>
          </w:tcPr>
          <w:p w:rsidR="000215C5" w:rsidRDefault="00703023">
            <w:pPr>
              <w:spacing w:after="0"/>
              <w:jc w:val="both"/>
              <w:rPr>
                <w:sz w:val="18"/>
                <w:szCs w:val="18"/>
              </w:rPr>
            </w:pPr>
            <w:r>
              <w:rPr>
                <w:sz w:val="18"/>
              </w:rPr>
              <w:t>Ja</w:t>
            </w:r>
          </w:p>
        </w:tc>
      </w:tr>
      <w:tr w:rsidR="000215C5" w:rsidTr="000F54DD">
        <w:trPr>
          <w:cantSplit/>
        </w:trPr>
        <w:tc>
          <w:tcPr>
            <w:tcW w:w="455" w:type="dxa"/>
            <w:shd w:val="clear" w:color="auto" w:fill="auto"/>
          </w:tcPr>
          <w:p w:rsidR="000215C5" w:rsidRDefault="00703023">
            <w:pPr>
              <w:spacing w:after="0"/>
              <w:jc w:val="both"/>
              <w:rPr>
                <w:sz w:val="18"/>
                <w:szCs w:val="18"/>
              </w:rPr>
            </w:pPr>
            <w:r>
              <w:rPr>
                <w:sz w:val="18"/>
              </w:rPr>
              <w:t>3</w:t>
            </w:r>
          </w:p>
        </w:tc>
        <w:tc>
          <w:tcPr>
            <w:tcW w:w="1496" w:type="dxa"/>
            <w:shd w:val="clear" w:color="auto" w:fill="auto"/>
          </w:tcPr>
          <w:p w:rsidR="000215C5" w:rsidRDefault="00703023">
            <w:pPr>
              <w:spacing w:after="0"/>
              <w:ind w:left="1920" w:hanging="240"/>
              <w:jc w:val="both"/>
              <w:rPr>
                <w:b/>
                <w:sz w:val="18"/>
                <w:szCs w:val="18"/>
              </w:rPr>
            </w:pPr>
            <w:r>
              <w:rPr>
                <w:b/>
                <w:sz w:val="18"/>
              </w:rPr>
              <w:t>Status för skyddade områden</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MS</w:t>
            </w:r>
          </w:p>
        </w:tc>
        <w:tc>
          <w:tcPr>
            <w:tcW w:w="1956" w:type="dxa"/>
            <w:shd w:val="clear" w:color="auto" w:fill="auto"/>
          </w:tcPr>
          <w:p w:rsidR="000215C5" w:rsidRDefault="00703023">
            <w:pPr>
              <w:spacing w:after="0"/>
              <w:jc w:val="both"/>
              <w:rPr>
                <w:sz w:val="18"/>
                <w:szCs w:val="18"/>
              </w:rPr>
            </w:pPr>
            <w:r>
              <w:rPr>
                <w:sz w:val="18"/>
              </w:rPr>
              <w:t xml:space="preserve">Antal skyddade områden (per typ) som uppnår målen. </w:t>
            </w:r>
          </w:p>
        </w:tc>
        <w:tc>
          <w:tcPr>
            <w:tcW w:w="1984" w:type="dxa"/>
            <w:shd w:val="clear" w:color="auto" w:fill="auto"/>
          </w:tcPr>
          <w:p w:rsidR="000215C5" w:rsidRDefault="00703023">
            <w:pPr>
              <w:spacing w:after="0"/>
              <w:jc w:val="both"/>
              <w:rPr>
                <w:sz w:val="18"/>
                <w:szCs w:val="18"/>
              </w:rPr>
            </w:pPr>
            <w:r>
              <w:rPr>
                <w:sz w:val="18"/>
              </w:rPr>
              <w:t>Aggregering på grundval av den information som rapporteras på nivån för skyddade områden.</w:t>
            </w:r>
          </w:p>
        </w:tc>
        <w:tc>
          <w:tcPr>
            <w:tcW w:w="1701" w:type="dxa"/>
            <w:shd w:val="clear" w:color="auto" w:fill="auto"/>
          </w:tcPr>
          <w:p w:rsidR="000215C5" w:rsidRDefault="00703023">
            <w:pPr>
              <w:spacing w:after="0"/>
              <w:jc w:val="both"/>
              <w:rPr>
                <w:sz w:val="18"/>
                <w:szCs w:val="18"/>
              </w:rPr>
            </w:pPr>
            <w:r>
              <w:rPr>
                <w:sz w:val="18"/>
              </w:rPr>
              <w:t>Nej</w:t>
            </w:r>
          </w:p>
        </w:tc>
      </w:tr>
    </w:tbl>
    <w:p w:rsidR="000215C5" w:rsidRDefault="00703023">
      <w:pPr>
        <w:jc w:val="both"/>
        <w:rPr>
          <w:sz w:val="20"/>
        </w:rPr>
      </w:pPr>
      <w:r>
        <w:rPr>
          <w:b/>
          <w:sz w:val="20"/>
        </w:rPr>
        <w:t>Anmärkningar:</w:t>
      </w:r>
      <w:r>
        <w:rPr>
          <w:sz w:val="20"/>
        </w:rPr>
        <w:t xml:space="preserve"> * Informationsnivå: EU = europeisk nivå, MS = nationell nivå, medlemsstatsnivå, RBD = avrinningsdistrikt, SU = delavrinningsdistrikt, WB = vattenförekomst, Site = övervakningsstation.</w:t>
      </w:r>
    </w:p>
    <w:p w:rsidR="000215C5" w:rsidRDefault="00703023">
      <w:pPr>
        <w:pStyle w:val="Rubrik2"/>
        <w:jc w:val="both"/>
      </w:pPr>
      <w:bookmarkStart w:id="276" w:name="_Toc386464231"/>
      <w:bookmarkStart w:id="277" w:name="_Toc425522057"/>
      <w:bookmarkStart w:id="278" w:name="_Toc432666069"/>
      <w:bookmarkStart w:id="279" w:name="_Toc437520265"/>
      <w:r>
        <w:t>Innehåll i rapporteringen 2016</w:t>
      </w:r>
      <w:bookmarkEnd w:id="270"/>
      <w:bookmarkEnd w:id="276"/>
      <w:bookmarkEnd w:id="277"/>
      <w:bookmarkEnd w:id="278"/>
      <w:bookmarkEnd w:id="279"/>
      <w:r>
        <w:t xml:space="preserve"> </w:t>
      </w:r>
    </w:p>
    <w:p w:rsidR="000215C5" w:rsidRDefault="00703023">
      <w:pPr>
        <w:pStyle w:val="Rubrik3"/>
      </w:pPr>
      <w:r>
        <w:t>Skiss över mallarna</w:t>
      </w:r>
    </w:p>
    <w:p w:rsidR="000215C5" w:rsidRDefault="00703023">
      <w:pPr>
        <w:jc w:val="both"/>
      </w:pPr>
      <w:r>
        <w:t>Se bilaga 10.2 (mallen SWB för ytvattenförekomster) och bilaga 10.3 (mallen GWB för grundvattenförekomster).</w:t>
      </w:r>
    </w:p>
    <w:p w:rsidR="000215C5" w:rsidRDefault="00703023">
      <w:pPr>
        <w:pStyle w:val="Rubrik3"/>
      </w:pPr>
      <w:bookmarkStart w:id="280" w:name="_Ref382300567"/>
      <w:r>
        <w:t>Uppgifter och information som ska lämnas med hjälp av mallarna</w:t>
      </w:r>
      <w:bookmarkEnd w:id="280"/>
    </w:p>
    <w:p w:rsidR="000215C5" w:rsidRDefault="00703023">
      <w:pPr>
        <w:jc w:val="both"/>
      </w:pPr>
      <w:r>
        <w:t xml:space="preserve">Information om skyddade områden som är förbundna med ytvattenförekomster ska rapporteras på nivån för ytvattenförekomster enligt mallen SWB (se inledningen och ordlistan i avsnitt </w:t>
      </w:r>
      <w:r>
        <w:fldChar w:fldCharType="begin"/>
      </w:r>
      <w:r>
        <w:instrText xml:space="preserve"> REF _Ref385323197 \r \h  \* MERGEFORMAT </w:instrText>
      </w:r>
      <w:r>
        <w:fldChar w:fldCharType="separate"/>
      </w:r>
      <w:r>
        <w:t>5.3.4</w:t>
      </w:r>
      <w:r>
        <w:fldChar w:fldCharType="end"/>
      </w:r>
      <w:r>
        <w:t xml:space="preserve"> för närmare information).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SWB (fortsättning)</w:t>
            </w:r>
          </w:p>
        </w:tc>
      </w:tr>
      <w:tr w:rsidR="000215C5">
        <w:tc>
          <w:tcPr>
            <w:tcW w:w="9889" w:type="dxa"/>
            <w:shd w:val="clear" w:color="auto" w:fill="auto"/>
          </w:tcPr>
          <w:p w:rsidR="000215C5" w:rsidRDefault="00703023">
            <w:pPr>
              <w:spacing w:after="120"/>
              <w:jc w:val="both"/>
              <w:rPr>
                <w:b/>
                <w:i/>
                <w:szCs w:val="24"/>
              </w:rPr>
            </w:pPr>
            <w:r>
              <w:rPr>
                <w:b/>
                <w:i/>
              </w:rPr>
              <w:t>Class SWAssociatedProtectedArea</w:t>
            </w:r>
          </w:p>
          <w:p w:rsidR="000215C5" w:rsidRDefault="00703023">
            <w:pPr>
              <w:spacing w:after="120"/>
              <w:jc w:val="both"/>
              <w:rPr>
                <w:i/>
                <w:szCs w:val="24"/>
              </w:rPr>
            </w:pPr>
            <w:r>
              <w:rPr>
                <w:b/>
                <w:i/>
              </w:rPr>
              <w:t>Egenskaper</w:t>
            </w:r>
            <w:r>
              <w:rPr>
                <w:i/>
              </w:rPr>
              <w:t>: maxOccurs = unbounded minOccurs = 0</w:t>
            </w:r>
          </w:p>
          <w:p w:rsidR="000215C5" w:rsidRDefault="00703023">
            <w:pPr>
              <w:spacing w:after="120"/>
              <w:jc w:val="both"/>
              <w:rPr>
                <w:i/>
                <w:szCs w:val="24"/>
              </w:rPr>
            </w:pPr>
            <w:r>
              <w:rPr>
                <w:i/>
              </w:rPr>
              <w:t>Villkorlig kontroll: rapportera minst 1 om swAssociatedProtectedArea är ”Yes”.</w:t>
            </w:r>
          </w:p>
        </w:tc>
      </w:tr>
      <w:tr w:rsidR="000215C5">
        <w:tc>
          <w:tcPr>
            <w:tcW w:w="9889" w:type="dxa"/>
            <w:shd w:val="clear" w:color="auto" w:fill="auto"/>
          </w:tcPr>
          <w:p w:rsidR="000215C5" w:rsidRDefault="00703023">
            <w:pPr>
              <w:spacing w:after="120"/>
              <w:jc w:val="both"/>
              <w:rPr>
                <w:b/>
                <w:szCs w:val="24"/>
              </w:rPr>
            </w:pPr>
            <w:r>
              <w:rPr>
                <w:b/>
                <w:i/>
              </w:rPr>
              <w:t xml:space="preserve"> </w:t>
            </w:r>
            <w:r>
              <w:rPr>
                <w:b/>
              </w:rPr>
              <w:t>Mallpost</w:t>
            </w:r>
            <w:r>
              <w:t>: euProtectedAreaCode</w:t>
            </w:r>
          </w:p>
          <w:p w:rsidR="000215C5" w:rsidRDefault="00703023">
            <w:pPr>
              <w:spacing w:after="120"/>
              <w:jc w:val="both"/>
              <w:rPr>
                <w:szCs w:val="24"/>
              </w:rPr>
            </w:pPr>
            <w:r>
              <w:rPr>
                <w:b/>
              </w:rPr>
              <w:t xml:space="preserve">Fälttyp/alternativ: </w:t>
            </w:r>
            <w:r>
              <w:t xml:space="preserve">FeatureUniqueEUCodeType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w:t>
            </w:r>
            <w:r>
              <w:rPr>
                <w:rStyle w:val="Fotnotsreferens"/>
              </w:rPr>
              <w:footnoteReference w:id="66"/>
            </w:r>
            <w:r>
              <w:t>. Unik EU-kod för de (vattenberoende) skyddade områden som är förbundna med ytvattenförekomsten. I förekommande fall ska det skyddade områdets kod rapporteras såsom den tidigare rapporterats enligt andra direktiv. Om koden inte har rapporterats enligt andra direktiv ska den rapporteras i GML-mallen ProtectedAreas (se bilaga 5, GIS-vägledning).</w:t>
            </w:r>
          </w:p>
          <w:p w:rsidR="000215C5" w:rsidRDefault="00703023">
            <w:pPr>
              <w:spacing w:after="120"/>
              <w:jc w:val="both"/>
              <w:rPr>
                <w:szCs w:val="24"/>
              </w:rPr>
            </w:pPr>
            <w:r>
              <w:t>Om den unika koden inte redan ingår i de två första bokstäverna i den kod som rapporterats enligt andra direktiv, ska medlemsstatens ISO-landskod med två bokstäver anges före den unika koden.</w:t>
            </w:r>
          </w:p>
          <w:p w:rsidR="000215C5" w:rsidRDefault="00703023">
            <w:pPr>
              <w:spacing w:after="120"/>
              <w:jc w:val="both"/>
              <w:rPr>
                <w:szCs w:val="24"/>
              </w:rPr>
            </w:pPr>
            <w:r>
              <w:rPr>
                <w:b/>
              </w:rPr>
              <w:t>Kvalitetskontroller</w:t>
            </w:r>
            <w:r>
              <w:t xml:space="preserve">: Kontroll av posten: De första två bokstäverna måste vara medlemsstatens ISO-landskod med två bokstäver. </w:t>
            </w:r>
          </w:p>
          <w:p w:rsidR="000215C5" w:rsidRDefault="00703023">
            <w:pPr>
              <w:spacing w:after="120"/>
              <w:jc w:val="both"/>
              <w:rPr>
                <w:b/>
                <w:szCs w:val="24"/>
              </w:rPr>
            </w:pPr>
            <w:r>
              <w:t>Dubbelkontroll av mallen: den rapporterade euProtectedAreaCode måste överensstämma med de koder som rapporteras i GML ProtectedArea/localId ELLER ProtectedArea/thematicIdIdentifier.</w:t>
            </w:r>
            <w:r>
              <w:rPr>
                <w:b/>
              </w:rPr>
              <w:t xml:space="preserve"> </w:t>
            </w:r>
          </w:p>
        </w:tc>
      </w:tr>
      <w:tr w:rsidR="000215C5">
        <w:tc>
          <w:tcPr>
            <w:tcW w:w="9889" w:type="dxa"/>
            <w:shd w:val="clear" w:color="auto" w:fill="auto"/>
          </w:tcPr>
          <w:p w:rsidR="000215C5" w:rsidRDefault="00703023">
            <w:pPr>
              <w:spacing w:after="120"/>
              <w:jc w:val="both"/>
              <w:rPr>
                <w:b/>
                <w:szCs w:val="24"/>
              </w:rPr>
            </w:pPr>
            <w:r>
              <w:rPr>
                <w:b/>
              </w:rPr>
              <w:t>Mallpost</w:t>
            </w:r>
            <w:r>
              <w:t>: protectedAreaType</w:t>
            </w:r>
          </w:p>
          <w:p w:rsidR="000215C5" w:rsidRDefault="00703023">
            <w:pPr>
              <w:spacing w:after="120"/>
              <w:jc w:val="both"/>
              <w:rPr>
                <w:szCs w:val="24"/>
              </w:rPr>
            </w:pPr>
            <w:r>
              <w:rPr>
                <w:b/>
              </w:rPr>
              <w:t xml:space="preserve">Fälttyp/alternativ: </w:t>
            </w:r>
            <w:r>
              <w:t>ProtectedAreaType_Enum:</w:t>
            </w:r>
          </w:p>
          <w:p w:rsidR="000215C5" w:rsidRPr="006E59C8" w:rsidRDefault="00703023">
            <w:pPr>
              <w:spacing w:after="120"/>
              <w:jc w:val="both"/>
              <w:rPr>
                <w:szCs w:val="24"/>
                <w:lang w:val="en-GB"/>
              </w:rPr>
            </w:pPr>
            <w:r w:rsidRPr="006E59C8">
              <w:rPr>
                <w:lang w:val="en-GB"/>
              </w:rPr>
              <w:t>Bathing</w:t>
            </w:r>
          </w:p>
          <w:p w:rsidR="000215C5" w:rsidRPr="006E59C8" w:rsidRDefault="00703023">
            <w:pPr>
              <w:spacing w:after="120"/>
              <w:jc w:val="both"/>
              <w:rPr>
                <w:szCs w:val="24"/>
                <w:lang w:val="en-GB"/>
              </w:rPr>
            </w:pPr>
            <w:r w:rsidRPr="006E59C8">
              <w:rPr>
                <w:lang w:val="en-GB"/>
              </w:rPr>
              <w:t>Birds</w:t>
            </w:r>
          </w:p>
          <w:p w:rsidR="000215C5" w:rsidRPr="006E59C8" w:rsidRDefault="00703023">
            <w:pPr>
              <w:spacing w:after="120"/>
              <w:jc w:val="both"/>
              <w:rPr>
                <w:szCs w:val="24"/>
                <w:lang w:val="en-GB"/>
              </w:rPr>
            </w:pPr>
            <w:r w:rsidRPr="006E59C8">
              <w:rPr>
                <w:lang w:val="en-GB"/>
              </w:rPr>
              <w:t>Fish</w:t>
            </w:r>
          </w:p>
          <w:p w:rsidR="000215C5" w:rsidRPr="006E59C8" w:rsidRDefault="00703023">
            <w:pPr>
              <w:spacing w:after="120"/>
              <w:jc w:val="both"/>
              <w:rPr>
                <w:szCs w:val="24"/>
                <w:lang w:val="en-GB"/>
              </w:rPr>
            </w:pPr>
            <w:r w:rsidRPr="006E59C8">
              <w:rPr>
                <w:lang w:val="en-GB"/>
              </w:rPr>
              <w:t>Shellfish</w:t>
            </w:r>
          </w:p>
          <w:p w:rsidR="000215C5" w:rsidRPr="006E59C8" w:rsidRDefault="00703023">
            <w:pPr>
              <w:spacing w:after="120"/>
              <w:jc w:val="both"/>
              <w:rPr>
                <w:szCs w:val="24"/>
                <w:lang w:val="en-GB"/>
              </w:rPr>
            </w:pPr>
            <w:r w:rsidRPr="006E59C8">
              <w:rPr>
                <w:lang w:val="en-GB"/>
              </w:rPr>
              <w:t>Habitats</w:t>
            </w:r>
          </w:p>
          <w:p w:rsidR="000215C5" w:rsidRPr="006E59C8" w:rsidRDefault="00703023">
            <w:pPr>
              <w:spacing w:after="120"/>
              <w:jc w:val="both"/>
              <w:rPr>
                <w:szCs w:val="24"/>
                <w:lang w:val="en-GB"/>
              </w:rPr>
            </w:pPr>
            <w:r w:rsidRPr="006E59C8">
              <w:rPr>
                <w:lang w:val="en-GB"/>
              </w:rPr>
              <w:t>Urban Waste Water Treatment Directive Sensitive Area</w:t>
            </w:r>
          </w:p>
          <w:p w:rsidR="000215C5" w:rsidRPr="006E59C8" w:rsidRDefault="00703023">
            <w:pPr>
              <w:spacing w:after="120"/>
              <w:jc w:val="both"/>
              <w:rPr>
                <w:szCs w:val="24"/>
                <w:lang w:val="en-GB"/>
              </w:rPr>
            </w:pPr>
            <w:r w:rsidRPr="006E59C8">
              <w:rPr>
                <w:lang w:val="en-GB"/>
              </w:rPr>
              <w:t>Nitrates</w:t>
            </w:r>
          </w:p>
          <w:p w:rsidR="000215C5" w:rsidRPr="006E59C8" w:rsidRDefault="00703023">
            <w:pPr>
              <w:spacing w:after="120"/>
              <w:jc w:val="both"/>
              <w:rPr>
                <w:szCs w:val="24"/>
                <w:lang w:val="en-GB"/>
              </w:rPr>
            </w:pPr>
            <w:r w:rsidRPr="006E59C8">
              <w:rPr>
                <w:lang w:val="en-GB"/>
              </w:rPr>
              <w:t>Article 7 Abstraction for Drinking Water</w:t>
            </w:r>
          </w:p>
          <w:p w:rsidR="000215C5" w:rsidRDefault="00703023">
            <w:pPr>
              <w:spacing w:after="120"/>
              <w:jc w:val="both"/>
              <w:rPr>
                <w:szCs w:val="24"/>
              </w:rPr>
            </w:pPr>
            <w:r>
              <w:t>Other</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Rapportera typ för varje skyddat område som är förbundet med ytvattenförekomsten. </w:t>
            </w:r>
          </w:p>
          <w:p w:rsidR="000215C5" w:rsidRDefault="00703023">
            <w:pPr>
              <w:spacing w:after="120"/>
              <w:jc w:val="both"/>
              <w:rPr>
                <w:b/>
                <w:szCs w:val="24"/>
              </w:rPr>
            </w:pPr>
            <w:r>
              <w:t>Om medlemsstaterna använder alternativet tillämpning över hela territoriet för direktivet om rening av avloppsvatten från tätbebyggelse och/eller nitratdirektivet ska ytvattenförekomster inte rapporteras som skyddade områden.</w:t>
            </w:r>
          </w:p>
        </w:tc>
      </w:tr>
      <w:tr w:rsidR="000215C5">
        <w:tc>
          <w:tcPr>
            <w:tcW w:w="9889" w:type="dxa"/>
            <w:shd w:val="clear" w:color="auto" w:fill="auto"/>
          </w:tcPr>
          <w:p w:rsidR="000215C5" w:rsidRDefault="00703023">
            <w:pPr>
              <w:spacing w:after="120"/>
              <w:jc w:val="both"/>
              <w:rPr>
                <w:b/>
                <w:szCs w:val="24"/>
              </w:rPr>
            </w:pPr>
            <w:r>
              <w:rPr>
                <w:b/>
              </w:rPr>
              <w:t>Mallpost</w:t>
            </w:r>
            <w:r>
              <w:t>: protectedAreaOtherType</w:t>
            </w:r>
          </w:p>
          <w:p w:rsidR="000215C5" w:rsidRDefault="00703023">
            <w:pPr>
              <w:spacing w:after="120"/>
              <w:jc w:val="both"/>
              <w:rPr>
                <w:szCs w:val="24"/>
              </w:rPr>
            </w:pPr>
            <w:r>
              <w:rPr>
                <w:b/>
              </w:rPr>
              <w:t xml:space="preserve">Fälttyp/alternativ: </w:t>
            </w:r>
            <w:r>
              <w:t>String250Type</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Om typen av skyddat område rapporteras som ”Other”, lämna närmare information. </w:t>
            </w:r>
          </w:p>
          <w:p w:rsidR="000215C5" w:rsidRDefault="00703023">
            <w:pPr>
              <w:spacing w:after="120"/>
              <w:jc w:val="both"/>
              <w:rPr>
                <w:b/>
                <w:szCs w:val="24"/>
              </w:rPr>
            </w:pPr>
            <w:r>
              <w:rPr>
                <w:b/>
              </w:rPr>
              <w:t>Kvalitetskontroller</w:t>
            </w:r>
            <w:r>
              <w:t>: Villkorlig kontroll: Rapportera om protectedAreaType är ”Other”.</w:t>
            </w:r>
          </w:p>
        </w:tc>
      </w:tr>
      <w:tr w:rsidR="000215C5">
        <w:tc>
          <w:tcPr>
            <w:tcW w:w="9889" w:type="dxa"/>
            <w:shd w:val="clear" w:color="auto" w:fill="auto"/>
          </w:tcPr>
          <w:p w:rsidR="000215C5" w:rsidRDefault="00703023">
            <w:pPr>
              <w:spacing w:after="120"/>
              <w:jc w:val="both"/>
              <w:rPr>
                <w:b/>
                <w:szCs w:val="24"/>
              </w:rPr>
            </w:pPr>
            <w:r>
              <w:rPr>
                <w:b/>
              </w:rPr>
              <w:t>Mallpost</w:t>
            </w:r>
            <w:r>
              <w:t>: protectedAreaAssociationType</w:t>
            </w:r>
          </w:p>
          <w:p w:rsidR="000215C5" w:rsidRDefault="00703023">
            <w:pPr>
              <w:spacing w:after="120"/>
              <w:jc w:val="both"/>
              <w:rPr>
                <w:szCs w:val="24"/>
              </w:rPr>
            </w:pPr>
            <w:r>
              <w:rPr>
                <w:b/>
              </w:rPr>
              <w:t xml:space="preserve">Fälttyp/alternativ: </w:t>
            </w:r>
            <w:r>
              <w:t>ProtAreaAssociationType_Enum:</w:t>
            </w:r>
          </w:p>
          <w:p w:rsidR="000215C5" w:rsidRPr="00D95552" w:rsidRDefault="00703023">
            <w:pPr>
              <w:spacing w:after="120"/>
              <w:jc w:val="both"/>
              <w:rPr>
                <w:szCs w:val="24"/>
              </w:rPr>
            </w:pPr>
            <w:r w:rsidRPr="00D95552">
              <w:t>Within Protected Area</w:t>
            </w:r>
          </w:p>
          <w:p w:rsidR="000215C5" w:rsidRPr="006E59C8" w:rsidRDefault="00703023">
            <w:pPr>
              <w:spacing w:after="120"/>
              <w:jc w:val="both"/>
              <w:rPr>
                <w:szCs w:val="24"/>
                <w:lang w:val="en-GB"/>
              </w:rPr>
            </w:pPr>
            <w:r w:rsidRPr="006E59C8">
              <w:rPr>
                <w:lang w:val="en-GB"/>
              </w:rPr>
              <w:t>Overlapping / partly within Protected Area</w:t>
            </w:r>
          </w:p>
          <w:p w:rsidR="000215C5" w:rsidRPr="006E59C8" w:rsidRDefault="00703023">
            <w:pPr>
              <w:spacing w:after="120"/>
              <w:jc w:val="both"/>
              <w:rPr>
                <w:szCs w:val="24"/>
                <w:lang w:val="en-GB"/>
              </w:rPr>
            </w:pPr>
            <w:r w:rsidRPr="006E59C8">
              <w:rPr>
                <w:lang w:val="en-GB"/>
              </w:rPr>
              <w:t>Dynamically / hydrologically connected with Protected Area</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Rapportera hur ytvattenförekomsten är förbunden med det skyddade området (typ). Gränserna för ytvattenförekomster och skyddade områden sammanfaller inte alltid exakt.</w:t>
            </w:r>
          </w:p>
          <w:p w:rsidR="000215C5" w:rsidRDefault="00703023">
            <w:pPr>
              <w:spacing w:after="120"/>
              <w:jc w:val="both"/>
              <w:rPr>
                <w:szCs w:val="24"/>
              </w:rPr>
            </w:pPr>
            <w:r>
              <w:t>”Within Protected Area” = Hela ytvattenförekomsten är belägen inom det skyddade området. Det skyddade området kan vara förbundet med fler än en ytvattenförekomst.</w:t>
            </w:r>
          </w:p>
          <w:p w:rsidR="000215C5" w:rsidRDefault="00703023">
            <w:pPr>
              <w:spacing w:after="120"/>
              <w:jc w:val="both"/>
              <w:rPr>
                <w:szCs w:val="24"/>
              </w:rPr>
            </w:pPr>
            <w:r>
              <w:t>”Overlapping / partly within Protected Area” = Ytvattenförekomsten överlappar eller är delvis belägen inom det skyddade området, eller överlappar fler än ett skyddat område.</w:t>
            </w:r>
          </w:p>
          <w:p w:rsidR="000215C5" w:rsidRDefault="00703023">
            <w:pPr>
              <w:spacing w:after="120"/>
              <w:jc w:val="both"/>
              <w:rPr>
                <w:szCs w:val="24"/>
              </w:rPr>
            </w:pPr>
            <w:r>
              <w:t>”Dynamically / hydrologically connected with Protected Area” = Ytvattenförekomsten är dynamiskt eller hydrologiskt förbunden med det skyddade området utan att vara helt eller delvis belägen inom området.</w:t>
            </w:r>
          </w:p>
        </w:tc>
      </w:tr>
      <w:tr w:rsidR="000215C5">
        <w:tc>
          <w:tcPr>
            <w:tcW w:w="9889" w:type="dxa"/>
            <w:shd w:val="clear" w:color="auto" w:fill="auto"/>
          </w:tcPr>
          <w:p w:rsidR="000215C5" w:rsidRDefault="00703023">
            <w:pPr>
              <w:spacing w:after="120"/>
              <w:jc w:val="both"/>
              <w:rPr>
                <w:b/>
                <w:szCs w:val="24"/>
              </w:rPr>
            </w:pPr>
            <w:r>
              <w:rPr>
                <w:b/>
              </w:rPr>
              <w:t>Mallpost</w:t>
            </w:r>
            <w:r>
              <w:t>: protectedAreaHabitatsBirdsObjectivesSet</w:t>
            </w:r>
          </w:p>
          <w:p w:rsidR="000215C5" w:rsidRDefault="00703023">
            <w:pPr>
              <w:spacing w:after="120"/>
              <w:jc w:val="both"/>
              <w:rPr>
                <w:szCs w:val="24"/>
              </w:rPr>
            </w:pPr>
            <w:r>
              <w:rPr>
                <w:b/>
              </w:rPr>
              <w:t xml:space="preserve">Fälttyp/alternativ: </w:t>
            </w:r>
            <w:r>
              <w:t>ProtectedAreaHabitatsBirdsObjective_Enum:</w:t>
            </w:r>
          </w:p>
          <w:p w:rsidR="000215C5" w:rsidRPr="006E59C8" w:rsidRDefault="00703023">
            <w:pPr>
              <w:spacing w:after="120"/>
              <w:jc w:val="both"/>
              <w:rPr>
                <w:szCs w:val="24"/>
                <w:lang w:val="en-GB"/>
              </w:rPr>
            </w:pPr>
            <w:r w:rsidRPr="006E59C8">
              <w:rPr>
                <w:lang w:val="en-GB"/>
              </w:rPr>
              <w:t>Yes, specific water objectives have been set to protect all water dependent habitats and species.</w:t>
            </w:r>
          </w:p>
          <w:p w:rsidR="000215C5" w:rsidRPr="006E59C8" w:rsidRDefault="00703023">
            <w:pPr>
              <w:spacing w:after="120"/>
              <w:jc w:val="both"/>
              <w:rPr>
                <w:szCs w:val="24"/>
                <w:lang w:val="en-GB"/>
              </w:rPr>
            </w:pPr>
            <w:r w:rsidRPr="006E59C8">
              <w:rPr>
                <w:lang w:val="en-GB"/>
              </w:rPr>
              <w:t>Yes, some specific water objectives have been set to protect water dependent habitats and species but work is still on-going to determine needs.</w:t>
            </w:r>
          </w:p>
          <w:p w:rsidR="000215C5" w:rsidRPr="006E59C8" w:rsidRDefault="00703023">
            <w:pPr>
              <w:spacing w:after="120"/>
              <w:jc w:val="both"/>
              <w:rPr>
                <w:szCs w:val="24"/>
                <w:lang w:val="en-GB"/>
              </w:rPr>
            </w:pPr>
            <w:r w:rsidRPr="006E59C8">
              <w:rPr>
                <w:lang w:val="en-GB"/>
              </w:rPr>
              <w:t>No, no specific water objectives have been set to protect water dependent habitats and species because the achievement of WFD good status is sufficient to achieve favourable conservation status.</w:t>
            </w:r>
          </w:p>
          <w:p w:rsidR="000215C5" w:rsidRPr="006E59C8" w:rsidRDefault="00703023">
            <w:pPr>
              <w:spacing w:after="120"/>
              <w:jc w:val="both"/>
              <w:rPr>
                <w:szCs w:val="24"/>
                <w:lang w:val="en-GB"/>
              </w:rPr>
            </w:pPr>
            <w:r w:rsidRPr="006E59C8">
              <w:rPr>
                <w:lang w:val="en-GB"/>
              </w:rPr>
              <w:t>No, no specific water objectives have been set to protect water dependent habitats and species because additional needs are not known.</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w:t>
            </w:r>
            <w:r>
              <w:rPr>
                <w:b/>
              </w:rPr>
              <w:t xml:space="preserve"> </w:t>
            </w:r>
            <w:r>
              <w:t>Villkorlig. Ange om särskilda vattenmål har fastställts för att skydda vattenberoende skyddade livsmiljöer och arter genom att välja lämpligt alternativ från uppräkningslistan.</w:t>
            </w:r>
          </w:p>
          <w:p w:rsidR="000215C5" w:rsidRDefault="00703023">
            <w:pPr>
              <w:spacing w:after="120"/>
              <w:jc w:val="both"/>
              <w:rPr>
                <w:szCs w:val="24"/>
              </w:rPr>
            </w:pPr>
            <w:r>
              <w:rPr>
                <w:b/>
              </w:rPr>
              <w:t>Kvalitetskontroller</w:t>
            </w:r>
            <w:r>
              <w:t>: Kontroll av posten: Ett giltigt alternativ måste väljas från uppräkningslistan. Endast ett alternativ kan väljas.</w:t>
            </w:r>
          </w:p>
          <w:p w:rsidR="000215C5" w:rsidRDefault="00703023">
            <w:pPr>
              <w:spacing w:after="120"/>
              <w:jc w:val="both"/>
              <w:rPr>
                <w:b/>
                <w:szCs w:val="24"/>
              </w:rPr>
            </w:pPr>
            <w:r>
              <w:t>Villkorlig kontroll: Rapportera om protectedAreaType är ”Habitats” eller ”Birds”.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protectedAreaHabitatsBirdsObjectivesMet</w:t>
            </w:r>
          </w:p>
          <w:p w:rsidR="000215C5" w:rsidRDefault="00703023">
            <w:pPr>
              <w:spacing w:after="120"/>
              <w:jc w:val="both"/>
              <w:rPr>
                <w:szCs w:val="24"/>
              </w:rPr>
            </w:pPr>
            <w:r>
              <w:rPr>
                <w:b/>
              </w:rPr>
              <w:t>Fälttyp/alternativ:</w:t>
            </w:r>
            <w:r w:rsidR="00805665">
              <w:rPr>
                <w:b/>
              </w:rPr>
              <w:t xml:space="preserve"> </w:t>
            </w:r>
            <w:r>
              <w:t>YesNoNoInformation_Union_Enum: Yes, No, No information</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om de mål som har fastställts för att skydda vattenberoende livsmiljöer och arter i områden som skyddas enligt livsmiljö- och fågeldirektiven har uppfyllts.</w:t>
            </w:r>
          </w:p>
          <w:p w:rsidR="000215C5" w:rsidRDefault="00703023">
            <w:pPr>
              <w:spacing w:after="120"/>
              <w:jc w:val="both"/>
              <w:rPr>
                <w:szCs w:val="24"/>
              </w:rPr>
            </w:pPr>
            <w:r>
              <w:t>”Yes”: de särskilda vattenmål som har fastställts för att skydda vattenberoende livsmiljöer och arter har uppfyllts.</w:t>
            </w:r>
          </w:p>
          <w:p w:rsidR="000215C5" w:rsidRDefault="00703023">
            <w:pPr>
              <w:spacing w:after="120"/>
              <w:jc w:val="both"/>
              <w:rPr>
                <w:szCs w:val="24"/>
              </w:rPr>
            </w:pPr>
            <w:r>
              <w:t>”No”: de särskilda vattenmål som har fastställts för att skydda vattenberoende livsmiljöer och arter har ännu inte uppfyllts.</w:t>
            </w:r>
          </w:p>
          <w:p w:rsidR="000215C5" w:rsidRDefault="00703023">
            <w:pPr>
              <w:spacing w:after="120"/>
              <w:jc w:val="both"/>
              <w:rPr>
                <w:szCs w:val="24"/>
              </w:rPr>
            </w:pPr>
            <w:r>
              <w:t>”No information”</w:t>
            </w:r>
          </w:p>
          <w:p w:rsidR="000215C5" w:rsidRDefault="00703023">
            <w:pPr>
              <w:spacing w:after="120"/>
              <w:jc w:val="both"/>
              <w:rPr>
                <w:b/>
                <w:szCs w:val="24"/>
              </w:rPr>
            </w:pPr>
            <w:r>
              <w:rPr>
                <w:b/>
              </w:rPr>
              <w:t>Kvalitetskontroller</w:t>
            </w:r>
            <w:r>
              <w:t>: Villkorlig kontroll: Rapportera om protectedAreaType är ”Habitats” eller ”Birds” OCH protectedAreaHabitatsBirdsObjectivesSet är något av de två ”Yes…”-alternativen.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protectedAreaDrinkingWaterObjectivesSet</w:t>
            </w:r>
          </w:p>
          <w:p w:rsidR="000215C5" w:rsidRDefault="00703023">
            <w:pPr>
              <w:spacing w:after="120"/>
              <w:jc w:val="both"/>
              <w:rPr>
                <w:szCs w:val="24"/>
              </w:rPr>
            </w:pPr>
            <w:r>
              <w:rPr>
                <w:b/>
              </w:rPr>
              <w:t xml:space="preserve">Fälttyp/alternativ: </w:t>
            </w:r>
            <w:r>
              <w:t>YesNo_Enum: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w:t>
            </w:r>
            <w:r>
              <w:rPr>
                <w:b/>
              </w:rPr>
              <w:t xml:space="preserve"> </w:t>
            </w:r>
            <w:r>
              <w:t>Villkorlig. Ange om kompletterande särskilda normer har fastställts för att skydda dricksvatten genom att välja lämpligt alternativ från uppräkningslistan:</w:t>
            </w:r>
          </w:p>
          <w:p w:rsidR="000215C5" w:rsidRDefault="00703023">
            <w:pPr>
              <w:spacing w:after="120"/>
              <w:jc w:val="both"/>
              <w:rPr>
                <w:szCs w:val="24"/>
              </w:rPr>
            </w:pPr>
            <w:r>
              <w:t>”Yes”: särskilda normer för samtliga parametrar har fastställts för ytvattenförekomsten/det skyddade området i syfte att skydda dricksvattnets kvalitet.</w:t>
            </w:r>
          </w:p>
          <w:p w:rsidR="000215C5" w:rsidRDefault="00703023">
            <w:pPr>
              <w:spacing w:after="120"/>
              <w:jc w:val="both"/>
              <w:rPr>
                <w:szCs w:val="24"/>
              </w:rPr>
            </w:pPr>
            <w:r>
              <w:t xml:space="preserve">”No”: inga särskilda normer har fastställts för ytvattenförekomsten/det skyddade området i syfte att skydda dricksvattnets kvalitet. </w:t>
            </w:r>
          </w:p>
          <w:p w:rsidR="000215C5" w:rsidRDefault="00703023">
            <w:pPr>
              <w:spacing w:after="120"/>
              <w:jc w:val="both"/>
              <w:rPr>
                <w:szCs w:val="24"/>
              </w:rPr>
            </w:pPr>
            <w:r>
              <w:t xml:space="preserve">I detta sammanhang avser ”normer” särskilda kvalitetsmål för förorenande ämnen i samband med skyddet av dricksvatten. Välj ”No” om de andra åtgärder som har vidtagits för att skydda dricksvatten anses vara tillräckliga. </w:t>
            </w:r>
          </w:p>
          <w:p w:rsidR="000215C5" w:rsidRDefault="00703023">
            <w:pPr>
              <w:spacing w:after="120"/>
              <w:jc w:val="both"/>
              <w:rPr>
                <w:b/>
                <w:szCs w:val="24"/>
              </w:rPr>
            </w:pPr>
            <w:r>
              <w:rPr>
                <w:b/>
              </w:rPr>
              <w:t>Kvalitetskontroller</w:t>
            </w:r>
            <w:r>
              <w:t>: Villkorlig kontroll: Rapportera om protectedAreaType är ”Article 7 Abstraction for drinking water”.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protectedAreaDrinkingWaterObjectivesMet</w:t>
            </w:r>
          </w:p>
          <w:p w:rsidR="000215C5" w:rsidRDefault="00703023">
            <w:pPr>
              <w:spacing w:after="120"/>
              <w:jc w:val="both"/>
              <w:rPr>
                <w:szCs w:val="24"/>
              </w:rPr>
            </w:pPr>
            <w:r>
              <w:rPr>
                <w:b/>
              </w:rPr>
              <w:t xml:space="preserve">Fälttyp/alternativ: </w:t>
            </w:r>
            <w:r>
              <w:t>YesNoNoInformation_Union_Enum: Yes, No, No information</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om de särskilda normer som har fastställts för att skydda dricksvattnets kvalitet i ”Article 7 Abstraction for drinking water Protected Areas” har uppfyllts:</w:t>
            </w:r>
          </w:p>
          <w:p w:rsidR="000215C5" w:rsidRDefault="00703023">
            <w:pPr>
              <w:spacing w:after="120"/>
              <w:jc w:val="both"/>
              <w:rPr>
                <w:szCs w:val="24"/>
              </w:rPr>
            </w:pPr>
            <w:r>
              <w:t>”Yes”: de särskilda normer som har fastställts för ytvattenförekomsten/det skyddade området i syfte att skydda dricksvattnets kvalitet har uppfyllts.</w:t>
            </w:r>
          </w:p>
          <w:p w:rsidR="000215C5" w:rsidRDefault="00703023">
            <w:pPr>
              <w:spacing w:after="120"/>
              <w:jc w:val="both"/>
              <w:rPr>
                <w:szCs w:val="24"/>
              </w:rPr>
            </w:pPr>
            <w:r>
              <w:t>”No”: de särskilda normer som har fastställts för ytvattenförekomsten/det skyddade området i syfte att skydda dricksvattnets kvalitet har inte uppfyllts.</w:t>
            </w:r>
          </w:p>
          <w:p w:rsidR="000215C5" w:rsidRDefault="00703023">
            <w:pPr>
              <w:spacing w:after="120"/>
              <w:jc w:val="both"/>
              <w:rPr>
                <w:szCs w:val="24"/>
              </w:rPr>
            </w:pPr>
            <w:r>
              <w:t>”No information”</w:t>
            </w:r>
          </w:p>
          <w:p w:rsidR="000215C5" w:rsidRDefault="00703023">
            <w:pPr>
              <w:spacing w:after="120"/>
              <w:jc w:val="both"/>
              <w:rPr>
                <w:b/>
                <w:szCs w:val="24"/>
              </w:rPr>
            </w:pPr>
            <w:r>
              <w:rPr>
                <w:b/>
              </w:rPr>
              <w:t>Kvalitetskontroller</w:t>
            </w:r>
            <w:r>
              <w:t>: Villkorlig kontroll: Rapportera om protectedAreaType är ”Article 7 Abstraction for Drinking Water” OCH ”protectedAreaDrinkingWaterObjectivesSet” är ”Yes…”.</w:t>
            </w:r>
          </w:p>
        </w:tc>
      </w:tr>
      <w:tr w:rsidR="000215C5">
        <w:tc>
          <w:tcPr>
            <w:tcW w:w="9889" w:type="dxa"/>
            <w:shd w:val="clear" w:color="auto" w:fill="auto"/>
          </w:tcPr>
          <w:p w:rsidR="000215C5" w:rsidRDefault="00703023">
            <w:pPr>
              <w:spacing w:after="120"/>
              <w:jc w:val="both"/>
              <w:rPr>
                <w:b/>
                <w:szCs w:val="24"/>
              </w:rPr>
            </w:pPr>
            <w:r>
              <w:rPr>
                <w:b/>
              </w:rPr>
              <w:t>Mallpost</w:t>
            </w:r>
            <w:r>
              <w:t>: protectedAreaShellfishObjectivesSet</w:t>
            </w:r>
          </w:p>
          <w:p w:rsidR="000215C5" w:rsidRDefault="00703023">
            <w:pPr>
              <w:spacing w:after="120"/>
              <w:jc w:val="both"/>
              <w:rPr>
                <w:szCs w:val="24"/>
              </w:rPr>
            </w:pPr>
            <w:r>
              <w:rPr>
                <w:b/>
              </w:rPr>
              <w:t xml:space="preserve">Fälttyp/alternativ: </w:t>
            </w:r>
            <w:r>
              <w:t>ProtectedAreaShellfishObjective_Enum:</w:t>
            </w:r>
          </w:p>
          <w:p w:rsidR="000215C5" w:rsidRPr="006E59C8" w:rsidRDefault="00703023">
            <w:pPr>
              <w:spacing w:after="120"/>
              <w:jc w:val="both"/>
              <w:rPr>
                <w:szCs w:val="24"/>
                <w:lang w:val="en-GB"/>
              </w:rPr>
            </w:pPr>
            <w:r w:rsidRPr="006E59C8">
              <w:rPr>
                <w:lang w:val="en-GB"/>
              </w:rPr>
              <w:t>Yes, microbiological standards have been set to protect shellfish and these are identical to those in the repealed Shellfish Directive 2006/113/EC.</w:t>
            </w:r>
          </w:p>
          <w:p w:rsidR="000215C5" w:rsidRPr="006E59C8" w:rsidRDefault="00703023">
            <w:pPr>
              <w:spacing w:after="120"/>
              <w:jc w:val="both"/>
              <w:rPr>
                <w:szCs w:val="24"/>
                <w:lang w:val="en-GB"/>
              </w:rPr>
            </w:pPr>
            <w:r w:rsidRPr="006E59C8">
              <w:rPr>
                <w:lang w:val="en-GB"/>
              </w:rPr>
              <w:t>Yes, microbiological standards have been set to protect shellfish and these are different to those in the repealed Shellfish Directive 2006/113/EC.</w:t>
            </w:r>
          </w:p>
          <w:p w:rsidR="000215C5" w:rsidRPr="006E59C8" w:rsidRDefault="00703023">
            <w:pPr>
              <w:spacing w:after="120"/>
              <w:jc w:val="both"/>
              <w:rPr>
                <w:szCs w:val="24"/>
                <w:lang w:val="en-GB"/>
              </w:rPr>
            </w:pPr>
            <w:r w:rsidRPr="006E59C8">
              <w:rPr>
                <w:lang w:val="en-GB"/>
              </w:rPr>
              <w:t>No, no microbiological standards have been set to protect shellfish.</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w:t>
            </w:r>
            <w:r>
              <w:rPr>
                <w:b/>
              </w:rPr>
              <w:t xml:space="preserve"> </w:t>
            </w:r>
            <w:r>
              <w:t>Villkorlig. Ange om mikrobiologiska normer har fastställts för att skydda skaldjur genom att välja lämpligt alternativ från uppräkningslistan.</w:t>
            </w:r>
          </w:p>
          <w:p w:rsidR="000215C5" w:rsidRDefault="00703023">
            <w:pPr>
              <w:spacing w:after="120"/>
              <w:jc w:val="both"/>
              <w:rPr>
                <w:b/>
                <w:szCs w:val="24"/>
              </w:rPr>
            </w:pPr>
            <w:r>
              <w:rPr>
                <w:b/>
              </w:rPr>
              <w:t>Kvalitetskontroller</w:t>
            </w:r>
            <w:r>
              <w:t>: Villkorlig kontroll: Rapportera om protectedAreaType är ”Shellfish”.</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protectedAreaShellfishObjectivesMet</w:t>
            </w:r>
          </w:p>
          <w:p w:rsidR="000215C5" w:rsidRDefault="00703023">
            <w:pPr>
              <w:spacing w:after="120"/>
              <w:jc w:val="both"/>
              <w:rPr>
                <w:szCs w:val="24"/>
              </w:rPr>
            </w:pPr>
            <w:r>
              <w:rPr>
                <w:b/>
              </w:rPr>
              <w:t xml:space="preserve">Fälttyp/alternativ: </w:t>
            </w:r>
            <w:r>
              <w:t>YesNoNoInformation_Union_Enum: Yes, No, No information</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om de mikrobiologiska normer som har fastställts för att skydda skaldjur i skyddade områden för skaldjur har uppfyllts:</w:t>
            </w:r>
          </w:p>
          <w:p w:rsidR="000215C5" w:rsidRDefault="00703023">
            <w:pPr>
              <w:spacing w:after="120"/>
              <w:jc w:val="both"/>
              <w:rPr>
                <w:szCs w:val="24"/>
              </w:rPr>
            </w:pPr>
            <w:r>
              <w:t>”Yes”: de mikrobiologiska normerna för att skydda skaldjur har uppfyllts.</w:t>
            </w:r>
          </w:p>
          <w:p w:rsidR="000215C5" w:rsidRDefault="00703023">
            <w:pPr>
              <w:spacing w:after="120"/>
              <w:jc w:val="both"/>
              <w:rPr>
                <w:szCs w:val="24"/>
              </w:rPr>
            </w:pPr>
            <w:r>
              <w:t>”No”: de mikrobiologiska normerna för att skydda skaldjur har inte uppfyllts.</w:t>
            </w:r>
          </w:p>
          <w:p w:rsidR="000215C5" w:rsidRDefault="00703023">
            <w:pPr>
              <w:spacing w:after="120"/>
              <w:jc w:val="both"/>
              <w:rPr>
                <w:szCs w:val="24"/>
              </w:rPr>
            </w:pPr>
            <w:r>
              <w:t>”No information”</w:t>
            </w:r>
          </w:p>
          <w:p w:rsidR="000215C5" w:rsidRDefault="00703023">
            <w:pPr>
              <w:spacing w:after="120"/>
              <w:jc w:val="both"/>
              <w:rPr>
                <w:b/>
                <w:szCs w:val="24"/>
              </w:rPr>
            </w:pPr>
            <w:r>
              <w:rPr>
                <w:b/>
              </w:rPr>
              <w:t>Kvalitetskontroller</w:t>
            </w:r>
            <w:r>
              <w:t>: Villkorlig kontroll: Rapportera om protectedAreaType är ”Shellfish” OCH protectedAreaShellfishObjectivesSet är något av de två ”Yes…”-alternativen.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protectedAreaComment</w:t>
            </w:r>
          </w:p>
          <w:p w:rsidR="000215C5" w:rsidRDefault="00703023">
            <w:pPr>
              <w:tabs>
                <w:tab w:val="left" w:pos="1845"/>
              </w:tabs>
              <w:spacing w:after="120"/>
              <w:jc w:val="both"/>
              <w:rPr>
                <w:szCs w:val="24"/>
              </w:rPr>
            </w:pPr>
            <w:r>
              <w:rPr>
                <w:b/>
              </w:rPr>
              <w:t xml:space="preserve">Fälttyp/alternativ: </w:t>
            </w:r>
            <w:r>
              <w:t>String1000Type</w:t>
            </w:r>
          </w:p>
          <w:p w:rsidR="000215C5" w:rsidRDefault="00703023">
            <w:pPr>
              <w:tabs>
                <w:tab w:val="left" w:pos="1845"/>
              </w:tabs>
              <w:spacing w:after="120"/>
              <w:jc w:val="both"/>
              <w:rPr>
                <w:szCs w:val="24"/>
              </w:rPr>
            </w:pPr>
            <w:r>
              <w:rPr>
                <w:b/>
              </w:rPr>
              <w:t xml:space="preserve">Egenskaper: </w:t>
            </w:r>
            <w:r>
              <w:t>maxOccurs = 1 minOccurs = 0</w:t>
            </w:r>
          </w:p>
          <w:p w:rsidR="000215C5" w:rsidRDefault="00703023">
            <w:pPr>
              <w:tabs>
                <w:tab w:val="left" w:pos="1845"/>
              </w:tabs>
              <w:spacing w:after="120"/>
              <w:jc w:val="both"/>
              <w:rPr>
                <w:b/>
                <w:szCs w:val="24"/>
              </w:rPr>
            </w:pPr>
            <w:r>
              <w:rPr>
                <w:b/>
              </w:rPr>
              <w:t>Vägledning om hur man fyller i mallposten</w:t>
            </w:r>
            <w:r>
              <w:t xml:space="preserve">: Frivilligt. Lämna ytterligare förklaringar om mål inte har fastställts eller normerna inte har uppfyllts för det skyddade området (vilka mål som inte har fastställts, vilka normer som inte har uppfyllts, orsaker osv.). </w:t>
            </w:r>
          </w:p>
        </w:tc>
      </w:tr>
      <w:tr w:rsidR="000215C5">
        <w:tc>
          <w:tcPr>
            <w:tcW w:w="9889" w:type="dxa"/>
            <w:shd w:val="clear" w:color="auto" w:fill="auto"/>
          </w:tcPr>
          <w:p w:rsidR="000215C5" w:rsidRDefault="00703023">
            <w:pPr>
              <w:spacing w:after="120"/>
              <w:jc w:val="both"/>
              <w:rPr>
                <w:b/>
                <w:szCs w:val="24"/>
              </w:rPr>
            </w:pPr>
            <w:r>
              <w:rPr>
                <w:b/>
              </w:rPr>
              <w:t>Mallpost</w:t>
            </w:r>
            <w:r>
              <w:t>: protectedAreaExemption</w:t>
            </w:r>
          </w:p>
          <w:p w:rsidR="000215C5" w:rsidRDefault="00703023">
            <w:pPr>
              <w:spacing w:after="120"/>
              <w:jc w:val="both"/>
              <w:rPr>
                <w:szCs w:val="24"/>
              </w:rPr>
            </w:pPr>
            <w:r>
              <w:rPr>
                <w:b/>
              </w:rPr>
              <w:t xml:space="preserve">Fälttyp/alternativ: </w:t>
            </w:r>
            <w:r>
              <w:t xml:space="preserve">ExemptionType_Enum (se bilaga 8g) </w:t>
            </w:r>
          </w:p>
          <w:p w:rsidR="000215C5" w:rsidRDefault="00703023">
            <w:pPr>
              <w:spacing w:after="120"/>
              <w:jc w:val="both"/>
              <w:rPr>
                <w:szCs w:val="24"/>
              </w:rPr>
            </w:pPr>
            <w:r>
              <w:rPr>
                <w:b/>
              </w:rPr>
              <w:t>Egenskaper</w:t>
            </w:r>
            <w:r>
              <w:t>: maxOccurs = unbounded minOccurs = 1</w:t>
            </w:r>
          </w:p>
          <w:p w:rsidR="000215C5" w:rsidRDefault="00703023">
            <w:pPr>
              <w:spacing w:after="120"/>
              <w:jc w:val="both"/>
              <w:rPr>
                <w:szCs w:val="24"/>
              </w:rPr>
            </w:pPr>
            <w:r>
              <w:rPr>
                <w:b/>
              </w:rPr>
              <w:t>Vägledning om hur man fyller i mallposten</w:t>
            </w:r>
            <w:r>
              <w:t xml:space="preserve">: Krävs. Rapportera vilken eller vilka typer av undantag från de berörda målen för skyddade områden eller normer som är tillämpliga på ytvattenförekomstnivå, eller ”No exemption”. Fler än ett undantag kan vara tillämpliga. Lämna ytterligare uppgifter i förvaltningsplanen och/eller bakgrundsdokumenten. Se avsnitt 5.4.4 nedan för närmare information. </w:t>
            </w:r>
          </w:p>
          <w:p w:rsidR="000215C5" w:rsidRDefault="00703023">
            <w:pPr>
              <w:spacing w:after="120"/>
              <w:jc w:val="both"/>
              <w:rPr>
                <w:szCs w:val="24"/>
              </w:rPr>
            </w:pPr>
            <w:r>
              <w:rPr>
                <w:b/>
              </w:rPr>
              <w:t>Kvalitetskontroller</w:t>
            </w:r>
            <w:r>
              <w:t xml:space="preserve">: Villkorlig kontroll: rapportera för varje rapporterad euProtectedAreaCode om swAssociatedProtectedArea är ”Yes”. </w:t>
            </w:r>
          </w:p>
          <w:p w:rsidR="000215C5" w:rsidRDefault="00703023">
            <w:pPr>
              <w:spacing w:after="120"/>
              <w:jc w:val="both"/>
              <w:rPr>
                <w:b/>
                <w:szCs w:val="24"/>
              </w:rPr>
            </w:pPr>
            <w:r>
              <w:t>Intern kontroll: alternativet ”No exemption” går inte att kombinera med andra alternativ.</w:t>
            </w:r>
          </w:p>
        </w:tc>
      </w:tr>
    </w:tbl>
    <w:p w:rsidR="000215C5" w:rsidRDefault="000215C5">
      <w:pPr>
        <w:jc w:val="both"/>
        <w:rPr>
          <w:b/>
        </w:rPr>
      </w:pPr>
    </w:p>
    <w:p w:rsidR="000215C5" w:rsidRDefault="00703023">
      <w:pPr>
        <w:jc w:val="both"/>
      </w:pPr>
      <w:r>
        <w:t xml:space="preserve">Information om skyddade områden som är förbundna med grundvattenförekomster ska rapporteras på nivån för grundvattenförekomster enligt mallen GWB (se ordlistan i avsnitt </w:t>
      </w:r>
      <w:r>
        <w:fldChar w:fldCharType="begin"/>
      </w:r>
      <w:r>
        <w:instrText xml:space="preserve"> REF _Ref385323197 \r \h  \* MERGEFORMAT </w:instrText>
      </w:r>
      <w:r>
        <w:fldChar w:fldCharType="separate"/>
      </w:r>
      <w:r>
        <w:t>5.3.4</w:t>
      </w:r>
      <w:r>
        <w:fldChar w:fldCharType="end"/>
      </w:r>
      <w:r>
        <w:t xml:space="preserve"> för närmare information).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GWB (fortsättning)</w:t>
            </w:r>
          </w:p>
        </w:tc>
      </w:tr>
      <w:tr w:rsidR="000215C5">
        <w:tc>
          <w:tcPr>
            <w:tcW w:w="9889" w:type="dxa"/>
            <w:shd w:val="clear" w:color="auto" w:fill="auto"/>
          </w:tcPr>
          <w:p w:rsidR="000215C5" w:rsidRDefault="00703023">
            <w:pPr>
              <w:spacing w:after="120"/>
              <w:jc w:val="both"/>
              <w:rPr>
                <w:b/>
                <w:i/>
                <w:szCs w:val="24"/>
              </w:rPr>
            </w:pPr>
            <w:r>
              <w:rPr>
                <w:b/>
                <w:i/>
              </w:rPr>
              <w:t>Class GWAssociatedProtectedArea</w:t>
            </w:r>
          </w:p>
          <w:p w:rsidR="000215C5" w:rsidRDefault="00703023">
            <w:pPr>
              <w:spacing w:after="120"/>
              <w:jc w:val="both"/>
              <w:rPr>
                <w:i/>
                <w:szCs w:val="24"/>
              </w:rPr>
            </w:pPr>
            <w:r>
              <w:rPr>
                <w:b/>
                <w:i/>
              </w:rPr>
              <w:t>Egenskaper</w:t>
            </w:r>
            <w:r>
              <w:rPr>
                <w:i/>
              </w:rPr>
              <w:t>: maxOccurs = unbounded minOccurs = 0</w:t>
            </w:r>
          </w:p>
          <w:p w:rsidR="000215C5" w:rsidRDefault="00703023">
            <w:pPr>
              <w:spacing w:after="120"/>
              <w:jc w:val="both"/>
              <w:rPr>
                <w:szCs w:val="24"/>
              </w:rPr>
            </w:pPr>
            <w:r>
              <w:rPr>
                <w:i/>
              </w:rPr>
              <w:t>Villkorlig kontroll: rapportera minst 1 om gwAssociatedProtectedArea är ”Yes”.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euProtectedAreaCode</w:t>
            </w:r>
          </w:p>
          <w:p w:rsidR="000215C5" w:rsidRDefault="00703023">
            <w:pPr>
              <w:spacing w:after="120"/>
              <w:jc w:val="both"/>
              <w:rPr>
                <w:szCs w:val="24"/>
              </w:rPr>
            </w:pPr>
            <w:r>
              <w:rPr>
                <w:b/>
              </w:rPr>
              <w:t xml:space="preserve">Fälttyp/alternativ: </w:t>
            </w:r>
            <w:r>
              <w:t>FeatureUniqueEUCodeType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w:t>
            </w:r>
            <w:r>
              <w:rPr>
                <w:rStyle w:val="Fotnotsreferens"/>
              </w:rPr>
              <w:footnoteReference w:id="67"/>
            </w:r>
            <w:r>
              <w:t xml:space="preserve">. Unik EU-kod för de (vattenberoende) skyddade områden som är förbundna med grundvattenförekomsten. I förekommande fall ska det skyddade områdets kod rapporteras såsom den tidigare rapporterats enligt andra direktiv. Om koden inte har rapporterats enligt andra direktiv ska den rapporteras i GML-mallen ProtectedAreas (se bilaga 5, GIS-vägledning). </w:t>
            </w:r>
          </w:p>
          <w:p w:rsidR="000215C5" w:rsidRDefault="00703023">
            <w:pPr>
              <w:spacing w:after="120"/>
              <w:jc w:val="both"/>
              <w:rPr>
                <w:szCs w:val="24"/>
              </w:rPr>
            </w:pPr>
            <w:r>
              <w:t>Om den unika koden inte redan ingår i de två första bokstäverna i den kod som rapporterats enligt andra direktiv, ska medlemsstatens ISO-landskod med två bokstäver anges före den unika koden.</w:t>
            </w:r>
          </w:p>
          <w:p w:rsidR="000215C5" w:rsidRDefault="00703023">
            <w:pPr>
              <w:spacing w:after="120"/>
              <w:jc w:val="both"/>
              <w:rPr>
                <w:szCs w:val="24"/>
              </w:rPr>
            </w:pPr>
            <w:r>
              <w:rPr>
                <w:b/>
              </w:rPr>
              <w:t>Kvalitetskontroller</w:t>
            </w:r>
            <w:r>
              <w:t>: Kontroll av posten: De första två bokstävern</w:t>
            </w:r>
            <w:r w:rsidR="00860472">
              <w:t>a måste vara medlemsstatens ISO</w:t>
            </w:r>
            <w:r w:rsidR="00860472">
              <w:noBreakHyphen/>
            </w:r>
            <w:r>
              <w:t xml:space="preserve">landskod med två bokstäver. </w:t>
            </w:r>
          </w:p>
          <w:p w:rsidR="000215C5" w:rsidRDefault="00703023">
            <w:pPr>
              <w:spacing w:after="120"/>
              <w:jc w:val="both"/>
              <w:rPr>
                <w:szCs w:val="24"/>
              </w:rPr>
            </w:pPr>
            <w:r>
              <w:t>Dubbelkontroll av mallen: den rapporterade euProtectedAreaCode måste överensstämma med de koder som rapporteras i GML ProtectedArea/localId ELLER ProtectedArea/thematicIdIdentifier.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protectedAreaType</w:t>
            </w:r>
          </w:p>
          <w:p w:rsidR="000215C5" w:rsidRDefault="00703023">
            <w:pPr>
              <w:spacing w:after="120"/>
              <w:jc w:val="both"/>
              <w:rPr>
                <w:szCs w:val="24"/>
              </w:rPr>
            </w:pPr>
            <w:r>
              <w:rPr>
                <w:b/>
              </w:rPr>
              <w:t xml:space="preserve">Fälttyp/alternativ: </w:t>
            </w:r>
            <w:r>
              <w:t>ProtectedGWAreaType_Enum:</w:t>
            </w:r>
          </w:p>
          <w:p w:rsidR="000215C5" w:rsidRPr="006E59C8" w:rsidRDefault="00703023">
            <w:pPr>
              <w:spacing w:after="120"/>
              <w:jc w:val="both"/>
              <w:rPr>
                <w:szCs w:val="24"/>
                <w:lang w:val="en-GB"/>
              </w:rPr>
            </w:pPr>
            <w:r w:rsidRPr="006E59C8">
              <w:rPr>
                <w:lang w:val="en-GB"/>
              </w:rPr>
              <w:t>Birds</w:t>
            </w:r>
          </w:p>
          <w:p w:rsidR="000215C5" w:rsidRPr="006E59C8" w:rsidRDefault="00703023">
            <w:pPr>
              <w:spacing w:after="120"/>
              <w:jc w:val="both"/>
              <w:rPr>
                <w:szCs w:val="24"/>
                <w:lang w:val="en-GB"/>
              </w:rPr>
            </w:pPr>
            <w:r w:rsidRPr="006E59C8">
              <w:rPr>
                <w:lang w:val="en-GB"/>
              </w:rPr>
              <w:t>Habitats</w:t>
            </w:r>
          </w:p>
          <w:p w:rsidR="000215C5" w:rsidRPr="006E59C8" w:rsidRDefault="00703023">
            <w:pPr>
              <w:spacing w:after="120"/>
              <w:jc w:val="both"/>
              <w:rPr>
                <w:szCs w:val="24"/>
                <w:lang w:val="en-GB"/>
              </w:rPr>
            </w:pPr>
            <w:r w:rsidRPr="006E59C8">
              <w:rPr>
                <w:lang w:val="en-GB"/>
              </w:rPr>
              <w:t>Nitrates</w:t>
            </w:r>
          </w:p>
          <w:p w:rsidR="000215C5" w:rsidRPr="006E59C8" w:rsidRDefault="00703023">
            <w:pPr>
              <w:spacing w:after="120"/>
              <w:jc w:val="both"/>
              <w:rPr>
                <w:szCs w:val="24"/>
                <w:lang w:val="en-GB"/>
              </w:rPr>
            </w:pPr>
            <w:r w:rsidRPr="006E59C8">
              <w:rPr>
                <w:lang w:val="en-GB"/>
              </w:rPr>
              <w:t>Article 7 Abstraction for Drinking Water</w:t>
            </w:r>
          </w:p>
          <w:p w:rsidR="000215C5" w:rsidRPr="00D95552" w:rsidRDefault="00703023">
            <w:pPr>
              <w:spacing w:after="120"/>
              <w:jc w:val="both"/>
              <w:rPr>
                <w:szCs w:val="24"/>
                <w:lang w:val="en-GB"/>
              </w:rPr>
            </w:pPr>
            <w:r w:rsidRPr="00D95552">
              <w:rPr>
                <w:lang w:val="en-GB"/>
              </w:rPr>
              <w:t>Other</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Villkorlig. Rapportera typ för varje skyddat område som är förbundet med grundvattenförekomsten. </w:t>
            </w:r>
          </w:p>
          <w:p w:rsidR="000215C5" w:rsidRDefault="00703023">
            <w:pPr>
              <w:spacing w:after="120"/>
              <w:jc w:val="both"/>
              <w:rPr>
                <w:szCs w:val="24"/>
              </w:rPr>
            </w:pPr>
            <w:r>
              <w:t>Färre typer av skyddade områden är relevanta för grundvattenförekomster. ”Birds” och ”Habitats” är relevanta om skyddade livsmiljöer och arter är beroende av grundvattenberoende ytvattenförekomster eller terrestra ekosystem.</w:t>
            </w:r>
          </w:p>
          <w:p w:rsidR="000215C5" w:rsidRDefault="00703023">
            <w:pPr>
              <w:spacing w:after="120"/>
              <w:jc w:val="both"/>
              <w:rPr>
                <w:b/>
                <w:szCs w:val="24"/>
              </w:rPr>
            </w:pPr>
            <w:r>
              <w:rPr>
                <w:b/>
              </w:rPr>
              <w:t>Kvalitetskontroller</w:t>
            </w:r>
            <w:r>
              <w:t>: Villkorlig kontroll: rapportera för varje rapporterad euProtectedAreaCode.</w:t>
            </w:r>
          </w:p>
        </w:tc>
      </w:tr>
      <w:tr w:rsidR="000215C5">
        <w:tc>
          <w:tcPr>
            <w:tcW w:w="9889" w:type="dxa"/>
            <w:shd w:val="clear" w:color="auto" w:fill="auto"/>
          </w:tcPr>
          <w:p w:rsidR="000215C5" w:rsidRDefault="00703023">
            <w:pPr>
              <w:spacing w:after="120"/>
              <w:jc w:val="both"/>
              <w:rPr>
                <w:b/>
                <w:szCs w:val="24"/>
              </w:rPr>
            </w:pPr>
            <w:r>
              <w:rPr>
                <w:b/>
              </w:rPr>
              <w:t>Mallpost</w:t>
            </w:r>
            <w:r>
              <w:t>: protectedAreaOtherType</w:t>
            </w:r>
          </w:p>
          <w:p w:rsidR="000215C5" w:rsidRDefault="00703023">
            <w:pPr>
              <w:spacing w:after="120"/>
              <w:jc w:val="both"/>
              <w:rPr>
                <w:szCs w:val="24"/>
              </w:rPr>
            </w:pPr>
            <w:r>
              <w:rPr>
                <w:b/>
              </w:rPr>
              <w:t xml:space="preserve">Fälttyp/alternativ: </w:t>
            </w:r>
            <w:r>
              <w:t>String250Type</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Villkorlig. Om typen av skyddat område rapporteras som ”Other”, lämna närmare information.</w:t>
            </w:r>
          </w:p>
          <w:p w:rsidR="000215C5" w:rsidRDefault="00703023">
            <w:pPr>
              <w:spacing w:after="120"/>
              <w:jc w:val="both"/>
              <w:rPr>
                <w:b/>
                <w:szCs w:val="24"/>
              </w:rPr>
            </w:pPr>
            <w:r>
              <w:rPr>
                <w:b/>
              </w:rPr>
              <w:t>Kvalitetskontroller</w:t>
            </w:r>
            <w:r>
              <w:t>: Villkorlig kontroll: Rapportera om protectedAreaType är ”Other”.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protectedAreaAssociationType</w:t>
            </w:r>
          </w:p>
          <w:p w:rsidR="000215C5" w:rsidRDefault="00703023">
            <w:pPr>
              <w:spacing w:after="120"/>
              <w:jc w:val="both"/>
              <w:rPr>
                <w:szCs w:val="24"/>
              </w:rPr>
            </w:pPr>
            <w:r>
              <w:rPr>
                <w:b/>
              </w:rPr>
              <w:t xml:space="preserve">Fälttyp/alternativ: </w:t>
            </w:r>
            <w:r>
              <w:t>ProtAreaAssociationType_Enum:</w:t>
            </w:r>
          </w:p>
          <w:p w:rsidR="000215C5" w:rsidRPr="00D95552" w:rsidRDefault="00703023">
            <w:pPr>
              <w:spacing w:after="120"/>
              <w:jc w:val="both"/>
              <w:rPr>
                <w:szCs w:val="24"/>
              </w:rPr>
            </w:pPr>
            <w:r w:rsidRPr="00D95552">
              <w:t>Within Protected Area</w:t>
            </w:r>
          </w:p>
          <w:p w:rsidR="000215C5" w:rsidRPr="006E59C8" w:rsidRDefault="00703023">
            <w:pPr>
              <w:spacing w:after="120"/>
              <w:jc w:val="both"/>
              <w:rPr>
                <w:szCs w:val="24"/>
                <w:lang w:val="en-GB"/>
              </w:rPr>
            </w:pPr>
            <w:r w:rsidRPr="006E59C8">
              <w:rPr>
                <w:lang w:val="en-GB"/>
              </w:rPr>
              <w:t>Overlapping / partly within Protected Area</w:t>
            </w:r>
          </w:p>
          <w:p w:rsidR="000215C5" w:rsidRPr="006E59C8" w:rsidRDefault="00703023">
            <w:pPr>
              <w:spacing w:after="120"/>
              <w:jc w:val="both"/>
              <w:rPr>
                <w:szCs w:val="24"/>
                <w:lang w:val="en-GB"/>
              </w:rPr>
            </w:pPr>
            <w:r w:rsidRPr="006E59C8">
              <w:rPr>
                <w:lang w:val="en-GB"/>
              </w:rPr>
              <w:t>Dynamically / hydrologically connected with Protected Area</w:t>
            </w:r>
          </w:p>
          <w:p w:rsidR="000215C5" w:rsidRDefault="00703023">
            <w:pPr>
              <w:spacing w:after="120"/>
              <w:jc w:val="both"/>
              <w:rPr>
                <w:szCs w:val="24"/>
              </w:rPr>
            </w:pPr>
            <w:r>
              <w:rPr>
                <w:b/>
              </w:rPr>
              <w:t xml:space="preserve">Egenskaper: </w:t>
            </w:r>
            <w:r>
              <w:t xml:space="preserve">maxOccurs = 1 minOccurs = 1 </w:t>
            </w:r>
          </w:p>
          <w:p w:rsidR="000215C5" w:rsidRDefault="00703023">
            <w:pPr>
              <w:spacing w:after="120"/>
              <w:jc w:val="both"/>
              <w:rPr>
                <w:szCs w:val="24"/>
              </w:rPr>
            </w:pPr>
            <w:r>
              <w:rPr>
                <w:b/>
              </w:rPr>
              <w:t>Vägledning om hur man fyller i mallposten</w:t>
            </w:r>
            <w:r>
              <w:t>: Krävs. Rapportera hur grundvattenförekomsten är förbunden med det skyddade området (typ). Gränserna för grundvattenförekomster och skyddade områden sammanfaller inte alltid exakt.</w:t>
            </w:r>
          </w:p>
          <w:p w:rsidR="000215C5" w:rsidRDefault="00703023">
            <w:pPr>
              <w:spacing w:after="120"/>
              <w:jc w:val="both"/>
              <w:rPr>
                <w:szCs w:val="24"/>
              </w:rPr>
            </w:pPr>
            <w:r>
              <w:t>”Within Protected Area” = Hela grundvattenförekomsten är belägen inom det skyddade området. Det skyddade området kan vara förbundet med fler än en grundvattenförekomst.</w:t>
            </w:r>
          </w:p>
          <w:p w:rsidR="000215C5" w:rsidRDefault="00703023">
            <w:pPr>
              <w:spacing w:after="120"/>
              <w:jc w:val="both"/>
              <w:rPr>
                <w:szCs w:val="24"/>
              </w:rPr>
            </w:pPr>
            <w:r>
              <w:t>”Overlapping / partly within Protected Area” = Grundvattenförekomsten överlappar eller är delvis belägen inom det skyddade området, eller överlappar fler än ett skyddat område.</w:t>
            </w:r>
          </w:p>
          <w:p w:rsidR="000215C5" w:rsidRDefault="00703023">
            <w:pPr>
              <w:spacing w:after="120"/>
              <w:jc w:val="both"/>
              <w:rPr>
                <w:szCs w:val="24"/>
              </w:rPr>
            </w:pPr>
            <w:r>
              <w:t>”Dynamically / hydrologically connected with Protected Area” = Grundvattenförekomsten är dynamiskt eller hydrologiskt förbunden med det skyddade området utan att vara helt eller delvis belägen inom området.</w:t>
            </w:r>
          </w:p>
          <w:p w:rsidR="000215C5" w:rsidRDefault="00703023">
            <w:pPr>
              <w:spacing w:after="120"/>
              <w:jc w:val="both"/>
              <w:rPr>
                <w:b/>
                <w:szCs w:val="24"/>
              </w:rPr>
            </w:pPr>
            <w:r>
              <w:rPr>
                <w:b/>
              </w:rPr>
              <w:t>Kvalitetskontroller</w:t>
            </w:r>
            <w:r>
              <w:t>: Villkorlig kontroll:</w:t>
            </w:r>
            <w:r>
              <w:rPr>
                <w:b/>
              </w:rPr>
              <w:t xml:space="preserve"> </w:t>
            </w:r>
            <w:r>
              <w:t>Rapportera för varje rapporterad euProtectedAreaCode.</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protectedAreaHabitatsBirdsObjectivesSet</w:t>
            </w:r>
          </w:p>
          <w:p w:rsidR="000215C5" w:rsidRDefault="00703023">
            <w:pPr>
              <w:spacing w:after="120"/>
              <w:jc w:val="both"/>
              <w:rPr>
                <w:szCs w:val="24"/>
              </w:rPr>
            </w:pPr>
            <w:r>
              <w:rPr>
                <w:b/>
              </w:rPr>
              <w:t xml:space="preserve">Fälttyp/alternativ: </w:t>
            </w:r>
            <w:r>
              <w:t xml:space="preserve">ProtectedAreaHabitatsBirdsObjective_Enum: </w:t>
            </w:r>
          </w:p>
          <w:p w:rsidR="000215C5" w:rsidRPr="006E59C8" w:rsidRDefault="00703023">
            <w:pPr>
              <w:spacing w:after="120"/>
              <w:jc w:val="both"/>
              <w:rPr>
                <w:szCs w:val="24"/>
                <w:lang w:val="en-GB"/>
              </w:rPr>
            </w:pPr>
            <w:r w:rsidRPr="006E59C8">
              <w:rPr>
                <w:lang w:val="en-GB"/>
              </w:rPr>
              <w:t>Yes, specific water objectives have been set to protect all water dependent habitats and species.</w:t>
            </w:r>
          </w:p>
          <w:p w:rsidR="000215C5" w:rsidRPr="006E59C8" w:rsidRDefault="00703023">
            <w:pPr>
              <w:spacing w:after="120"/>
              <w:jc w:val="both"/>
              <w:rPr>
                <w:szCs w:val="24"/>
                <w:lang w:val="en-GB"/>
              </w:rPr>
            </w:pPr>
            <w:r w:rsidRPr="006E59C8">
              <w:rPr>
                <w:lang w:val="en-GB"/>
              </w:rPr>
              <w:t>Yes, some specific water objectives have been set to protect water dependent habitats and species but work is still on-going to determine needs.</w:t>
            </w:r>
          </w:p>
          <w:p w:rsidR="000215C5" w:rsidRPr="006E59C8" w:rsidRDefault="00703023">
            <w:pPr>
              <w:spacing w:after="120"/>
              <w:jc w:val="both"/>
              <w:rPr>
                <w:szCs w:val="24"/>
                <w:lang w:val="en-GB"/>
              </w:rPr>
            </w:pPr>
            <w:r w:rsidRPr="006E59C8">
              <w:rPr>
                <w:lang w:val="en-GB"/>
              </w:rPr>
              <w:t>No, no specific water objectives have been set to protect water dependent habitats and species because the achievement of WFD good status is sufficient to achieve favourable conservation status.</w:t>
            </w:r>
          </w:p>
          <w:p w:rsidR="000215C5" w:rsidRPr="006E59C8" w:rsidRDefault="00703023">
            <w:pPr>
              <w:spacing w:after="120"/>
              <w:jc w:val="both"/>
              <w:rPr>
                <w:szCs w:val="24"/>
                <w:lang w:val="en-GB"/>
              </w:rPr>
            </w:pPr>
            <w:r w:rsidRPr="006E59C8">
              <w:rPr>
                <w:lang w:val="en-GB"/>
              </w:rPr>
              <w:t>No, no specific water objectives have been set to protect water dependent habitats and species because additional needs are not known.</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w:t>
            </w:r>
            <w:r>
              <w:rPr>
                <w:b/>
              </w:rPr>
              <w:t xml:space="preserve"> </w:t>
            </w:r>
            <w:r>
              <w:t xml:space="preserve">Villkorlig. Ange om särskilda vattenmål har fastställts för att skydda grundvattenberoende skyddade livsmiljöer och arter genom att välja lämpligt alternativ från uppräkningslistan. </w:t>
            </w:r>
          </w:p>
          <w:p w:rsidR="000215C5" w:rsidRDefault="00703023">
            <w:pPr>
              <w:spacing w:after="120"/>
              <w:jc w:val="both"/>
              <w:rPr>
                <w:b/>
                <w:szCs w:val="24"/>
              </w:rPr>
            </w:pPr>
            <w:r>
              <w:rPr>
                <w:b/>
              </w:rPr>
              <w:t>Kvalitetskontroller</w:t>
            </w:r>
            <w:r>
              <w:t>: Villkorlig kontroll: Rapportera om protectedAreaType är ”Habitats” eller ”Birds”.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protectedAreaHabitatsBirdsObjectivesMet</w:t>
            </w:r>
          </w:p>
          <w:p w:rsidR="000215C5" w:rsidRDefault="00703023">
            <w:pPr>
              <w:spacing w:after="120"/>
              <w:jc w:val="both"/>
              <w:rPr>
                <w:szCs w:val="24"/>
              </w:rPr>
            </w:pPr>
            <w:r>
              <w:rPr>
                <w:b/>
              </w:rPr>
              <w:t>Fälttyp/alternativ:</w:t>
            </w:r>
            <w:r>
              <w:t xml:space="preserve"> YesNoNoInformation_Union_Enum: Yes, No, No information</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om de mål som har fastställts för att skydda grundvattenberoende livsmiljöer och arter i områden som skyddas enligt livsmiljö- och fågeldirektiven har uppfyllts.</w:t>
            </w:r>
          </w:p>
          <w:p w:rsidR="000215C5" w:rsidRDefault="00703023">
            <w:pPr>
              <w:spacing w:after="120"/>
              <w:jc w:val="both"/>
              <w:rPr>
                <w:szCs w:val="24"/>
              </w:rPr>
            </w:pPr>
            <w:r>
              <w:t>”Yes”: de särskilda grundvattenmål som har fastställts för att skydda grundvattenberoende livsmiljöer och arter har uppfyllts.</w:t>
            </w:r>
          </w:p>
          <w:p w:rsidR="000215C5" w:rsidRDefault="00703023">
            <w:pPr>
              <w:spacing w:after="120"/>
              <w:jc w:val="both"/>
              <w:rPr>
                <w:szCs w:val="24"/>
              </w:rPr>
            </w:pPr>
            <w:r>
              <w:t>”No”: de särskilda grundvattenmål som har fastställts för att skydda grundvattenberoende livsmiljöer och arter har ännu inte uppfyllts.</w:t>
            </w:r>
          </w:p>
          <w:p w:rsidR="000215C5" w:rsidRDefault="00703023">
            <w:pPr>
              <w:spacing w:after="120"/>
              <w:jc w:val="both"/>
              <w:rPr>
                <w:szCs w:val="24"/>
              </w:rPr>
            </w:pPr>
            <w:r>
              <w:t>”No information”</w:t>
            </w:r>
          </w:p>
          <w:p w:rsidR="000215C5" w:rsidRDefault="00703023">
            <w:pPr>
              <w:spacing w:after="120"/>
              <w:jc w:val="both"/>
              <w:rPr>
                <w:b/>
                <w:szCs w:val="24"/>
              </w:rPr>
            </w:pPr>
            <w:r>
              <w:rPr>
                <w:b/>
              </w:rPr>
              <w:t>Kvalitetskontroller</w:t>
            </w:r>
            <w:r>
              <w:t>: Villkorlig kontroll: Rapportera om protectedAreaType är ”Habitats” eller ”Birds” OCH protectedAreaHabitatsBirdsObjectivesSet är något av de två ”Yes”-alternativen.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protectedAreaDrinkingWaterObjectivesSet</w:t>
            </w:r>
          </w:p>
          <w:p w:rsidR="000215C5" w:rsidRDefault="00703023">
            <w:pPr>
              <w:spacing w:after="120"/>
              <w:jc w:val="both"/>
              <w:rPr>
                <w:szCs w:val="24"/>
              </w:rPr>
            </w:pPr>
            <w:r>
              <w:rPr>
                <w:b/>
              </w:rPr>
              <w:t xml:space="preserve">Fälttyp/alternativ: </w:t>
            </w:r>
            <w:r>
              <w:t>YesNo_Enum: Yes, No</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w:t>
            </w:r>
            <w:r>
              <w:rPr>
                <w:b/>
              </w:rPr>
              <w:t xml:space="preserve"> </w:t>
            </w:r>
            <w:r>
              <w:t>Villkorlig. Ange om kompletterande särskilda normer har fastställts för att skydda dricksvatten:</w:t>
            </w:r>
          </w:p>
          <w:p w:rsidR="000215C5" w:rsidRDefault="00703023">
            <w:pPr>
              <w:spacing w:after="120"/>
              <w:jc w:val="both"/>
              <w:rPr>
                <w:szCs w:val="24"/>
              </w:rPr>
            </w:pPr>
            <w:r>
              <w:t>”Yes”: särskilda normer för samtliga parametrar har fastställts för grundvattenförekomsten/det skyddade området i syfte att skydda dricksvattnets kvalitet.</w:t>
            </w:r>
          </w:p>
          <w:p w:rsidR="000215C5" w:rsidRDefault="00703023">
            <w:pPr>
              <w:spacing w:after="120"/>
              <w:jc w:val="both"/>
              <w:rPr>
                <w:szCs w:val="24"/>
              </w:rPr>
            </w:pPr>
            <w:r>
              <w:t>”No”: inga särskilda normer har fastställts för grundvattenförekomsten/det skyddade området i syfte att skydda dricksvattnets kvalitet.</w:t>
            </w:r>
          </w:p>
          <w:p w:rsidR="000215C5" w:rsidRDefault="00703023">
            <w:pPr>
              <w:spacing w:after="120"/>
              <w:jc w:val="both"/>
              <w:rPr>
                <w:szCs w:val="24"/>
              </w:rPr>
            </w:pPr>
            <w:r>
              <w:t>I detta sammanhang avser ”normer” särskilda kvalitetsmål för förorenande ämnen i samband med skyddet av dricksvatten. Välj ”No” om de andra åtgärder som har vidtagits för att skydda dricksvatten anses vara tillräckliga.</w:t>
            </w:r>
          </w:p>
          <w:p w:rsidR="000215C5" w:rsidRDefault="00703023">
            <w:pPr>
              <w:spacing w:after="120"/>
              <w:jc w:val="both"/>
              <w:rPr>
                <w:b/>
                <w:szCs w:val="24"/>
              </w:rPr>
            </w:pPr>
            <w:r>
              <w:rPr>
                <w:b/>
              </w:rPr>
              <w:t>Kvalitetskontroller</w:t>
            </w:r>
            <w:r>
              <w:t>: Villkorlig kontroll: Rapportera om protectedAreaType är ”Article 7 Abstraction for Drinking Water”.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protectedAreaDrinkingWaterObjectivesMet</w:t>
            </w:r>
          </w:p>
          <w:p w:rsidR="000215C5" w:rsidRDefault="00703023">
            <w:pPr>
              <w:spacing w:after="120"/>
              <w:jc w:val="both"/>
              <w:rPr>
                <w:szCs w:val="24"/>
              </w:rPr>
            </w:pPr>
            <w:r>
              <w:rPr>
                <w:b/>
              </w:rPr>
              <w:t xml:space="preserve">Fälttyp/alternativ: </w:t>
            </w:r>
            <w:r>
              <w:t>YesNoNoInformation_Union_Enum: Yes, No, No information</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om de särskilda normer som har fastställts för att skydda dricksvattnets kvalitet i ”Article 7 Abstraction for drinking water Protected Areas” har uppfyllts:</w:t>
            </w:r>
          </w:p>
          <w:p w:rsidR="000215C5" w:rsidRDefault="00703023">
            <w:pPr>
              <w:spacing w:after="120"/>
              <w:jc w:val="both"/>
              <w:rPr>
                <w:szCs w:val="24"/>
              </w:rPr>
            </w:pPr>
            <w:r>
              <w:t>”Yes”: de särskilda normer som har fastställts för grundvattenförekomsten/det skyddade området i syfte att skydda dricksvattnets kvalitet har uppfyllts.</w:t>
            </w:r>
          </w:p>
          <w:p w:rsidR="000215C5" w:rsidRDefault="00703023">
            <w:pPr>
              <w:spacing w:after="120"/>
              <w:jc w:val="both"/>
              <w:rPr>
                <w:szCs w:val="24"/>
              </w:rPr>
            </w:pPr>
            <w:r>
              <w:t>”No”: de särskilda normer som har fastställts för grundvattenförekomsten/det skyddade området i syfte att skydda dricksvattnets kvalitet har inte uppfyllts.</w:t>
            </w:r>
          </w:p>
          <w:p w:rsidR="000215C5" w:rsidRDefault="00703023">
            <w:pPr>
              <w:spacing w:after="120"/>
              <w:jc w:val="both"/>
              <w:rPr>
                <w:szCs w:val="24"/>
              </w:rPr>
            </w:pPr>
            <w:r>
              <w:t>”No information”</w:t>
            </w:r>
          </w:p>
          <w:p w:rsidR="000215C5" w:rsidRDefault="00703023">
            <w:pPr>
              <w:spacing w:after="120"/>
              <w:jc w:val="both"/>
              <w:rPr>
                <w:b/>
                <w:szCs w:val="24"/>
              </w:rPr>
            </w:pPr>
            <w:r>
              <w:rPr>
                <w:b/>
              </w:rPr>
              <w:t>Kvalitetskontroller</w:t>
            </w:r>
            <w:r>
              <w:t>: Villkorlig kontroll: Rapportera om protectedAreaType är ”Article 7 Abstraction for Drinking Water” OCH ”protectedAreaDrinkingWaterObjectivesSet” är ”Yes”.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protectedAreaComment</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Egenskaper</w:t>
            </w:r>
            <w:r>
              <w:t>: maxOccurs = 1 minOccurs = 0</w:t>
            </w:r>
          </w:p>
          <w:p w:rsidR="000215C5" w:rsidRDefault="00703023">
            <w:pPr>
              <w:spacing w:after="120"/>
              <w:jc w:val="both"/>
              <w:rPr>
                <w:b/>
                <w:szCs w:val="24"/>
              </w:rPr>
            </w:pPr>
            <w:r>
              <w:rPr>
                <w:b/>
              </w:rPr>
              <w:t>Vägledning om hur man fyller i mallposten</w:t>
            </w:r>
            <w:r>
              <w:t>: Frivilligt. Lämna ytterligare förklaringar om mål inte har fastställts eller normerna inte har uppfyllts för det skyddade området (vilka mål som inte har fastställts, vilka normer som inte har uppfyllts, orsaker osv.).</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protectedAreaExemption</w:t>
            </w:r>
          </w:p>
          <w:p w:rsidR="000215C5" w:rsidRDefault="00703023">
            <w:pPr>
              <w:spacing w:after="120"/>
              <w:jc w:val="both"/>
              <w:rPr>
                <w:szCs w:val="24"/>
              </w:rPr>
            </w:pPr>
            <w:r>
              <w:rPr>
                <w:b/>
              </w:rPr>
              <w:t xml:space="preserve">Fälttyp/alternativ: </w:t>
            </w:r>
            <w:r>
              <w:t xml:space="preserve">ExemptionType_Enum (se bilaga 8g)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Villkorlig. Rapportera vilken eller vilka typer av undantag från de berörda målen för skyddade områden eller normer som är tillämpliga på grundvattenförekomstnivå (om några). Fler än ett undantag kan vara tillämpliga. Lämna ytterligare uppgifter i förvaltningsplanen och/eller bakgrundsdokumenten. Se avsnitt 5.4.4 nedan för närmare information.</w:t>
            </w:r>
          </w:p>
          <w:p w:rsidR="000215C5" w:rsidRDefault="00703023">
            <w:pPr>
              <w:spacing w:after="120"/>
              <w:jc w:val="both"/>
              <w:rPr>
                <w:szCs w:val="24"/>
              </w:rPr>
            </w:pPr>
            <w:r>
              <w:rPr>
                <w:b/>
              </w:rPr>
              <w:t>Kvalitetskontroller</w:t>
            </w:r>
            <w:r>
              <w:t xml:space="preserve">: Villkorlig kontroll: rapportera för varje rapporterad euProtectedAreaCode om gwAssociatedProtectedArea är ”Yes”. </w:t>
            </w:r>
          </w:p>
          <w:p w:rsidR="000215C5" w:rsidRDefault="00703023">
            <w:pPr>
              <w:spacing w:after="120"/>
              <w:jc w:val="both"/>
              <w:rPr>
                <w:b/>
                <w:szCs w:val="24"/>
              </w:rPr>
            </w:pPr>
            <w:r>
              <w:t>Intern kontroll: alternativet ”No exemption” går inte att kombinera med andra alternativ.</w:t>
            </w:r>
          </w:p>
        </w:tc>
      </w:tr>
    </w:tbl>
    <w:p w:rsidR="000215C5" w:rsidRDefault="000215C5">
      <w:pPr>
        <w:jc w:val="both"/>
      </w:pPr>
    </w:p>
    <w:p w:rsidR="000215C5" w:rsidRDefault="00703023">
      <w:pPr>
        <w:pStyle w:val="Rubrik3"/>
      </w:pPr>
      <w:r>
        <w:t>GIS-information:</w:t>
      </w:r>
    </w:p>
    <w:p w:rsidR="000215C5" w:rsidRDefault="00703023">
      <w:pPr>
        <w:jc w:val="both"/>
      </w:pPr>
      <w:r>
        <w:t>GIS-information i GML-format ska rapporteras för skyddade områden enligt anvisningarna i vägledningen om rapportering av rumsliga uppgifter (se bilaga 5, GIS-vägledning). Om skyddade områden redan rapporteras enligt andra direktiv (t.ex. Natura 2000-skyddade områden enligt livsmiljödirektivet, badvatten enligt badvattendirektivet, känsliga områden enligt avloppsdirektivet eller sårbara områden enligt nitratdirektivet) behöver de inte rapporteras igen enligt vattendirektivet.</w:t>
      </w:r>
    </w:p>
    <w:p w:rsidR="000215C5" w:rsidRDefault="00703023">
      <w:pPr>
        <w:pStyle w:val="Rubrik3"/>
      </w:pPr>
      <w:bookmarkStart w:id="281" w:name="_Ref385323197"/>
      <w:r>
        <w:t>Ordlista: förtydligande av begrepp och rapporteringskrav</w:t>
      </w:r>
      <w:bookmarkEnd w:id="281"/>
    </w:p>
    <w:p w:rsidR="000215C5" w:rsidRDefault="00703023">
      <w:pPr>
        <w:jc w:val="both"/>
        <w:rPr>
          <w:i/>
        </w:rPr>
      </w:pPr>
      <w:r>
        <w:rPr>
          <w:i/>
        </w:rPr>
        <w:t>Artikel 7 i vattendirektivet – skyddade områden för dricksvatten:</w:t>
      </w:r>
    </w:p>
    <w:p w:rsidR="000215C5" w:rsidRDefault="00703023">
      <w:pPr>
        <w:jc w:val="both"/>
      </w:pPr>
      <w:r>
        <w:t xml:space="preserve">Enligt artikel 7.2 i vattendirektivet ska medlemsstaterna se till att det resulterande vattnet enligt det vattenreningssystem som används uppfyller kraven i dricksvattendirektivet. I detta syfte förväntas medlemsstaterna fastställa kompletterande normer för de vattenförekomster som används för uttag av dricksvatten. Medlemsstaterna ska rapportera om de fastställer sådana normer och om de uppfylls. </w:t>
      </w:r>
    </w:p>
    <w:p w:rsidR="000215C5" w:rsidRDefault="00703023">
      <w:pPr>
        <w:jc w:val="both"/>
        <w:rPr>
          <w:i/>
        </w:rPr>
      </w:pPr>
      <w:r>
        <w:rPr>
          <w:i/>
        </w:rPr>
        <w:t>Badvattendirektivet:</w:t>
      </w:r>
    </w:p>
    <w:p w:rsidR="000215C5" w:rsidRDefault="00703023">
      <w:pPr>
        <w:jc w:val="both"/>
      </w:pPr>
      <w:r>
        <w:t>Generellt behöver medlemsstaterna inte lämna information om status för badvatten enligt vattendirektivet eftersom sådan information rapporteras årligen och rapporteringen är väl integrerad i Wise.</w:t>
      </w:r>
    </w:p>
    <w:p w:rsidR="000215C5" w:rsidRDefault="00703023">
      <w:pPr>
        <w:jc w:val="both"/>
        <w:rPr>
          <w:i/>
        </w:rPr>
      </w:pPr>
      <w:r>
        <w:rPr>
          <w:i/>
        </w:rPr>
        <w:t>Fågel- och livsmiljödirektiven:</w:t>
      </w:r>
    </w:p>
    <w:p w:rsidR="000215C5" w:rsidRDefault="00703023">
      <w:pPr>
        <w:jc w:val="both"/>
      </w:pPr>
      <w:r>
        <w:t>Gynnsam bevarandestatus för skyddade livsmiljöer och arter bedöms inte på stationsnivå, utan på nationell nivå per biogeografisk region och med hänsyn till den allmänna situationen. Vattenberoende livsmiljöer och arter kan kräva mer skydd än det skydd som ges genom vattendirektivets mål för god status, t.ex. strängare normer för vissa fysikalisk-kemiska parametrar, hög status för särskilda hydromorfologiska parametrar eller särskilda vattenmängder. När det gäller rapporteringen enligt vattendirektivet förväntas medlemsstaterna rapportera huruvida särskilda och ytterligare behov hos vattenberoende livsmiljöer och arter har utvärderats och fastställts som mål enligt artikel 4.1 c i vattendirektivet. Det skyddade områdets status bedöms sedan mot dessa kompletterande vattenmål och resultatet av bedömningen rapporteras. Observera att det kan förekomma situationer där de mål som är relevanta för vattendirektivet är uppfyllda, men livsmiljöerna och arterna fortfarande inte har gynnsam bevarandestatus på grund av att andra krav som inte har med vattenberoende att göra inte är uppfyllda. Mallposten CommentValueStatusProtArea kan användas för att lämna ytterligare information om de livsmiljöer och arter som är relevanta för de skyddade områden som överlappar varje vattenförekomst.</w:t>
      </w:r>
    </w:p>
    <w:p w:rsidR="000215C5" w:rsidRDefault="00703023">
      <w:pPr>
        <w:keepNext/>
        <w:jc w:val="both"/>
        <w:rPr>
          <w:i/>
        </w:rPr>
      </w:pPr>
      <w:r>
        <w:rPr>
          <w:i/>
        </w:rPr>
        <w:t>Direktivet om skaldjursvatten:</w:t>
      </w:r>
    </w:p>
    <w:p w:rsidR="000215C5" w:rsidRDefault="00703023">
      <w:pPr>
        <w:jc w:val="both"/>
      </w:pPr>
      <w:r>
        <w:t xml:space="preserve">Mikrobiologiska normer är centrala för kvaliteten på skaldjursvatten. Medlemsstaterna ska rapportera om sådana normer har fastställts (eller om de tillämpar samma normer som i direktivet om skaldjursvatten) och om de har uppfyllts. </w:t>
      </w:r>
    </w:p>
    <w:p w:rsidR="000215C5" w:rsidRDefault="00703023">
      <w:pPr>
        <w:jc w:val="both"/>
        <w:rPr>
          <w:i/>
        </w:rPr>
      </w:pPr>
      <w:r>
        <w:rPr>
          <w:i/>
        </w:rPr>
        <w:t>Direktivet om kvaliteten på sådant sötvatten som behöver skyddas eller förbättras för att upprätthålla fiskbestånden:</w:t>
      </w:r>
    </w:p>
    <w:p w:rsidR="000215C5" w:rsidRDefault="00703023">
      <w:pPr>
        <w:jc w:val="both"/>
      </w:pPr>
      <w:r>
        <w:t>Målen i direktivet om kvaliteten på sådant sötvatten som behöver skyddas eller förbättras för att upprätthålla fiskbestånden täcks fullständigt av vattendirektivets mål avseende god ekologisk status, så ingen ytterligare information krävs om särskilda mål och status för denna typ av skyddade områden.</w:t>
      </w:r>
    </w:p>
    <w:p w:rsidR="000215C5" w:rsidRDefault="00703023">
      <w:pPr>
        <w:jc w:val="both"/>
        <w:rPr>
          <w:i/>
        </w:rPr>
      </w:pPr>
      <w:r>
        <w:rPr>
          <w:i/>
        </w:rPr>
        <w:t>Nitratdirektivet</w:t>
      </w:r>
    </w:p>
    <w:p w:rsidR="000215C5" w:rsidRDefault="00703023">
      <w:pPr>
        <w:jc w:val="both"/>
      </w:pPr>
      <w:r>
        <w:t>Målen i nitratdirektivet rörande skydd mot eutrofiering täcks fullständigt av vattendirektivets mål avseende god ekologisk status, så ingen ytterligare information krävs om särskilda mål och status för denna typ av skyddade områden. Dessutom sker rapportering regelbundet enligt nitratdirektivet.</w:t>
      </w:r>
    </w:p>
    <w:p w:rsidR="000215C5" w:rsidRDefault="00703023">
      <w:pPr>
        <w:jc w:val="both"/>
        <w:rPr>
          <w:i/>
        </w:rPr>
      </w:pPr>
      <w:r>
        <w:rPr>
          <w:i/>
        </w:rPr>
        <w:t>Direktivet om rening av avloppsvatten från tätbebyggelse:</w:t>
      </w:r>
    </w:p>
    <w:p w:rsidR="000215C5" w:rsidRDefault="00703023">
      <w:pPr>
        <w:jc w:val="both"/>
      </w:pPr>
      <w:r>
        <w:t>Denna typ av skyddade områden rapporteras i registret över skyddade områden (mallen PA), men statusinformation är inte relevant i det här sammanhanget. Eutrofieringsstatus omfattas av vattendirektivets ekologiska status.</w:t>
      </w:r>
    </w:p>
    <w:p w:rsidR="000215C5" w:rsidRDefault="00703023">
      <w:pPr>
        <w:pStyle w:val="Rubrik1"/>
        <w:jc w:val="both"/>
      </w:pPr>
      <w:bookmarkStart w:id="282" w:name="_Toc375220075"/>
      <w:bookmarkStart w:id="283" w:name="_Toc386464232"/>
      <w:bookmarkStart w:id="284" w:name="_Toc425522058"/>
      <w:bookmarkStart w:id="285" w:name="_Toc432666070"/>
      <w:bookmarkStart w:id="286" w:name="_Toc437520266"/>
      <w:r>
        <w:t>Rapportering på medlemsstatsnivå Behöriga myndigheter, avrinningsdistrikt och delavrinningsdistrikt (mallen RBDSUCA)</w:t>
      </w:r>
      <w:bookmarkEnd w:id="282"/>
      <w:bookmarkEnd w:id="283"/>
      <w:bookmarkEnd w:id="284"/>
      <w:bookmarkEnd w:id="285"/>
      <w:bookmarkEnd w:id="286"/>
    </w:p>
    <w:p w:rsidR="000215C5" w:rsidRDefault="00703023">
      <w:pPr>
        <w:pStyle w:val="Rubrik2"/>
        <w:jc w:val="both"/>
      </w:pPr>
      <w:bookmarkStart w:id="287" w:name="_Toc386464233"/>
      <w:bookmarkStart w:id="288" w:name="_Toc425522059"/>
      <w:bookmarkStart w:id="289" w:name="_Toc432666071"/>
      <w:bookmarkStart w:id="290" w:name="_Toc437520267"/>
      <w:bookmarkStart w:id="291" w:name="_Toc375220076"/>
      <w:r>
        <w:t>Inledning</w:t>
      </w:r>
      <w:bookmarkEnd w:id="287"/>
      <w:bookmarkEnd w:id="288"/>
      <w:bookmarkEnd w:id="289"/>
      <w:bookmarkEnd w:id="290"/>
    </w:p>
    <w:p w:rsidR="000215C5" w:rsidRDefault="00703023">
      <w:pPr>
        <w:pStyle w:val="Text4"/>
        <w:tabs>
          <w:tab w:val="clear" w:pos="2302"/>
        </w:tabs>
        <w:ind w:left="0"/>
        <w:jc w:val="both"/>
      </w:pPr>
      <w:r>
        <w:t>I vattendirektivet definieras avrinningsdistrikt som ett ”land- och havsområde som utgörs av ett eller flera angränsande avrinningsområden tillsammans med deras förbundna grund- och kustvatten”. Ett avrinningsområde är ett ”landområde från vilket all ytvattenavrinning strömmar genom en sekvens av åar, floder och, möjligen, sjöar till havet vid ett enda flodutlopp, eller vid en enda flodmynning eller ett enda delta”. Ett avrinningsområde, inklusive alla bifloder, får inte delas upp mellan olika avrinningsdistrikt. Ett avrinningsdistrikt kan dock omfatta flera (ibland mindre) avrinningsområden, och ska även omfatta förbundna kust- och grundvatten (t.ex. Bottenviken (SE) eller Adour-Garonne (FR)).</w:t>
      </w:r>
    </w:p>
    <w:p w:rsidR="000215C5" w:rsidRDefault="00703023">
      <w:pPr>
        <w:pStyle w:val="Text4"/>
        <w:tabs>
          <w:tab w:val="clear" w:pos="2302"/>
        </w:tabs>
        <w:ind w:left="0"/>
        <w:jc w:val="both"/>
      </w:pPr>
      <w:r>
        <w:t>Enligt artikel 3.1 är avrinningsdistrikt huvudenheten för förvaltning av avrinningsdistrikt. Medlemsstaterna ska identifiera behöriga myndigheter (för både nationella och internationella avrinningsdistrikt), som sköter de administrativa arrangemangen och tillämpar direktivets bestämmelser (artikel 3.2 och 3.3) inom avrinningsdistriktet. Artikel 3.4 och 3.5 föreskriver att åtgärderna ska samordnas (nationellt och internationellt) för att uppnå de miljömål som fastställs i direktivet (artikel 4) genom de planerade åtgärdsplanerna.</w:t>
      </w:r>
    </w:p>
    <w:p w:rsidR="000215C5" w:rsidRDefault="00703023">
      <w:pPr>
        <w:pStyle w:val="Text4"/>
        <w:ind w:left="0"/>
        <w:jc w:val="both"/>
      </w:pPr>
      <w:r>
        <w:t>Fastställandet av avrinningsdistrikt är därför en av de centrala aspekterna i den integrerade förvaltningen av avrinningsdistrikt, och anger den geografiska omfattningen av samordningen av vattenresurser. Principen om en heltäckande vattenförvaltning av tillrinningsområden, från källan till havet och baserat på ytvatten och förbundna grundvatten snarare än på administrativa gränser, ligger till grund för kravet att utse avrinningsdistrikt.</w:t>
      </w:r>
    </w:p>
    <w:p w:rsidR="000215C5" w:rsidRDefault="00703023">
      <w:pPr>
        <w:pStyle w:val="Text4"/>
        <w:ind w:left="0"/>
        <w:jc w:val="both"/>
      </w:pPr>
      <w:r>
        <w:t>Enligt vattendirektivet ska medlemsstaterna utse behöriga myndigheter (artikel 3, bilaga I) inom varje avrinningsdistrikt, även för delar av internationella avrinningsdistrikt som är belägna inom deras territorier. Medlemsstaterna anmälde sina behöriga myndigheter till kommissionen 2004. Förutom namn och geografisk täckning lämnade medlemsstaterna även uppgifter om varje behörig myndighets rättsliga och administrativa ansvar och myndighetens funktion inom varje avrinningsdistrikt. I de fall den behöriga myndigheten agerar som samordnande organ för andra behöriga myndigheter krävs en förteckning över dessa organ tillsammans med en sammanfattning av de institutionella förbindelser som upprättas för att sköta samordningen. Enligt bilaga I (bilaga VII.10) ska förvaltningsplanerna även innehålla en förteckning över behöriga myndigheter.</w:t>
      </w:r>
    </w:p>
    <w:p w:rsidR="000215C5" w:rsidRDefault="00703023">
      <w:pPr>
        <w:pStyle w:val="Rubrik3"/>
      </w:pPr>
      <w:bookmarkStart w:id="292" w:name="_Toc386464234"/>
      <w:r>
        <w:t>Hur kommer kommissionen och Europeiska miljöbyrån att använda den rapporterade informationen</w:t>
      </w:r>
      <w:bookmarkEnd w:id="292"/>
      <w:r>
        <w:t>?</w:t>
      </w:r>
    </w:p>
    <w:p w:rsidR="000215C5" w:rsidRDefault="00703023">
      <w:pPr>
        <w:pStyle w:val="Text4"/>
        <w:ind w:left="0"/>
        <w:jc w:val="both"/>
      </w:pPr>
      <w:r>
        <w:t>Kommissionen kommer att använda den information som rapporteras av medlemsstaterna för att försäkra sig om att de har infört lämpliga förvaltningsarrangemang för ett korrekt genomförande av direktivet. Informationen kommer även att användas för att identifiera de behöriga myndigheter som har ansvar för genomförandet av vattendirektivet om ytterligare uppgifter krävs. På EU-nivå kommer statistik och information att lämnas till Europaparlamentet. Allmänheten kommer att få tillgång till informationen via Wise.</w:t>
      </w:r>
    </w:p>
    <w:p w:rsidR="000215C5" w:rsidRDefault="00703023">
      <w:pPr>
        <w:pStyle w:val="Rubrik2"/>
        <w:jc w:val="both"/>
      </w:pPr>
      <w:bookmarkStart w:id="293" w:name="_Toc386464235"/>
      <w:bookmarkStart w:id="294" w:name="_Toc425522060"/>
      <w:bookmarkStart w:id="295" w:name="_Toc432666072"/>
      <w:bookmarkStart w:id="296" w:name="_Toc437520268"/>
      <w:r>
        <w:t>Produkter från rapporteringen</w:t>
      </w:r>
      <w:bookmarkEnd w:id="293"/>
      <w:bookmarkEnd w:id="294"/>
      <w:bookmarkEnd w:id="295"/>
      <w:bookmarkEnd w:id="296"/>
    </w:p>
    <w:p w:rsidR="000215C5" w:rsidRDefault="000215C5"/>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1037"/>
        <w:gridCol w:w="1260"/>
        <w:gridCol w:w="1956"/>
        <w:gridCol w:w="1985"/>
        <w:gridCol w:w="1701"/>
      </w:tblGrid>
      <w:tr w:rsidR="000215C5" w:rsidTr="00E01FD6">
        <w:trPr>
          <w:cantSplit/>
          <w:tblHeader/>
        </w:trPr>
        <w:tc>
          <w:tcPr>
            <w:tcW w:w="455" w:type="dxa"/>
            <w:shd w:val="clear" w:color="auto" w:fill="auto"/>
          </w:tcPr>
          <w:p w:rsidR="000215C5" w:rsidRDefault="00703023">
            <w:pPr>
              <w:spacing w:after="0"/>
              <w:jc w:val="both"/>
              <w:rPr>
                <w:b/>
                <w:sz w:val="18"/>
                <w:szCs w:val="18"/>
              </w:rPr>
            </w:pPr>
            <w:r>
              <w:rPr>
                <w:b/>
                <w:sz w:val="18"/>
              </w:rPr>
              <w:t>Nb</w:t>
            </w:r>
          </w:p>
        </w:tc>
        <w:tc>
          <w:tcPr>
            <w:tcW w:w="1496" w:type="dxa"/>
            <w:shd w:val="clear" w:color="auto" w:fill="auto"/>
          </w:tcPr>
          <w:p w:rsidR="000215C5" w:rsidRDefault="00703023">
            <w:pPr>
              <w:spacing w:after="0"/>
              <w:jc w:val="both"/>
              <w:rPr>
                <w:b/>
                <w:sz w:val="18"/>
                <w:szCs w:val="18"/>
              </w:rPr>
            </w:pPr>
            <w:r>
              <w:rPr>
                <w:b/>
                <w:sz w:val="18"/>
              </w:rPr>
              <w:t>Produktens namn</w:t>
            </w:r>
          </w:p>
        </w:tc>
        <w:tc>
          <w:tcPr>
            <w:tcW w:w="1037" w:type="dxa"/>
            <w:shd w:val="clear" w:color="auto" w:fill="auto"/>
          </w:tcPr>
          <w:p w:rsidR="000215C5" w:rsidRDefault="00703023">
            <w:pPr>
              <w:spacing w:after="0"/>
              <w:jc w:val="both"/>
              <w:rPr>
                <w:b/>
                <w:sz w:val="18"/>
                <w:szCs w:val="18"/>
              </w:rPr>
            </w:pPr>
            <w:r>
              <w:rPr>
                <w:b/>
                <w:sz w:val="18"/>
              </w:rPr>
              <w:t>Produkttyp</w:t>
            </w:r>
          </w:p>
        </w:tc>
        <w:tc>
          <w:tcPr>
            <w:tcW w:w="1260" w:type="dxa"/>
            <w:shd w:val="clear" w:color="auto" w:fill="auto"/>
          </w:tcPr>
          <w:p w:rsidR="000215C5" w:rsidRDefault="00703023">
            <w:pPr>
              <w:spacing w:after="0"/>
              <w:jc w:val="both"/>
              <w:rPr>
                <w:b/>
                <w:sz w:val="18"/>
                <w:szCs w:val="18"/>
              </w:rPr>
            </w:pPr>
            <w:r>
              <w:rPr>
                <w:b/>
                <w:sz w:val="18"/>
              </w:rPr>
              <w:t>Informations</w:t>
            </w:r>
            <w:r w:rsidR="00E01FD6">
              <w:rPr>
                <w:b/>
                <w:sz w:val="18"/>
              </w:rPr>
              <w:t>-</w:t>
            </w:r>
            <w:r>
              <w:rPr>
                <w:b/>
                <w:sz w:val="18"/>
              </w:rPr>
              <w:t>nivå*</w:t>
            </w:r>
          </w:p>
        </w:tc>
        <w:tc>
          <w:tcPr>
            <w:tcW w:w="1956" w:type="dxa"/>
            <w:shd w:val="clear" w:color="auto" w:fill="auto"/>
          </w:tcPr>
          <w:p w:rsidR="000215C5" w:rsidRDefault="00703023">
            <w:pPr>
              <w:spacing w:after="0"/>
              <w:jc w:val="both"/>
              <w:rPr>
                <w:b/>
                <w:sz w:val="18"/>
                <w:szCs w:val="18"/>
              </w:rPr>
            </w:pPr>
            <w:r>
              <w:rPr>
                <w:b/>
                <w:sz w:val="18"/>
              </w:rPr>
              <w:t>Detaljerad information visas</w:t>
            </w:r>
          </w:p>
        </w:tc>
        <w:tc>
          <w:tcPr>
            <w:tcW w:w="1985" w:type="dxa"/>
            <w:shd w:val="clear" w:color="auto" w:fill="auto"/>
          </w:tcPr>
          <w:p w:rsidR="000215C5" w:rsidRDefault="00703023">
            <w:pPr>
              <w:spacing w:after="0"/>
              <w:jc w:val="both"/>
              <w:rPr>
                <w:b/>
                <w:sz w:val="18"/>
                <w:szCs w:val="18"/>
              </w:rPr>
            </w:pPr>
            <w:r>
              <w:rPr>
                <w:b/>
                <w:sz w:val="18"/>
              </w:rPr>
              <w:t>Källa till detaljerad information samt aggregationsregeln</w:t>
            </w:r>
          </w:p>
        </w:tc>
        <w:tc>
          <w:tcPr>
            <w:tcW w:w="1701" w:type="dxa"/>
            <w:shd w:val="clear" w:color="auto" w:fill="auto"/>
          </w:tcPr>
          <w:p w:rsidR="000215C5" w:rsidRDefault="00703023">
            <w:pPr>
              <w:spacing w:after="0"/>
              <w:jc w:val="both"/>
              <w:rPr>
                <w:b/>
                <w:sz w:val="18"/>
                <w:szCs w:val="18"/>
              </w:rPr>
            </w:pPr>
            <w:r>
              <w:rPr>
                <w:b/>
                <w:sz w:val="18"/>
              </w:rPr>
              <w:t>Har informationen använts i rapporterna för 2012?*</w:t>
            </w:r>
          </w:p>
        </w:tc>
      </w:tr>
      <w:tr w:rsidR="000215C5" w:rsidTr="00E01FD6">
        <w:trPr>
          <w:cantSplit/>
        </w:trPr>
        <w:tc>
          <w:tcPr>
            <w:tcW w:w="455" w:type="dxa"/>
            <w:shd w:val="clear" w:color="auto" w:fill="auto"/>
          </w:tcPr>
          <w:p w:rsidR="000215C5" w:rsidRDefault="00703023">
            <w:pPr>
              <w:spacing w:after="0"/>
              <w:jc w:val="both"/>
              <w:rPr>
                <w:sz w:val="18"/>
                <w:szCs w:val="18"/>
              </w:rPr>
            </w:pPr>
            <w:r>
              <w:rPr>
                <w:sz w:val="18"/>
              </w:rPr>
              <w:t>1</w:t>
            </w:r>
          </w:p>
        </w:tc>
        <w:tc>
          <w:tcPr>
            <w:tcW w:w="1496" w:type="dxa"/>
            <w:shd w:val="clear" w:color="auto" w:fill="auto"/>
          </w:tcPr>
          <w:p w:rsidR="000215C5" w:rsidRDefault="00703023">
            <w:pPr>
              <w:spacing w:after="0"/>
              <w:jc w:val="both"/>
              <w:rPr>
                <w:b/>
                <w:sz w:val="18"/>
                <w:szCs w:val="18"/>
              </w:rPr>
            </w:pPr>
            <w:r>
              <w:rPr>
                <w:b/>
                <w:sz w:val="18"/>
              </w:rPr>
              <w:t xml:space="preserve">Grundläggande information om avrinningsdistrikt </w:t>
            </w:r>
            <w:r w:rsidRPr="004A24AD">
              <w:rPr>
                <w:b/>
                <w:sz w:val="18"/>
              </w:rPr>
              <w:t>och delavrinnings</w:t>
            </w:r>
            <w:r w:rsidR="004A24AD" w:rsidRPr="004A24AD">
              <w:rPr>
                <w:b/>
                <w:sz w:val="18"/>
              </w:rPr>
              <w:t>-</w:t>
            </w:r>
            <w:r w:rsidRPr="004A24AD">
              <w:rPr>
                <w:b/>
                <w:sz w:val="18"/>
              </w:rPr>
              <w:t>distrikt</w:t>
            </w:r>
          </w:p>
        </w:tc>
        <w:tc>
          <w:tcPr>
            <w:tcW w:w="1037" w:type="dxa"/>
            <w:shd w:val="clear" w:color="auto" w:fill="auto"/>
          </w:tcPr>
          <w:p w:rsidR="000215C5" w:rsidRDefault="00703023">
            <w:pPr>
              <w:spacing w:after="0"/>
              <w:jc w:val="both"/>
              <w:rPr>
                <w:sz w:val="18"/>
                <w:szCs w:val="18"/>
              </w:rPr>
            </w:pPr>
            <w:r>
              <w:rPr>
                <w:sz w:val="18"/>
              </w:rPr>
              <w:t>Tabell</w:t>
            </w:r>
          </w:p>
        </w:tc>
        <w:tc>
          <w:tcPr>
            <w:tcW w:w="1260" w:type="dxa"/>
            <w:shd w:val="clear" w:color="auto" w:fill="auto"/>
          </w:tcPr>
          <w:p w:rsidR="000215C5" w:rsidRDefault="00703023">
            <w:pPr>
              <w:spacing w:after="0"/>
              <w:jc w:val="both"/>
              <w:rPr>
                <w:sz w:val="18"/>
                <w:szCs w:val="18"/>
              </w:rPr>
            </w:pPr>
            <w:r>
              <w:rPr>
                <w:sz w:val="18"/>
              </w:rPr>
              <w:t>EU/MS/RBD/SU</w:t>
            </w:r>
          </w:p>
        </w:tc>
        <w:tc>
          <w:tcPr>
            <w:tcW w:w="1956" w:type="dxa"/>
            <w:shd w:val="clear" w:color="auto" w:fill="auto"/>
          </w:tcPr>
          <w:p w:rsidR="000215C5" w:rsidRDefault="00703023">
            <w:pPr>
              <w:spacing w:after="0"/>
              <w:jc w:val="both"/>
              <w:rPr>
                <w:sz w:val="18"/>
                <w:szCs w:val="18"/>
              </w:rPr>
            </w:pPr>
            <w:r>
              <w:rPr>
                <w:sz w:val="18"/>
              </w:rPr>
              <w:t>Antal och storlek (yta) för nationella och internationella avrinningsdistrikt och delavrinningsdistrikt.</w:t>
            </w:r>
          </w:p>
          <w:p w:rsidR="000215C5" w:rsidRDefault="000215C5">
            <w:pPr>
              <w:spacing w:after="0"/>
              <w:jc w:val="both"/>
              <w:rPr>
                <w:sz w:val="18"/>
                <w:szCs w:val="18"/>
              </w:rPr>
            </w:pPr>
          </w:p>
        </w:tc>
        <w:tc>
          <w:tcPr>
            <w:tcW w:w="1985" w:type="dxa"/>
            <w:shd w:val="clear" w:color="auto" w:fill="auto"/>
          </w:tcPr>
          <w:p w:rsidR="00FE7750" w:rsidRDefault="00703023">
            <w:pPr>
              <w:spacing w:after="0"/>
              <w:jc w:val="both"/>
              <w:rPr>
                <w:sz w:val="18"/>
              </w:rPr>
            </w:pPr>
            <w:r>
              <w:rPr>
                <w:sz w:val="18"/>
              </w:rPr>
              <w:t>Aggregerad information på grundval av den information som lämnas på nivån för avrinningsdistrikt/</w:t>
            </w:r>
          </w:p>
          <w:p w:rsidR="000215C5" w:rsidRDefault="00703023">
            <w:pPr>
              <w:spacing w:after="0"/>
              <w:jc w:val="both"/>
              <w:rPr>
                <w:sz w:val="18"/>
                <w:szCs w:val="18"/>
              </w:rPr>
            </w:pPr>
            <w:r>
              <w:rPr>
                <w:sz w:val="18"/>
              </w:rPr>
              <w:t>delavrinningsdistrikt.</w:t>
            </w:r>
          </w:p>
        </w:tc>
        <w:tc>
          <w:tcPr>
            <w:tcW w:w="1701" w:type="dxa"/>
            <w:shd w:val="clear" w:color="auto" w:fill="auto"/>
          </w:tcPr>
          <w:p w:rsidR="000215C5" w:rsidRDefault="00703023">
            <w:pPr>
              <w:spacing w:after="0"/>
              <w:jc w:val="both"/>
              <w:rPr>
                <w:sz w:val="18"/>
                <w:szCs w:val="18"/>
              </w:rPr>
            </w:pPr>
            <w:r>
              <w:rPr>
                <w:sz w:val="18"/>
              </w:rPr>
              <w:t>Nej</w:t>
            </w:r>
          </w:p>
        </w:tc>
      </w:tr>
    </w:tbl>
    <w:p w:rsidR="000215C5" w:rsidRDefault="000215C5">
      <w:pPr>
        <w:jc w:val="both"/>
      </w:pPr>
    </w:p>
    <w:p w:rsidR="000215C5" w:rsidRDefault="00703023">
      <w:pPr>
        <w:pStyle w:val="Rubrik2"/>
        <w:jc w:val="both"/>
      </w:pPr>
      <w:bookmarkStart w:id="297" w:name="_Toc386464236"/>
      <w:bookmarkStart w:id="298" w:name="_Toc425522061"/>
      <w:bookmarkStart w:id="299" w:name="_Toc432666073"/>
      <w:bookmarkStart w:id="300" w:name="_Toc437520269"/>
      <w:r>
        <w:t>Innehåll i rapporteringen 2016</w:t>
      </w:r>
      <w:bookmarkEnd w:id="291"/>
      <w:bookmarkEnd w:id="297"/>
      <w:bookmarkEnd w:id="298"/>
      <w:bookmarkEnd w:id="299"/>
      <w:bookmarkEnd w:id="300"/>
      <w:r>
        <w:t xml:space="preserve"> </w:t>
      </w:r>
    </w:p>
    <w:p w:rsidR="000215C5" w:rsidRDefault="00703023">
      <w:pPr>
        <w:pStyle w:val="Rubrik3"/>
      </w:pPr>
      <w:r>
        <w:t>Skiss över mallarna</w:t>
      </w:r>
    </w:p>
    <w:p w:rsidR="000215C5" w:rsidRDefault="00703023">
      <w:pPr>
        <w:jc w:val="both"/>
      </w:pPr>
      <w:r>
        <w:t>Se bilaga 10.1.</w:t>
      </w:r>
    </w:p>
    <w:p w:rsidR="000215C5" w:rsidRDefault="00703023">
      <w:pPr>
        <w:pStyle w:val="Rubrik3"/>
      </w:pPr>
      <w:bookmarkStart w:id="301" w:name="_Ref382300701"/>
      <w:r>
        <w:t>Information och uppgifter som ska rapporteras med hjälp av mallarna</w:t>
      </w:r>
      <w:bookmarkEnd w:id="301"/>
    </w:p>
    <w:p w:rsidR="000215C5" w:rsidRDefault="00703023">
      <w:pPr>
        <w:jc w:val="both"/>
      </w:pPr>
      <w:r>
        <w:t>Information om behöriga myndigheter och avrinningsdistrikt inom medlemsstaten ska rapporteras på medlemsstatsnivå.</w:t>
      </w:r>
    </w:p>
    <w:p w:rsidR="000215C5" w:rsidRDefault="00703023">
      <w:pPr>
        <w:jc w:val="both"/>
      </w:pPr>
      <w:r>
        <w:t>Uppgifter ska rapporteras för varje behörig myndighet i medlemsstaten.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0215C5">
        <w:tc>
          <w:tcPr>
            <w:tcW w:w="9822" w:type="dxa"/>
            <w:shd w:val="clear" w:color="auto" w:fill="auto"/>
          </w:tcPr>
          <w:p w:rsidR="000215C5" w:rsidRDefault="00703023">
            <w:pPr>
              <w:spacing w:after="120"/>
              <w:jc w:val="both"/>
              <w:rPr>
                <w:b/>
                <w:szCs w:val="24"/>
              </w:rPr>
            </w:pPr>
            <w:r>
              <w:rPr>
                <w:b/>
              </w:rPr>
              <w:t>Mall: RBDSUCA</w:t>
            </w:r>
          </w:p>
        </w:tc>
      </w:tr>
      <w:tr w:rsidR="000215C5" w:rsidRPr="00D95552">
        <w:tc>
          <w:tcPr>
            <w:tcW w:w="9822" w:type="dxa"/>
            <w:shd w:val="clear" w:color="auto" w:fill="auto"/>
          </w:tcPr>
          <w:p w:rsidR="000215C5" w:rsidRPr="006E59C8" w:rsidRDefault="00703023">
            <w:pPr>
              <w:spacing w:after="120"/>
              <w:jc w:val="both"/>
              <w:rPr>
                <w:b/>
                <w:i/>
                <w:szCs w:val="24"/>
                <w:lang w:val="en-GB"/>
              </w:rPr>
            </w:pPr>
            <w:r w:rsidRPr="006E59C8">
              <w:rPr>
                <w:b/>
                <w:i/>
                <w:lang w:val="en-GB"/>
              </w:rPr>
              <w:t>Class CompetentAuthority</w:t>
            </w:r>
          </w:p>
          <w:p w:rsidR="000215C5" w:rsidRPr="006E59C8" w:rsidRDefault="00703023">
            <w:pPr>
              <w:spacing w:after="120"/>
              <w:jc w:val="both"/>
              <w:rPr>
                <w:b/>
                <w:i/>
                <w:szCs w:val="24"/>
                <w:lang w:val="en-GB"/>
              </w:rPr>
            </w:pPr>
            <w:r w:rsidRPr="006E59C8">
              <w:rPr>
                <w:b/>
                <w:i/>
                <w:lang w:val="en-GB"/>
              </w:rPr>
              <w:t>Egenskaper</w:t>
            </w:r>
            <w:r w:rsidRPr="006E59C8">
              <w:rPr>
                <w:i/>
                <w:lang w:val="en-GB"/>
              </w:rPr>
              <w:t>: maxOccurs = unbounded minOccurs = 1</w:t>
            </w:r>
          </w:p>
        </w:tc>
      </w:tr>
      <w:tr w:rsidR="000215C5">
        <w:tc>
          <w:tcPr>
            <w:tcW w:w="9822" w:type="dxa"/>
            <w:shd w:val="clear" w:color="auto" w:fill="auto"/>
          </w:tcPr>
          <w:p w:rsidR="000215C5" w:rsidRPr="00CB7B77" w:rsidRDefault="00703023">
            <w:pPr>
              <w:spacing w:after="120"/>
              <w:jc w:val="both"/>
              <w:rPr>
                <w:b/>
                <w:szCs w:val="24"/>
                <w:lang w:val="en-GB"/>
              </w:rPr>
            </w:pPr>
            <w:r w:rsidRPr="00CB7B77">
              <w:rPr>
                <w:b/>
                <w:lang w:val="en-GB"/>
              </w:rPr>
              <w:t xml:space="preserve">Mallpost: </w:t>
            </w:r>
            <w:r w:rsidRPr="00CB7B77">
              <w:rPr>
                <w:lang w:val="en-GB"/>
              </w:rPr>
              <w:t>euCACode</w:t>
            </w:r>
          </w:p>
          <w:p w:rsidR="000215C5" w:rsidRPr="00CB7B77" w:rsidRDefault="00703023">
            <w:pPr>
              <w:spacing w:after="120"/>
              <w:jc w:val="both"/>
              <w:rPr>
                <w:szCs w:val="24"/>
                <w:lang w:val="en-GB"/>
              </w:rPr>
            </w:pPr>
            <w:r w:rsidRPr="00CB7B77">
              <w:rPr>
                <w:b/>
                <w:lang w:val="en-GB"/>
              </w:rPr>
              <w:t xml:space="preserve">Fälttyp/alternativ: </w:t>
            </w:r>
            <w:r w:rsidRPr="00CB7B77">
              <w:rPr>
                <w:lang w:val="en-GB"/>
              </w:rPr>
              <w:t xml:space="preserve">FeatureUniqueEUCodeType </w:t>
            </w:r>
          </w:p>
          <w:p w:rsidR="000215C5" w:rsidRPr="00CB7B77" w:rsidRDefault="00703023">
            <w:pPr>
              <w:spacing w:after="120"/>
              <w:jc w:val="both"/>
              <w:rPr>
                <w:szCs w:val="24"/>
                <w:lang w:val="en-GB"/>
              </w:rPr>
            </w:pPr>
            <w:r w:rsidRPr="00CB7B77">
              <w:rPr>
                <w:b/>
                <w:lang w:val="en-GB"/>
              </w:rPr>
              <w:t xml:space="preserve">Egenskaper: </w:t>
            </w:r>
            <w:r w:rsidRPr="00CB7B77">
              <w:rPr>
                <w:lang w:val="en-GB"/>
              </w:rPr>
              <w:t>maxOccurs = 1 minOccurs = 1</w:t>
            </w:r>
          </w:p>
          <w:p w:rsidR="000215C5" w:rsidRDefault="00703023">
            <w:pPr>
              <w:spacing w:after="120"/>
              <w:jc w:val="both"/>
              <w:rPr>
                <w:szCs w:val="24"/>
              </w:rPr>
            </w:pPr>
            <w:r w:rsidRPr="00CB7B77">
              <w:rPr>
                <w:b/>
                <w:lang w:val="en-GB"/>
              </w:rPr>
              <w:t>Vägledning om hur man fyller i mallposten</w:t>
            </w:r>
            <w:r w:rsidRPr="00CB7B77">
              <w:rPr>
                <w:lang w:val="en-GB"/>
              </w:rPr>
              <w:t xml:space="preserve">: Krävs. </w:t>
            </w:r>
            <w:r>
              <w:t>Den behöriga myndighetens unika EU-kod. Ange den behöriga myndighetens nationella unika kod före medlemsstatens ISO-landskod med två bokstäver.</w:t>
            </w:r>
          </w:p>
          <w:p w:rsidR="000215C5" w:rsidRDefault="00703023">
            <w:pPr>
              <w:spacing w:after="120"/>
              <w:jc w:val="both"/>
              <w:rPr>
                <w:szCs w:val="24"/>
              </w:rPr>
            </w:pPr>
            <w:r>
              <w:t>Om ett antal små behöriga myndigheter (t.ex. kommuner) har viktiga ansvarsuppgifter kan de rapporteras som en enda enhetlig grupp i stället för att varje behörig myndighet rapporteras som en separat enhet.</w:t>
            </w:r>
          </w:p>
          <w:p w:rsidR="000215C5" w:rsidRDefault="00703023">
            <w:pPr>
              <w:spacing w:after="120"/>
              <w:jc w:val="both"/>
              <w:rPr>
                <w:szCs w:val="24"/>
              </w:rPr>
            </w:pPr>
            <w:r>
              <w:rPr>
                <w:b/>
              </w:rPr>
              <w:t>Kvalitetskontroller</w:t>
            </w:r>
            <w:r>
              <w:t>:</w:t>
            </w:r>
            <w:r>
              <w:rPr>
                <w:b/>
              </w:rPr>
              <w:t xml:space="preserve"> </w:t>
            </w:r>
            <w:r>
              <w:t>Kontroll av posten: De första två bokstävern</w:t>
            </w:r>
            <w:r w:rsidR="002E00A7">
              <w:t>a måste vara medlemsstatens ISO</w:t>
            </w:r>
            <w:r w:rsidR="002E00A7">
              <w:noBreakHyphen/>
            </w:r>
            <w:r>
              <w:t>landskod med två bokstäver.</w:t>
            </w:r>
            <w:r>
              <w:rPr>
                <w:rStyle w:val="Fotnotsreferens"/>
              </w:rPr>
              <w:footnoteReference w:id="68"/>
            </w:r>
            <w:r>
              <w:t xml:space="preserve"> </w:t>
            </w:r>
          </w:p>
          <w:p w:rsidR="000215C5" w:rsidRDefault="00703023">
            <w:pPr>
              <w:spacing w:after="120"/>
              <w:jc w:val="both"/>
              <w:rPr>
                <w:b/>
                <w:szCs w:val="24"/>
              </w:rPr>
            </w:pPr>
            <w:r>
              <w:t>Intern kontroll: euCACode måste vara unik.</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competentAuthorityName</w:t>
            </w:r>
          </w:p>
          <w:p w:rsidR="000215C5" w:rsidRDefault="00703023">
            <w:pPr>
              <w:spacing w:after="120"/>
              <w:jc w:val="both"/>
              <w:rPr>
                <w:szCs w:val="24"/>
              </w:rPr>
            </w:pPr>
            <w:r>
              <w:rPr>
                <w:b/>
              </w:rPr>
              <w:t xml:space="preserve">Fälttyp/alternativ: </w:t>
            </w:r>
            <w:r>
              <w:t xml:space="preserve">String250Type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Den behöriga myndighetens officiella namn på engelska.</w:t>
            </w:r>
          </w:p>
          <w:p w:rsidR="000215C5" w:rsidRDefault="00703023">
            <w:pPr>
              <w:spacing w:after="120"/>
              <w:jc w:val="both"/>
              <w:rPr>
                <w:szCs w:val="24"/>
              </w:rPr>
            </w:pPr>
            <w:r>
              <w:t>Om ett antal små behöriga myndigheter (t.ex. kommuner) har viktiga ansvarsuppgifter kan de rapporteras som en enda enhetlig grupp i stället för att varje behörig myndighet rapporteras som en separat enhet. I detta fall ska namn och antal individuella myndigheter som ingår i gruppen anges, t.ex. kommuner i avrinningsdistriktet – 365 myndigheter.</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competentAuthorityNameNL</w:t>
            </w:r>
          </w:p>
          <w:p w:rsidR="000215C5" w:rsidRDefault="00703023">
            <w:pPr>
              <w:spacing w:after="120"/>
              <w:jc w:val="both"/>
              <w:rPr>
                <w:szCs w:val="24"/>
              </w:rPr>
            </w:pPr>
            <w:r>
              <w:rPr>
                <w:b/>
              </w:rPr>
              <w:t xml:space="preserve">Fälttyp/alternativ: </w:t>
            </w:r>
            <w:r>
              <w:t>String250Type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Den behöriga myndighetens officiella namn på medlemsstatens nationella språk.</w:t>
            </w:r>
          </w:p>
          <w:p w:rsidR="000215C5" w:rsidRDefault="00703023">
            <w:pPr>
              <w:spacing w:after="120"/>
              <w:jc w:val="both"/>
              <w:rPr>
                <w:szCs w:val="24"/>
              </w:rPr>
            </w:pPr>
            <w:r>
              <w:t xml:space="preserve">Om ett antal små behöriga myndigheter (t.ex. kommuner) har viktiga ansvarsuppgifter kan de rapporteras som en enda enhetlig grupp i stället för att varje behörig myndighet rapporteras som en separat enhet. </w:t>
            </w:r>
          </w:p>
        </w:tc>
      </w:tr>
      <w:tr w:rsidR="000215C5">
        <w:tc>
          <w:tcPr>
            <w:tcW w:w="9822" w:type="dxa"/>
            <w:shd w:val="clear" w:color="auto" w:fill="auto"/>
          </w:tcPr>
          <w:p w:rsidR="000215C5" w:rsidRDefault="00703023">
            <w:pPr>
              <w:spacing w:after="120"/>
              <w:jc w:val="both"/>
              <w:rPr>
                <w:b/>
                <w:szCs w:val="24"/>
              </w:rPr>
            </w:pPr>
            <w:r>
              <w:rPr>
                <w:b/>
              </w:rPr>
              <w:t>Mallpost</w:t>
            </w:r>
            <w:r>
              <w:t>: competentAuthorityNameNLLanguage</w:t>
            </w:r>
          </w:p>
          <w:p w:rsidR="000215C5" w:rsidRDefault="00703023">
            <w:pPr>
              <w:tabs>
                <w:tab w:val="left" w:pos="2475"/>
              </w:tabs>
              <w:spacing w:after="120"/>
              <w:jc w:val="both"/>
              <w:rPr>
                <w:szCs w:val="24"/>
              </w:rPr>
            </w:pPr>
            <w:r>
              <w:rPr>
                <w:b/>
              </w:rPr>
              <w:t xml:space="preserve">Fälttyp/alternativ: </w:t>
            </w:r>
            <w:r>
              <w:t>LanguageCode_Enum (se bilaga 8j)</w:t>
            </w:r>
          </w:p>
          <w:p w:rsidR="000215C5" w:rsidRDefault="00703023">
            <w:pPr>
              <w:tabs>
                <w:tab w:val="left" w:pos="2475"/>
              </w:tabs>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Använt språk för att rapportera den behöriga myndighetens namn på medlemsstatens nationella språk.       </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 xml:space="preserve">linkToCompetentAuthority </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Den behöriga myndighetens webbplatsadress.</w:t>
            </w:r>
          </w:p>
          <w:p w:rsidR="000215C5" w:rsidRDefault="00703023">
            <w:pPr>
              <w:spacing w:after="120"/>
              <w:jc w:val="both"/>
              <w:rPr>
                <w:szCs w:val="24"/>
              </w:rPr>
            </w:pPr>
            <w:r>
              <w:t>Om en enda grupp myndigheter rapporteras (se vägledning under competentAuthorityName och competentAuthorityNameNL), ange den huvudansvariga behöriga myndighetens webbplatsadress om sådan finns. Om inte, ange ”Not available”.</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acronym</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Frivilligt. Den behöriga myndighetens förkortning (i förekommande fall).</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street</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Frivilligt. Den behöriga myndighetens gatuadress på engelska.</w:t>
            </w:r>
          </w:p>
        </w:tc>
      </w:tr>
      <w:tr w:rsidR="000215C5">
        <w:tc>
          <w:tcPr>
            <w:tcW w:w="9822" w:type="dxa"/>
            <w:shd w:val="clear" w:color="auto" w:fill="auto"/>
          </w:tcPr>
          <w:p w:rsidR="000215C5" w:rsidRDefault="00703023">
            <w:pPr>
              <w:spacing w:after="120"/>
              <w:jc w:val="both"/>
              <w:rPr>
                <w:szCs w:val="24"/>
              </w:rPr>
            </w:pPr>
            <w:r>
              <w:rPr>
                <w:b/>
              </w:rPr>
              <w:t>Mallpost</w:t>
            </w:r>
            <w:r>
              <w:t>:</w:t>
            </w:r>
            <w:r>
              <w:rPr>
                <w:b/>
              </w:rPr>
              <w:t xml:space="preserve"> </w:t>
            </w:r>
            <w:r>
              <w:t>city</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Frivilligt. Den behöriga myndighetens ortsadress på engelska.</w:t>
            </w:r>
          </w:p>
        </w:tc>
      </w:tr>
      <w:tr w:rsidR="000215C5">
        <w:tc>
          <w:tcPr>
            <w:tcW w:w="9822" w:type="dxa"/>
            <w:shd w:val="clear" w:color="auto" w:fill="auto"/>
          </w:tcPr>
          <w:p w:rsidR="000215C5" w:rsidRDefault="00703023">
            <w:pPr>
              <w:spacing w:after="120"/>
              <w:jc w:val="both"/>
              <w:rPr>
                <w:b/>
                <w:szCs w:val="24"/>
              </w:rPr>
            </w:pPr>
            <w:r>
              <w:rPr>
                <w:b/>
              </w:rPr>
              <w:t>Mallpost</w:t>
            </w:r>
            <w:r>
              <w:t>: cityNL</w:t>
            </w:r>
          </w:p>
          <w:p w:rsidR="000215C5" w:rsidRDefault="00703023">
            <w:pPr>
              <w:spacing w:after="120"/>
              <w:jc w:val="both"/>
              <w:rPr>
                <w:b/>
                <w:szCs w:val="24"/>
              </w:rPr>
            </w:pPr>
            <w:r>
              <w:rPr>
                <w:b/>
              </w:rPr>
              <w:t>Fälttyp/alternativ:</w:t>
            </w:r>
            <w:r>
              <w:t xml:space="preserve"> String100Type</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xml:space="preserve">: Frivilligt. Den behöriga myndighetens ortsadress på medlemsstatens nationella språk. </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country</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Frivilligt. Den behöriga myndighetens landsadress på engelska.</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postcode</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Frivilligt. Den behöriga myndighetens postnummer på engelska.</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mainRole</w:t>
            </w:r>
          </w:p>
          <w:p w:rsidR="000215C5" w:rsidRDefault="00703023">
            <w:pPr>
              <w:spacing w:after="120"/>
              <w:jc w:val="both"/>
              <w:rPr>
                <w:szCs w:val="24"/>
              </w:rPr>
            </w:pPr>
            <w:r>
              <w:rPr>
                <w:b/>
              </w:rPr>
              <w:t xml:space="preserve">Fälttyp/alternativ: </w:t>
            </w:r>
            <w:r>
              <w:t>Roles_Enum: Förteckning över funktioner (se bilaga 8k)</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den behöriga myndighetens huvudsakliga funktion eller funktioner inom ramen för genomförandet av vattendirektivet i avrinningsdistriktet. Fler än en funktion kan väljas från uppräkningslistan.</w:t>
            </w:r>
          </w:p>
          <w:p w:rsidR="000215C5" w:rsidRDefault="00703023">
            <w:pPr>
              <w:spacing w:after="120"/>
              <w:jc w:val="both"/>
              <w:rPr>
                <w:szCs w:val="24"/>
              </w:rPr>
            </w:pPr>
            <w:r>
              <w:t>Alla huvudsakliga funktioner i uppräkningslistan måste fullgöras av minst en behörig myndighet i medlemsstaten. En behörig myndighet kan ansvara för alla huvudsakliga funktioner eller så kan funktionerna vara uppdelade på flera behöriga myndigheter.</w:t>
            </w:r>
          </w:p>
          <w:p w:rsidR="000215C5" w:rsidRDefault="00703023">
            <w:pPr>
              <w:spacing w:after="120"/>
              <w:jc w:val="both"/>
              <w:rPr>
                <w:b/>
                <w:szCs w:val="24"/>
              </w:rPr>
            </w:pPr>
            <w:r>
              <w:rPr>
                <w:b/>
              </w:rPr>
              <w:t>Kvalitetskontroller</w:t>
            </w:r>
            <w:r>
              <w:t>: Intern kontroll: Varje huvudsaklig funktion i uppräkningslistan måste fullgöras av minst en behörig myndighet i medlemsstaten.</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otherRole</w:t>
            </w:r>
          </w:p>
          <w:p w:rsidR="000215C5" w:rsidRDefault="00703023">
            <w:pPr>
              <w:spacing w:after="120"/>
              <w:jc w:val="both"/>
              <w:rPr>
                <w:szCs w:val="24"/>
              </w:rPr>
            </w:pPr>
            <w:r>
              <w:rPr>
                <w:b/>
              </w:rPr>
              <w:t xml:space="preserve">Fälttyp/alternativ: </w:t>
            </w:r>
            <w:r>
              <w:t>Roles_Enum:List of roles (se bilaga 8k)</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Frivilligt. I förekommande fall: ange den eller de funktioner där den behöriga myndigheten bistår eller stöder en annan behörig myndighet i en viss funktion. </w:t>
            </w:r>
          </w:p>
        </w:tc>
      </w:tr>
    </w:tbl>
    <w:p w:rsidR="000215C5" w:rsidRDefault="000215C5">
      <w:pPr>
        <w:jc w:val="both"/>
        <w:rPr>
          <w:b/>
        </w:rPr>
      </w:pPr>
    </w:p>
    <w:p w:rsidR="000215C5" w:rsidRDefault="00703023">
      <w:pPr>
        <w:jc w:val="both"/>
        <w:rPr>
          <w:b/>
        </w:rPr>
      </w:pPr>
      <w:r>
        <w:t>Uppgifter ska rapporteras för varje avrinningsdistrikt i medlemsstaten.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0215C5">
        <w:tc>
          <w:tcPr>
            <w:tcW w:w="9822" w:type="dxa"/>
            <w:shd w:val="clear" w:color="auto" w:fill="auto"/>
          </w:tcPr>
          <w:p w:rsidR="000215C5" w:rsidRDefault="00703023">
            <w:pPr>
              <w:spacing w:after="120"/>
              <w:jc w:val="both"/>
              <w:rPr>
                <w:b/>
                <w:szCs w:val="24"/>
              </w:rPr>
            </w:pPr>
            <w:r>
              <w:rPr>
                <w:b/>
              </w:rPr>
              <w:t>Mall: RBDSUCA (fortsättning)</w:t>
            </w:r>
          </w:p>
        </w:tc>
      </w:tr>
      <w:tr w:rsidR="000215C5">
        <w:tc>
          <w:tcPr>
            <w:tcW w:w="9822" w:type="dxa"/>
            <w:shd w:val="clear" w:color="auto" w:fill="auto"/>
          </w:tcPr>
          <w:p w:rsidR="000215C5" w:rsidRDefault="00703023">
            <w:pPr>
              <w:spacing w:after="120"/>
              <w:jc w:val="both"/>
              <w:rPr>
                <w:b/>
                <w:i/>
                <w:szCs w:val="24"/>
              </w:rPr>
            </w:pPr>
            <w:r>
              <w:rPr>
                <w:b/>
                <w:i/>
              </w:rPr>
              <w:t>Class RBD</w:t>
            </w:r>
          </w:p>
          <w:p w:rsidR="000215C5" w:rsidRDefault="00703023">
            <w:pPr>
              <w:spacing w:after="120"/>
              <w:jc w:val="both"/>
              <w:rPr>
                <w:i/>
                <w:szCs w:val="24"/>
              </w:rPr>
            </w:pPr>
            <w:r>
              <w:rPr>
                <w:b/>
                <w:i/>
              </w:rPr>
              <w:t>Egenskaper</w:t>
            </w:r>
            <w:r>
              <w:rPr>
                <w:i/>
              </w:rPr>
              <w:t>: maxOccurs = unbounded minOccurs = 1</w:t>
            </w:r>
          </w:p>
        </w:tc>
      </w:tr>
      <w:tr w:rsidR="000215C5">
        <w:tc>
          <w:tcPr>
            <w:tcW w:w="9822" w:type="dxa"/>
            <w:shd w:val="clear" w:color="auto" w:fill="auto"/>
          </w:tcPr>
          <w:p w:rsidR="000215C5" w:rsidRDefault="00703023">
            <w:pPr>
              <w:spacing w:after="120"/>
              <w:jc w:val="both"/>
              <w:rPr>
                <w:b/>
                <w:szCs w:val="24"/>
              </w:rPr>
            </w:pPr>
            <w:r>
              <w:rPr>
                <w:b/>
              </w:rPr>
              <w:t>Mallpost</w:t>
            </w:r>
            <w:r>
              <w:t>: euRBDCode</w:t>
            </w:r>
          </w:p>
          <w:p w:rsidR="000215C5" w:rsidRDefault="00703023">
            <w:pPr>
              <w:spacing w:after="120"/>
              <w:jc w:val="both"/>
              <w:rPr>
                <w:szCs w:val="24"/>
              </w:rPr>
            </w:pPr>
            <w:r>
              <w:rPr>
                <w:b/>
              </w:rPr>
              <w:t xml:space="preserve">Fälttyp/alternativ: </w:t>
            </w:r>
            <w:r>
              <w:t>FeatureUniqueEUCodeType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Unik EU-kod för avrinningsdistriktet. Ange avrinningsdistriktets nationella unika kod före medlemsstatens ISO-landskod med två bokstäver.</w:t>
            </w:r>
          </w:p>
          <w:p w:rsidR="000215C5" w:rsidRDefault="00703023">
            <w:pPr>
              <w:spacing w:after="120"/>
              <w:jc w:val="both"/>
              <w:rPr>
                <w:szCs w:val="24"/>
              </w:rPr>
            </w:pPr>
            <w:r>
              <w:rPr>
                <w:b/>
              </w:rPr>
              <w:t>Kvalitetskontroller</w:t>
            </w:r>
            <w:r>
              <w:t>: Kontroll av posten: De första två bokstävern</w:t>
            </w:r>
            <w:r w:rsidR="002E00A7">
              <w:t>a måste vara medlemsstatens ISO</w:t>
            </w:r>
            <w:r w:rsidR="002E00A7">
              <w:noBreakHyphen/>
            </w:r>
            <w:r>
              <w:t xml:space="preserve">landskod med två bokstäver. </w:t>
            </w:r>
            <w:r>
              <w:rPr>
                <w:rStyle w:val="Fotnotsreferens"/>
              </w:rPr>
              <w:footnoteReference w:id="69"/>
            </w:r>
          </w:p>
          <w:p w:rsidR="000215C5" w:rsidRDefault="00703023">
            <w:pPr>
              <w:spacing w:after="120"/>
              <w:jc w:val="both"/>
              <w:rPr>
                <w:szCs w:val="24"/>
              </w:rPr>
            </w:pPr>
            <w:r>
              <w:t>Intern kontroll: euRBDCode måste vara unik.</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rbdName</w:t>
            </w:r>
          </w:p>
          <w:p w:rsidR="000215C5" w:rsidRDefault="00703023">
            <w:pPr>
              <w:spacing w:after="120"/>
              <w:jc w:val="both"/>
              <w:rPr>
                <w:szCs w:val="24"/>
              </w:rPr>
            </w:pPr>
            <w:r>
              <w:rPr>
                <w:b/>
              </w:rPr>
              <w:t xml:space="preserve">Fälttyp/alternativ: </w:t>
            </w:r>
            <w:r>
              <w:t>String250Type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Lättförståeliga namn på avrinningsdistriktet på engelska som är meningsfulla utanför avrinningsdistriktet eller medlemsstaten. </w:t>
            </w:r>
          </w:p>
        </w:tc>
      </w:tr>
      <w:tr w:rsidR="000215C5">
        <w:tc>
          <w:tcPr>
            <w:tcW w:w="9822" w:type="dxa"/>
            <w:shd w:val="clear" w:color="auto" w:fill="auto"/>
          </w:tcPr>
          <w:p w:rsidR="000215C5" w:rsidRDefault="00703023">
            <w:pPr>
              <w:spacing w:after="120"/>
              <w:jc w:val="both"/>
              <w:rPr>
                <w:b/>
                <w:szCs w:val="24"/>
              </w:rPr>
            </w:pPr>
            <w:r>
              <w:rPr>
                <w:b/>
              </w:rPr>
              <w:t>Mallpost</w:t>
            </w:r>
            <w:r>
              <w:t>: rbdArea</w:t>
            </w:r>
          </w:p>
          <w:p w:rsidR="000215C5" w:rsidRDefault="00703023">
            <w:pPr>
              <w:tabs>
                <w:tab w:val="left" w:pos="2430"/>
              </w:tabs>
              <w:spacing w:after="120"/>
              <w:jc w:val="both"/>
              <w:rPr>
                <w:szCs w:val="24"/>
              </w:rPr>
            </w:pPr>
            <w:r>
              <w:rPr>
                <w:b/>
              </w:rPr>
              <w:t xml:space="preserve">Fälttyp/alternativ: </w:t>
            </w:r>
            <w:r>
              <w:t>NumberDecimalType</w:t>
            </w:r>
          </w:p>
          <w:p w:rsidR="000215C5" w:rsidRDefault="00703023">
            <w:pPr>
              <w:tabs>
                <w:tab w:val="left" w:pos="2430"/>
              </w:tabs>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Avrinningsdistriktets yta i km</w:t>
            </w:r>
            <w:r>
              <w:rPr>
                <w:vertAlign w:val="superscript"/>
              </w:rPr>
              <w:t>2</w:t>
            </w:r>
            <w:r>
              <w:t xml:space="preserve">, </w:t>
            </w:r>
            <w:r>
              <w:rPr>
                <w:u w:val="single"/>
              </w:rPr>
              <w:t>inklusive</w:t>
            </w:r>
            <w:r>
              <w:t xml:space="preserve"> kustvatten men </w:t>
            </w:r>
            <w:r>
              <w:rPr>
                <w:u w:val="single"/>
              </w:rPr>
              <w:t>exklusive</w:t>
            </w:r>
            <w:r>
              <w:t xml:space="preserve"> territorialvatten enligt kraven avseende kemisk status i artikel 2.1 i vattendirektivet.</w:t>
            </w:r>
          </w:p>
        </w:tc>
      </w:tr>
      <w:tr w:rsidR="000215C5">
        <w:tc>
          <w:tcPr>
            <w:tcW w:w="9822" w:type="dxa"/>
            <w:shd w:val="clear" w:color="auto" w:fill="auto"/>
          </w:tcPr>
          <w:p w:rsidR="000215C5" w:rsidRDefault="00703023">
            <w:pPr>
              <w:spacing w:after="120"/>
              <w:jc w:val="both"/>
              <w:rPr>
                <w:b/>
                <w:szCs w:val="24"/>
              </w:rPr>
            </w:pPr>
            <w:r>
              <w:rPr>
                <w:b/>
              </w:rPr>
              <w:t>Mallpost</w:t>
            </w:r>
            <w:r>
              <w:t>: rbdAreaExclCW</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Avrinningsdistriktets yta i km</w:t>
            </w:r>
            <w:r>
              <w:rPr>
                <w:vertAlign w:val="superscript"/>
              </w:rPr>
              <w:t>2</w:t>
            </w:r>
            <w:r>
              <w:t xml:space="preserve">, </w:t>
            </w:r>
            <w:r>
              <w:rPr>
                <w:u w:val="single"/>
              </w:rPr>
              <w:t>exklusive</w:t>
            </w:r>
            <w:r>
              <w:t xml:space="preserve"> kustvatten och territorialvatten. </w:t>
            </w:r>
          </w:p>
        </w:tc>
      </w:tr>
      <w:tr w:rsidR="000215C5">
        <w:tc>
          <w:tcPr>
            <w:tcW w:w="9822" w:type="dxa"/>
            <w:shd w:val="clear" w:color="auto" w:fill="auto"/>
          </w:tcPr>
          <w:p w:rsidR="000215C5" w:rsidRDefault="00703023">
            <w:pPr>
              <w:spacing w:after="120"/>
              <w:jc w:val="both"/>
              <w:rPr>
                <w:szCs w:val="24"/>
              </w:rPr>
            </w:pPr>
            <w:r>
              <w:rPr>
                <w:b/>
              </w:rPr>
              <w:t>Mallpost</w:t>
            </w:r>
            <w:r>
              <w:t>: internationalRBD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avrinningsdistriktet ingår i ett internationellt avrinningsdistrikt. </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internationalRBDName</w:t>
            </w:r>
          </w:p>
          <w:p w:rsidR="000215C5" w:rsidRDefault="00703023">
            <w:pPr>
              <w:spacing w:after="120"/>
              <w:jc w:val="both"/>
              <w:rPr>
                <w:szCs w:val="24"/>
              </w:rPr>
            </w:pPr>
            <w:r>
              <w:rPr>
                <w:b/>
              </w:rPr>
              <w:t xml:space="preserve">Fälttyp/alternativ: </w:t>
            </w:r>
            <w:r>
              <w:t>String250Type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det engelska namnet på det internationella avrinningsdistrikt som detta avrinningsdistrikt ingår i.</w:t>
            </w:r>
          </w:p>
          <w:p w:rsidR="000215C5" w:rsidRDefault="00703023">
            <w:pPr>
              <w:spacing w:after="120"/>
              <w:jc w:val="both"/>
              <w:rPr>
                <w:b/>
                <w:szCs w:val="24"/>
              </w:rPr>
            </w:pPr>
            <w:r>
              <w:rPr>
                <w:b/>
              </w:rPr>
              <w:t>Kvalitetskontroller</w:t>
            </w:r>
            <w:r>
              <w:t>: Villkorlig kontroll: Rapportera om internationalRBD är ”Yes”.</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primeCompetentAuthority</w:t>
            </w:r>
          </w:p>
          <w:p w:rsidR="000215C5" w:rsidRDefault="00703023">
            <w:pPr>
              <w:spacing w:after="120"/>
              <w:jc w:val="both"/>
              <w:rPr>
                <w:szCs w:val="24"/>
              </w:rPr>
            </w:pPr>
            <w:r>
              <w:rPr>
                <w:b/>
              </w:rPr>
              <w:t xml:space="preserve">Fälttyp/alternativ: </w:t>
            </w:r>
            <w:r>
              <w:t>FeatureUniqueEUCodeType</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euCACode för den huvudansvariga behöriga myndigheten för avrinningsdistriktet.</w:t>
            </w:r>
          </w:p>
          <w:p w:rsidR="000215C5" w:rsidRDefault="00703023">
            <w:pPr>
              <w:spacing w:after="120"/>
              <w:jc w:val="both"/>
              <w:rPr>
                <w:szCs w:val="24"/>
              </w:rPr>
            </w:pPr>
            <w:r>
              <w:t>Vanligen finns det bara en behörig myndighet för varje avrinningsdistrikt. Möjligheten att utse fler än en huvudansvarig behörig myndighet är begränsad till de fall där det finns fler än en behörig myndighet med likvärdig behörighetsnivå (t.ex. behörighet över olika geografiska områden inom avrinningsdistriktet) utan hierarki och/eller fall där det inte finns något organ som har en definierad samordningsroll.</w:t>
            </w:r>
          </w:p>
          <w:p w:rsidR="000215C5" w:rsidRDefault="00703023">
            <w:pPr>
              <w:spacing w:after="120"/>
              <w:jc w:val="both"/>
              <w:rPr>
                <w:b/>
                <w:szCs w:val="24"/>
              </w:rPr>
            </w:pPr>
            <w:r>
              <w:rPr>
                <w:b/>
              </w:rPr>
              <w:t>Kvalitetskontroller</w:t>
            </w:r>
            <w:r>
              <w:t>: Intern kontroll: De rapporterade euCACode(s) måste överensstämma med de koder som rapporteras i RBDSUCA/CompetentAuthority/euCACode.</w:t>
            </w:r>
          </w:p>
        </w:tc>
      </w:tr>
      <w:tr w:rsidR="000215C5">
        <w:tc>
          <w:tcPr>
            <w:tcW w:w="9822" w:type="dxa"/>
            <w:shd w:val="clear" w:color="auto" w:fill="auto"/>
          </w:tcPr>
          <w:p w:rsidR="000215C5" w:rsidRDefault="00703023">
            <w:pPr>
              <w:spacing w:after="120"/>
              <w:jc w:val="both"/>
              <w:rPr>
                <w:b/>
                <w:szCs w:val="24"/>
              </w:rPr>
            </w:pPr>
            <w:r>
              <w:rPr>
                <w:b/>
              </w:rPr>
              <w:t>Mallpost</w:t>
            </w:r>
            <w:r>
              <w:t>:</w:t>
            </w:r>
            <w:r>
              <w:rPr>
                <w:b/>
              </w:rPr>
              <w:t xml:space="preserve"> </w:t>
            </w:r>
            <w:r>
              <w:t>otherCompetentAuthority</w:t>
            </w:r>
          </w:p>
          <w:p w:rsidR="000215C5" w:rsidRDefault="00703023">
            <w:pPr>
              <w:spacing w:after="120"/>
              <w:jc w:val="both"/>
              <w:rPr>
                <w:szCs w:val="24"/>
              </w:rPr>
            </w:pPr>
            <w:r>
              <w:rPr>
                <w:b/>
              </w:rPr>
              <w:t>Fälttyp/alternativ/förhållande</w:t>
            </w:r>
            <w:r>
              <w:t>: FeatureUniqueEUCodeType</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Villkorlig. I förekommande fall, ange euCACode(s) för den eller de andra behöriga myndigheterna i avrinningsdistriktet.</w:t>
            </w:r>
          </w:p>
          <w:p w:rsidR="000215C5" w:rsidRDefault="00703023">
            <w:pPr>
              <w:spacing w:after="120"/>
              <w:jc w:val="both"/>
              <w:rPr>
                <w:b/>
                <w:szCs w:val="24"/>
              </w:rPr>
            </w:pPr>
            <w:r>
              <w:rPr>
                <w:b/>
              </w:rPr>
              <w:t>Kvalitetskontroller</w:t>
            </w:r>
            <w:r>
              <w:t xml:space="preserve">: Intern kontroll: De rapporterade euCACode(s) måste överensstämma med de koder som rapporteras i </w:t>
            </w:r>
            <w:r>
              <w:rPr>
                <w:i/>
              </w:rPr>
              <w:t>RBDSUCA</w:t>
            </w:r>
            <w:r>
              <w:t>/</w:t>
            </w:r>
            <w:r>
              <w:rPr>
                <w:i/>
              </w:rPr>
              <w:t>CompetentAuthority</w:t>
            </w:r>
            <w:r>
              <w:t>/euCACode.</w:t>
            </w:r>
          </w:p>
        </w:tc>
      </w:tr>
      <w:tr w:rsidR="000215C5">
        <w:tc>
          <w:tcPr>
            <w:tcW w:w="9822" w:type="dxa"/>
            <w:shd w:val="clear" w:color="auto" w:fill="auto"/>
          </w:tcPr>
          <w:p w:rsidR="000215C5" w:rsidRDefault="00703023">
            <w:pPr>
              <w:spacing w:after="120"/>
              <w:jc w:val="both"/>
              <w:rPr>
                <w:b/>
                <w:szCs w:val="24"/>
              </w:rPr>
            </w:pPr>
            <w:r>
              <w:rPr>
                <w:b/>
              </w:rPr>
              <w:t xml:space="preserve">Mallpost: </w:t>
            </w:r>
            <w:r>
              <w:t>subUnitsDefined</w:t>
            </w:r>
          </w:p>
          <w:p w:rsidR="000215C5" w:rsidRDefault="00703023">
            <w:pPr>
              <w:spacing w:after="120"/>
              <w:jc w:val="both"/>
              <w:rPr>
                <w:szCs w:val="24"/>
              </w:rPr>
            </w:pPr>
            <w:r>
              <w:rPr>
                <w:b/>
              </w:rPr>
              <w:t>Fälttyp/alternativ/förhållande</w:t>
            </w:r>
            <w:r>
              <w:t>: 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Ange om avrinningsdistriktet har delats in i delavrinningsdistrikt.</w:t>
            </w:r>
          </w:p>
        </w:tc>
      </w:tr>
    </w:tbl>
    <w:p w:rsidR="000215C5" w:rsidRDefault="000215C5">
      <w:pPr>
        <w:jc w:val="both"/>
        <w:rPr>
          <w:b/>
        </w:rPr>
      </w:pPr>
    </w:p>
    <w:p w:rsidR="000215C5" w:rsidRDefault="00703023">
      <w:pPr>
        <w:jc w:val="both"/>
        <w:rPr>
          <w:b/>
        </w:rPr>
      </w:pPr>
      <w:r>
        <w:t>Följande klass (underkategori till RBD) används för att rapportera delavrinningsdistrikt inom avrinningsdistriktet.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0215C5">
        <w:tc>
          <w:tcPr>
            <w:tcW w:w="9822" w:type="dxa"/>
            <w:shd w:val="clear" w:color="auto" w:fill="auto"/>
          </w:tcPr>
          <w:p w:rsidR="000215C5" w:rsidRDefault="00703023">
            <w:pPr>
              <w:spacing w:after="120"/>
              <w:jc w:val="both"/>
              <w:rPr>
                <w:b/>
                <w:szCs w:val="24"/>
              </w:rPr>
            </w:pPr>
            <w:r>
              <w:rPr>
                <w:b/>
              </w:rPr>
              <w:t>Mall: RBDSUCA</w:t>
            </w:r>
          </w:p>
        </w:tc>
      </w:tr>
      <w:tr w:rsidR="000215C5">
        <w:tc>
          <w:tcPr>
            <w:tcW w:w="9822" w:type="dxa"/>
            <w:shd w:val="clear" w:color="auto" w:fill="auto"/>
          </w:tcPr>
          <w:p w:rsidR="000215C5" w:rsidRDefault="00703023">
            <w:pPr>
              <w:spacing w:after="120"/>
              <w:jc w:val="both"/>
              <w:rPr>
                <w:b/>
                <w:i/>
                <w:szCs w:val="24"/>
              </w:rPr>
            </w:pPr>
            <w:r>
              <w:rPr>
                <w:b/>
                <w:i/>
              </w:rPr>
              <w:t>Klass: SubUnit</w:t>
            </w:r>
          </w:p>
          <w:p w:rsidR="000215C5" w:rsidRDefault="00703023">
            <w:pPr>
              <w:spacing w:after="120"/>
              <w:jc w:val="both"/>
              <w:rPr>
                <w:i/>
                <w:szCs w:val="24"/>
              </w:rPr>
            </w:pPr>
            <w:r>
              <w:rPr>
                <w:b/>
                <w:i/>
              </w:rPr>
              <w:t xml:space="preserve">Egenskaper: </w:t>
            </w:r>
            <w:r>
              <w:rPr>
                <w:i/>
              </w:rPr>
              <w:t>maxOccurs = unbounded minOccurs = 0</w:t>
            </w:r>
          </w:p>
          <w:p w:rsidR="000215C5" w:rsidRDefault="00703023">
            <w:pPr>
              <w:spacing w:after="120"/>
              <w:jc w:val="both"/>
              <w:rPr>
                <w:i/>
                <w:szCs w:val="24"/>
              </w:rPr>
            </w:pPr>
            <w:r>
              <w:rPr>
                <w:i/>
              </w:rPr>
              <w:t>Villkorlig kontroll: rapportera minst 1 delavrinningsdistrikt om subUnitsDefined är ”Yes”.</w:t>
            </w:r>
          </w:p>
        </w:tc>
      </w:tr>
      <w:tr w:rsidR="000215C5">
        <w:tc>
          <w:tcPr>
            <w:tcW w:w="9822" w:type="dxa"/>
            <w:shd w:val="clear" w:color="auto" w:fill="auto"/>
          </w:tcPr>
          <w:p w:rsidR="000215C5" w:rsidRDefault="00703023">
            <w:pPr>
              <w:spacing w:after="120"/>
              <w:jc w:val="both"/>
              <w:rPr>
                <w:b/>
                <w:szCs w:val="24"/>
              </w:rPr>
            </w:pPr>
            <w:r>
              <w:rPr>
                <w:b/>
              </w:rPr>
              <w:t xml:space="preserve">Mallpost: </w:t>
            </w:r>
            <w:r>
              <w:t>euSubUnitCode</w:t>
            </w:r>
          </w:p>
          <w:p w:rsidR="000215C5" w:rsidRDefault="00703023">
            <w:pPr>
              <w:spacing w:after="120"/>
              <w:jc w:val="both"/>
              <w:rPr>
                <w:szCs w:val="24"/>
              </w:rPr>
            </w:pPr>
            <w:r>
              <w:rPr>
                <w:b/>
              </w:rPr>
              <w:t xml:space="preserve">Fälttyp/alternativ: </w:t>
            </w:r>
            <w:r>
              <w:t>FeatureUniqueEUCodeType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w:t>
            </w:r>
            <w:r>
              <w:rPr>
                <w:rStyle w:val="Fotnotsreferens"/>
              </w:rPr>
              <w:footnoteReference w:id="70"/>
            </w:r>
            <w:r>
              <w:t>. Om avrinningsdistriktet har delats in i delavrinningsdistrikt, ange den unika EU-koden för varje delavrinningsdistrikt. Ange delavrinningsdistriktets nationella unika kod före medlemsstatens ISO-landskod med två bokstäver</w:t>
            </w:r>
            <w:r>
              <w:rPr>
                <w:rStyle w:val="Fotnotsreferens"/>
              </w:rPr>
              <w:footnoteReference w:id="71"/>
            </w:r>
            <w:r>
              <w:t>.</w:t>
            </w:r>
          </w:p>
        </w:tc>
      </w:tr>
      <w:tr w:rsidR="000215C5">
        <w:tc>
          <w:tcPr>
            <w:tcW w:w="9822" w:type="dxa"/>
            <w:shd w:val="clear" w:color="auto" w:fill="auto"/>
          </w:tcPr>
          <w:p w:rsidR="000215C5" w:rsidRDefault="00703023">
            <w:pPr>
              <w:spacing w:after="120"/>
              <w:jc w:val="both"/>
              <w:rPr>
                <w:b/>
                <w:szCs w:val="24"/>
              </w:rPr>
            </w:pPr>
            <w:r>
              <w:rPr>
                <w:b/>
              </w:rPr>
              <w:t xml:space="preserve">Mallpost: </w:t>
            </w:r>
            <w:r>
              <w:t>subUnitName</w:t>
            </w:r>
          </w:p>
          <w:p w:rsidR="000215C5" w:rsidRDefault="00703023">
            <w:pPr>
              <w:tabs>
                <w:tab w:val="left" w:pos="2355"/>
              </w:tabs>
              <w:spacing w:after="120"/>
              <w:jc w:val="both"/>
              <w:rPr>
                <w:szCs w:val="24"/>
              </w:rPr>
            </w:pPr>
            <w:r>
              <w:rPr>
                <w:b/>
              </w:rPr>
              <w:t xml:space="preserve">Fälttyp/alternativ: </w:t>
            </w:r>
            <w:r>
              <w:t>String250Type</w:t>
            </w:r>
          </w:p>
          <w:p w:rsidR="000215C5" w:rsidRDefault="00703023">
            <w:pPr>
              <w:tabs>
                <w:tab w:val="left" w:pos="2355"/>
              </w:tabs>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Lättförståeliga namn på delavrinningsdistrikten på engelska som är meningsfulla utanför avrinningsdistriktet eller medlemsstaten.</w:t>
            </w:r>
          </w:p>
        </w:tc>
      </w:tr>
      <w:tr w:rsidR="000215C5">
        <w:tc>
          <w:tcPr>
            <w:tcW w:w="9822" w:type="dxa"/>
            <w:shd w:val="clear" w:color="auto" w:fill="auto"/>
          </w:tcPr>
          <w:p w:rsidR="000215C5" w:rsidRDefault="00703023">
            <w:pPr>
              <w:spacing w:after="120"/>
              <w:jc w:val="both"/>
              <w:rPr>
                <w:b/>
                <w:szCs w:val="24"/>
              </w:rPr>
            </w:pPr>
            <w:r>
              <w:rPr>
                <w:b/>
              </w:rPr>
              <w:t xml:space="preserve">Mallpost: </w:t>
            </w:r>
            <w:r>
              <w:t>subUnitArea</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tabs>
                <w:tab w:val="left" w:pos="2250"/>
              </w:tabs>
              <w:spacing w:after="120"/>
              <w:jc w:val="both"/>
              <w:rPr>
                <w:b/>
                <w:szCs w:val="24"/>
              </w:rPr>
            </w:pPr>
            <w:r>
              <w:rPr>
                <w:b/>
              </w:rPr>
              <w:t>Vägledning om hur man fyller i mallposten</w:t>
            </w:r>
            <w:r>
              <w:t>: Krävs. Delavrinningsdistriktets yta i km</w:t>
            </w:r>
            <w:r>
              <w:rPr>
                <w:vertAlign w:val="superscript"/>
              </w:rPr>
              <w:t>2</w:t>
            </w:r>
            <w:r>
              <w:t>, inklusive kustvatten.</w:t>
            </w:r>
          </w:p>
        </w:tc>
      </w:tr>
      <w:tr w:rsidR="000215C5">
        <w:tc>
          <w:tcPr>
            <w:tcW w:w="9822" w:type="dxa"/>
            <w:shd w:val="clear" w:color="auto" w:fill="auto"/>
          </w:tcPr>
          <w:p w:rsidR="000215C5" w:rsidRDefault="00703023">
            <w:pPr>
              <w:spacing w:after="120"/>
              <w:jc w:val="both"/>
              <w:rPr>
                <w:b/>
                <w:szCs w:val="24"/>
              </w:rPr>
            </w:pPr>
            <w:r>
              <w:rPr>
                <w:b/>
              </w:rPr>
              <w:t xml:space="preserve">Mallpost: </w:t>
            </w:r>
            <w:r>
              <w:t>subUnitAreaExclCW</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Delavrinningsdistriktets yta i km</w:t>
            </w:r>
            <w:r>
              <w:rPr>
                <w:vertAlign w:val="superscript"/>
              </w:rPr>
              <w:t>2</w:t>
            </w:r>
            <w:r>
              <w:t>, exklusive kustvatten och territorialvatten.</w:t>
            </w:r>
          </w:p>
        </w:tc>
      </w:tr>
    </w:tbl>
    <w:p w:rsidR="000215C5" w:rsidRDefault="000215C5">
      <w:pPr>
        <w:jc w:val="both"/>
      </w:pPr>
    </w:p>
    <w:p w:rsidR="000215C5" w:rsidRDefault="00703023">
      <w:pPr>
        <w:pStyle w:val="Rubrik3"/>
      </w:pPr>
      <w:r>
        <w:t>GIS-information:</w:t>
      </w:r>
    </w:p>
    <w:p w:rsidR="000215C5" w:rsidRDefault="00703023">
      <w:pPr>
        <w:jc w:val="both"/>
      </w:pPr>
      <w:r>
        <w:t>GIS-information i GML-format ska rapporteras för avrinningsdistrikt och delavrinningsdistrikt enligt anvisningarna i vägledningen om rapportering av rumsliga uppgifter (se bilaga 5, GIS-vägledning).</w:t>
      </w:r>
    </w:p>
    <w:p w:rsidR="000215C5" w:rsidRDefault="00703023">
      <w:pPr>
        <w:pStyle w:val="Rubrik3"/>
      </w:pPr>
      <w:r>
        <w:t>Vägledning om innehållet i förvaltningsplanerna för avrinningsdistrikt eller i bakgrundsdokument</w:t>
      </w:r>
    </w:p>
    <w:p w:rsidR="000215C5" w:rsidRDefault="00703023">
      <w:pPr>
        <w:jc w:val="both"/>
      </w:pPr>
      <w:r>
        <w:t>Nedan ges vägledning om de uppgifter som kommissionen förväntar sig att medlemsstaterna lämnar i de relevanta kapitlen om behöriga myndigheter, avrinningsdistrikt och delavrinningsdistrikt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rPr>
          <w:i/>
        </w:rPr>
      </w:pPr>
      <w:r>
        <w:rPr>
          <w:i/>
        </w:rPr>
        <w:t>Ändringar av behöriga myndigheter</w:t>
      </w:r>
    </w:p>
    <w:p w:rsidR="000215C5" w:rsidRDefault="00703023">
      <w:pPr>
        <w:jc w:val="both"/>
      </w:pPr>
      <w:r>
        <w:t>En förklaring ska lämnas om de behöriga myndigheterna eller deras funktioner har ändrats sedan de första förvaltningsplanerna offentliggjordes. Detta ska omfatta uppgifter om skälen till ändringarna och hur ändringarna kommer att stödja ett förbättrat genomförande av vattendirektivet.</w:t>
      </w:r>
    </w:p>
    <w:p w:rsidR="000215C5" w:rsidRDefault="00703023">
      <w:pPr>
        <w:jc w:val="both"/>
        <w:rPr>
          <w:i/>
        </w:rPr>
      </w:pPr>
      <w:r>
        <w:rPr>
          <w:i/>
        </w:rPr>
        <w:t>Samordning</w:t>
      </w:r>
    </w:p>
    <w:p w:rsidR="000215C5" w:rsidRDefault="00703023">
      <w:pPr>
        <w:jc w:val="both"/>
      </w:pPr>
      <w:r>
        <w:t xml:space="preserve">En detaljerad sammanfattning av hur de behöriga myndigheterna samordnas inom samma avrinningsdistrikt och medlemsstat ska lämnas. </w:t>
      </w:r>
      <w:r w:rsidR="00A07D35">
        <w:t>Detta ska omfatta följande:</w:t>
      </w:r>
    </w:p>
    <w:p w:rsidR="000215C5" w:rsidRDefault="00703023">
      <w:pPr>
        <w:numPr>
          <w:ilvl w:val="0"/>
          <w:numId w:val="18"/>
        </w:numPr>
        <w:jc w:val="both"/>
      </w:pPr>
      <w:r>
        <w:t>Hur behöriga myndigheter med olika funktioner samordnas.</w:t>
      </w:r>
    </w:p>
    <w:p w:rsidR="000215C5" w:rsidRDefault="00703023">
      <w:pPr>
        <w:numPr>
          <w:ilvl w:val="0"/>
          <w:numId w:val="18"/>
        </w:numPr>
        <w:jc w:val="both"/>
      </w:pPr>
      <w:r>
        <w:t>Hur behöriga myndigheter med gemensamma funktioner (t.ex. för utfärdande av tillstånd, verkställande osv.) samordnas.</w:t>
      </w:r>
    </w:p>
    <w:p w:rsidR="000215C5" w:rsidRDefault="00703023">
      <w:pPr>
        <w:pStyle w:val="Rubrik1"/>
        <w:jc w:val="both"/>
      </w:pPr>
      <w:bookmarkStart w:id="302" w:name="_Toc400669475"/>
      <w:bookmarkStart w:id="303" w:name="_Toc400669941"/>
      <w:bookmarkStart w:id="304" w:name="_Toc400670279"/>
      <w:bookmarkStart w:id="305" w:name="_Toc400670613"/>
      <w:bookmarkStart w:id="306" w:name="_Toc400670945"/>
      <w:bookmarkStart w:id="307" w:name="_Toc400671249"/>
      <w:bookmarkStart w:id="308" w:name="_Toc400671555"/>
      <w:bookmarkStart w:id="309" w:name="_Toc400671849"/>
      <w:bookmarkStart w:id="310" w:name="_Toc400714684"/>
      <w:bookmarkStart w:id="311" w:name="_Toc400714911"/>
      <w:bookmarkStart w:id="312" w:name="_Toc400715135"/>
      <w:bookmarkStart w:id="313" w:name="_Toc400715355"/>
      <w:bookmarkStart w:id="314" w:name="_Toc400715570"/>
      <w:bookmarkStart w:id="315" w:name="_Toc400715782"/>
      <w:bookmarkStart w:id="316" w:name="_Toc400715989"/>
      <w:bookmarkStart w:id="317" w:name="_Toc400716195"/>
      <w:bookmarkStart w:id="318" w:name="_Toc400716395"/>
      <w:bookmarkStart w:id="319" w:name="_Toc400716595"/>
      <w:bookmarkStart w:id="320" w:name="_Toc400716794"/>
      <w:bookmarkStart w:id="321" w:name="_Toc400716979"/>
      <w:bookmarkStart w:id="322" w:name="_Toc400717159"/>
      <w:bookmarkStart w:id="323" w:name="_Toc400717332"/>
      <w:bookmarkStart w:id="324" w:name="_Toc400717507"/>
      <w:bookmarkStart w:id="325" w:name="_Toc400717676"/>
      <w:bookmarkStart w:id="326" w:name="_Toc400717826"/>
      <w:bookmarkStart w:id="327" w:name="_Toc400717958"/>
      <w:bookmarkStart w:id="328" w:name="_Toc400720353"/>
      <w:bookmarkStart w:id="329" w:name="_Toc375220078"/>
      <w:bookmarkStart w:id="330" w:name="_Toc386464237"/>
      <w:bookmarkStart w:id="331" w:name="_Toc425522062"/>
      <w:bookmarkStart w:id="332" w:name="_Toc432666074"/>
      <w:bookmarkStart w:id="333" w:name="_Toc437520270"/>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t>Rapportering på nivån för avrinningsdistrikt/delavrinningsdistrikt för ytvatten (mallen SWMET)</w:t>
      </w:r>
      <w:bookmarkEnd w:id="329"/>
      <w:bookmarkEnd w:id="330"/>
      <w:bookmarkEnd w:id="331"/>
      <w:bookmarkEnd w:id="332"/>
      <w:bookmarkEnd w:id="333"/>
    </w:p>
    <w:p w:rsidR="000215C5" w:rsidRDefault="00703023">
      <w:pPr>
        <w:pStyle w:val="Rubrik2"/>
        <w:jc w:val="both"/>
      </w:pPr>
      <w:bookmarkStart w:id="334" w:name="_Toc425522063"/>
      <w:bookmarkStart w:id="335" w:name="_Toc432666075"/>
      <w:bookmarkStart w:id="336" w:name="_Toc437520271"/>
      <w:bookmarkStart w:id="337" w:name="_Toc375220079"/>
      <w:bookmarkStart w:id="338" w:name="_Toc386464238"/>
      <w:r>
        <w:t>Översikt av rapportering av metoder för ytvattenförekomster</w:t>
      </w:r>
      <w:bookmarkEnd w:id="334"/>
      <w:bookmarkEnd w:id="335"/>
      <w:bookmarkEnd w:id="336"/>
    </w:p>
    <w:p w:rsidR="000215C5" w:rsidRDefault="00703023">
      <w:pPr>
        <w:jc w:val="both"/>
      </w:pPr>
      <w:r>
        <w:t>Metoder för ytvattenförekomster rapporteras för varje avrinningsdistrikt. Innehållet i rapporteringen struktureras i följande delkapitel i denna vägledning:</w:t>
      </w:r>
    </w:p>
    <w:p w:rsidR="000215C5" w:rsidRDefault="00703023">
      <w:pPr>
        <w:pStyle w:val="Liststycke"/>
        <w:numPr>
          <w:ilvl w:val="0"/>
          <w:numId w:val="79"/>
        </w:numPr>
        <w:jc w:val="both"/>
      </w:pPr>
      <w:r>
        <w:t>Metoder för karakterisering</w:t>
      </w:r>
    </w:p>
    <w:p w:rsidR="000215C5" w:rsidRDefault="00703023">
      <w:pPr>
        <w:pStyle w:val="Liststycke"/>
        <w:numPr>
          <w:ilvl w:val="0"/>
          <w:numId w:val="79"/>
        </w:numPr>
        <w:jc w:val="both"/>
      </w:pPr>
      <w:r>
        <w:t>Metoder för klassificering av ekologisk status</w:t>
      </w:r>
    </w:p>
    <w:p w:rsidR="000215C5" w:rsidRDefault="00703023">
      <w:pPr>
        <w:pStyle w:val="Liststycke"/>
        <w:numPr>
          <w:ilvl w:val="0"/>
          <w:numId w:val="79"/>
        </w:numPr>
        <w:jc w:val="both"/>
      </w:pPr>
      <w:r>
        <w:t>Metoder för klassificering av kemisk status</w:t>
      </w:r>
    </w:p>
    <w:p w:rsidR="000215C5" w:rsidRDefault="00703023">
      <w:pPr>
        <w:pStyle w:val="Liststycke"/>
        <w:numPr>
          <w:ilvl w:val="0"/>
          <w:numId w:val="79"/>
        </w:numPr>
        <w:jc w:val="both"/>
      </w:pPr>
      <w:r>
        <w:t>Allmänna förvaltningsmål (näringsämnen, floders kontinuitet)</w:t>
      </w:r>
    </w:p>
    <w:p w:rsidR="000215C5" w:rsidRDefault="00703023">
      <w:pPr>
        <w:pStyle w:val="Liststycke"/>
        <w:numPr>
          <w:ilvl w:val="0"/>
          <w:numId w:val="79"/>
        </w:numPr>
        <w:jc w:val="both"/>
      </w:pPr>
      <w:r>
        <w:t>Definition av betydande påverkan och effekter</w:t>
      </w:r>
    </w:p>
    <w:p w:rsidR="000215C5" w:rsidRDefault="00703023">
      <w:pPr>
        <w:pStyle w:val="Liststycke"/>
        <w:numPr>
          <w:ilvl w:val="0"/>
          <w:numId w:val="79"/>
        </w:numPr>
        <w:jc w:val="both"/>
      </w:pPr>
      <w:r>
        <w:t>Metoder för undantag</w:t>
      </w:r>
    </w:p>
    <w:p w:rsidR="000215C5" w:rsidRDefault="00703023">
      <w:pPr>
        <w:jc w:val="both"/>
      </w:pPr>
      <w:r>
        <w:t>Innehållet i rapporteringen beskrivs i följande avsnitt. UML-diagrammet i SWMET-mallen finns i bilaga 10.5.</w:t>
      </w:r>
    </w:p>
    <w:p w:rsidR="000215C5" w:rsidRDefault="00703023">
      <w:pPr>
        <w:pStyle w:val="Rubrik2"/>
        <w:jc w:val="both"/>
      </w:pPr>
      <w:bookmarkStart w:id="339" w:name="_Toc425522064"/>
      <w:bookmarkStart w:id="340" w:name="_Toc432666076"/>
      <w:bookmarkStart w:id="341" w:name="_Toc437520272"/>
      <w:r>
        <w:t>Metoder för karakterisering</w:t>
      </w:r>
      <w:bookmarkEnd w:id="337"/>
      <w:bookmarkEnd w:id="338"/>
      <w:bookmarkEnd w:id="339"/>
      <w:bookmarkEnd w:id="340"/>
      <w:bookmarkEnd w:id="341"/>
      <w:r>
        <w:t xml:space="preserve"> </w:t>
      </w:r>
    </w:p>
    <w:p w:rsidR="000215C5" w:rsidRDefault="00703023">
      <w:pPr>
        <w:pStyle w:val="Rubrik3"/>
      </w:pPr>
      <w:bookmarkStart w:id="342" w:name="_Toc375220080"/>
      <w:r>
        <w:t>Inledning</w:t>
      </w:r>
    </w:p>
    <w:bookmarkEnd w:id="342"/>
    <w:p w:rsidR="000215C5" w:rsidRDefault="00703023">
      <w:pPr>
        <w:spacing w:after="120"/>
        <w:jc w:val="both"/>
        <w:rPr>
          <w:szCs w:val="24"/>
        </w:rPr>
      </w:pPr>
      <w:r>
        <w:t>Enligt artikel 5 i ramdirektivet för vatten ska medlemsstaterna ange de ytvattenförekomster som ska användas för att bedöma framstegen med att uppnå vattendirektivets miljömål. Enligt artikel 4.3 i direktivet får medlemsstaterna under vissa omständigheter fastställa och utse konstgjorda vattenförekomster (AWB) och kraftigt modifierade vattenförekomster (HMWB). Konstgjorda vattenförekomster och kraftigt modifierade vattenförekomster ska uppnå god ekologisk potential till 2015.</w:t>
      </w:r>
    </w:p>
    <w:p w:rsidR="000215C5" w:rsidRDefault="00703023">
      <w:pPr>
        <w:spacing w:after="120"/>
        <w:jc w:val="both"/>
        <w:rPr>
          <w:szCs w:val="24"/>
        </w:rPr>
      </w:pPr>
      <w:r>
        <w:t>Fastställande av ytvattenförekomsters storlek var en viktig parameter som påverkade utformningen av övervakningsprogrammen och utformningen av lämpliga åtgärdsprogram. En stegvis process för att fastställa konstgjorda vattenförekomster och kraftigt modifierade vattenförekomster ledde till att sådana förekomster fastställdes preliminärt 2004. Arbetet med att slutgiltigt fastställa dessa typer av vattenförekomster skulle slutföras till 2010 inför offentliggörandet av de första förvaltningsplanerna. Karakteriseringen av typer av ytvattenförekomster, inklusive fastställande av konstgjorda vattenförekomster och kraftigt modifierade vattenförekomster, kan (vid behov) ha setts över och ändrats som ett led i översynen och uppdateringen av artikel 5-analysen, ett arbete som skulle slutföras till december 2013.</w:t>
      </w:r>
    </w:p>
    <w:p w:rsidR="000215C5" w:rsidRDefault="00703023">
      <w:pPr>
        <w:spacing w:after="120"/>
        <w:jc w:val="both"/>
        <w:rPr>
          <w:szCs w:val="24"/>
        </w:rPr>
      </w:pPr>
      <w:r>
        <w:t>Enligt artikel 5 ska medlemsstaterna också analysera ytvattenförekomsters karakteristika och lämna en sammanfattande rapport om karakteriseringen av ytvatten, inklusive allmän information om dess typologi.</w:t>
      </w:r>
    </w:p>
    <w:p w:rsidR="000215C5" w:rsidRDefault="00703023">
      <w:pPr>
        <w:pStyle w:val="Rubrik3"/>
      </w:pPr>
      <w:r>
        <w:t>Hur kommer kommissionen och Europeiska miljöbyrån att använda den rapporterade informationen?</w:t>
      </w:r>
    </w:p>
    <w:p w:rsidR="000215C5" w:rsidRDefault="00703023">
      <w:pPr>
        <w:spacing w:after="120"/>
        <w:jc w:val="both"/>
      </w:pPr>
      <w:r>
        <w:t>Kommissionen kommer att använda den information som lämnas för att kontrollera att små vattenförekomster har uppmärksammats tillräckligt när de inte avgränsats som sådana, och för att kontrollera om konstgjorda vattenförekomster och kraftigt modifierade vattenförekomster har fastställts på ett korrekt sätt. På EU-nivå kommer statistik och information att lämnas till Europaparlamentet. Allmänheten kommer att få tillgång till informationen via Wise.</w:t>
      </w:r>
    </w:p>
    <w:p w:rsidR="000215C5" w:rsidRDefault="00703023">
      <w:pPr>
        <w:pStyle w:val="Rubrik4"/>
      </w:pPr>
      <w:r>
        <w:t>Produkter från rapporteringen</w:t>
      </w:r>
    </w:p>
    <w:p w:rsidR="000215C5" w:rsidRDefault="00703023">
      <w:pPr>
        <w:jc w:val="both"/>
      </w:pPr>
      <w:r>
        <w:t>Kommissionen kommer att ta fram tabeller som visar</w:t>
      </w:r>
    </w:p>
    <w:p w:rsidR="000215C5" w:rsidRDefault="00703023">
      <w:pPr>
        <w:numPr>
          <w:ilvl w:val="0"/>
          <w:numId w:val="23"/>
        </w:numPr>
        <w:jc w:val="both"/>
      </w:pPr>
      <w:r>
        <w:t>en översikt av hur små vattenförekomster har täckts av de olika medlemsstaterna och vattenkategorierna.</w:t>
      </w:r>
    </w:p>
    <w:p w:rsidR="000215C5" w:rsidRDefault="00703023">
      <w:pPr>
        <w:pStyle w:val="Rubrik3"/>
      </w:pPr>
      <w:bookmarkStart w:id="343" w:name="_Toc375220081"/>
      <w:r>
        <w:t>Innehåll i rapporteringen 2016</w:t>
      </w:r>
      <w:bookmarkEnd w:id="343"/>
    </w:p>
    <w:p w:rsidR="000215C5" w:rsidRDefault="00703023">
      <w:pPr>
        <w:pStyle w:val="Rubrik4"/>
      </w:pPr>
      <w:bookmarkStart w:id="344" w:name="_Ref375223406"/>
      <w:r>
        <w:t>Skiss över mallarna</w:t>
      </w:r>
    </w:p>
    <w:p w:rsidR="000215C5" w:rsidRDefault="00703023">
      <w:pPr>
        <w:jc w:val="both"/>
      </w:pPr>
      <w:r>
        <w:t>Se bilaga 10.5.</w:t>
      </w:r>
    </w:p>
    <w:p w:rsidR="000215C5" w:rsidRDefault="00703023">
      <w:pPr>
        <w:pStyle w:val="Rubrik4"/>
      </w:pPr>
      <w:bookmarkStart w:id="345" w:name="_Ref382301832"/>
      <w:bookmarkEnd w:id="344"/>
      <w:r>
        <w:t>Information och uppgifter som ska rapporteras med hjälp av mallarna</w:t>
      </w:r>
      <w:bookmarkEnd w:id="345"/>
    </w:p>
    <w:p w:rsidR="000215C5" w:rsidRDefault="00703023">
      <w:pPr>
        <w:jc w:val="both"/>
      </w:pPr>
      <w:r>
        <w:t>Rapportera följande information för varje typ av ytvattenförekomst: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0215C5">
        <w:tc>
          <w:tcPr>
            <w:tcW w:w="9842" w:type="dxa"/>
            <w:shd w:val="clear" w:color="auto" w:fill="auto"/>
          </w:tcPr>
          <w:p w:rsidR="000215C5" w:rsidRDefault="00703023">
            <w:pPr>
              <w:spacing w:after="120"/>
              <w:jc w:val="both"/>
              <w:rPr>
                <w:b/>
                <w:szCs w:val="24"/>
              </w:rPr>
            </w:pPr>
            <w:r>
              <w:rPr>
                <w:b/>
              </w:rPr>
              <w:t>Mall: SWMET</w:t>
            </w:r>
          </w:p>
        </w:tc>
      </w:tr>
      <w:tr w:rsidR="000215C5">
        <w:tc>
          <w:tcPr>
            <w:tcW w:w="9842" w:type="dxa"/>
            <w:shd w:val="clear" w:color="auto" w:fill="auto"/>
          </w:tcPr>
          <w:p w:rsidR="000215C5" w:rsidRDefault="00703023">
            <w:pPr>
              <w:spacing w:after="120"/>
              <w:jc w:val="both"/>
              <w:rPr>
                <w:b/>
                <w:i/>
                <w:szCs w:val="24"/>
              </w:rPr>
            </w:pPr>
            <w:r>
              <w:rPr>
                <w:b/>
                <w:i/>
              </w:rPr>
              <w:t>Class SWType</w:t>
            </w:r>
          </w:p>
          <w:p w:rsidR="000215C5" w:rsidRDefault="00703023">
            <w:pPr>
              <w:spacing w:after="120"/>
              <w:jc w:val="both"/>
              <w:rPr>
                <w:i/>
                <w:szCs w:val="24"/>
              </w:rPr>
            </w:pPr>
            <w:r>
              <w:rPr>
                <w:b/>
                <w:i/>
              </w:rPr>
              <w:t>Egenskaper</w:t>
            </w:r>
            <w:r>
              <w:rPr>
                <w:i/>
              </w:rPr>
              <w:t>: maxOccurs = unbounded minOccurs = 1</w:t>
            </w:r>
          </w:p>
        </w:tc>
      </w:tr>
      <w:tr w:rsidR="000215C5">
        <w:tc>
          <w:tcPr>
            <w:tcW w:w="9842" w:type="dxa"/>
            <w:shd w:val="clear" w:color="auto" w:fill="auto"/>
          </w:tcPr>
          <w:p w:rsidR="000215C5" w:rsidRDefault="00703023">
            <w:pPr>
              <w:tabs>
                <w:tab w:val="left" w:pos="1643"/>
                <w:tab w:val="left" w:pos="1995"/>
                <w:tab w:val="left" w:pos="4503"/>
                <w:tab w:val="left" w:pos="8337"/>
              </w:tabs>
              <w:spacing w:after="120"/>
              <w:jc w:val="both"/>
              <w:rPr>
                <w:b/>
                <w:szCs w:val="24"/>
              </w:rPr>
            </w:pPr>
            <w:r>
              <w:rPr>
                <w:b/>
              </w:rPr>
              <w:t>Mallpost</w:t>
            </w:r>
            <w:r>
              <w:t>:</w:t>
            </w:r>
            <w:r>
              <w:rPr>
                <w:b/>
              </w:rPr>
              <w:t xml:space="preserve"> </w:t>
            </w:r>
            <w:r>
              <w:t xml:space="preserve">swTypeCode </w:t>
            </w:r>
          </w:p>
          <w:p w:rsidR="000215C5" w:rsidRDefault="00703023">
            <w:pPr>
              <w:tabs>
                <w:tab w:val="left" w:pos="1643"/>
                <w:tab w:val="left" w:pos="1995"/>
                <w:tab w:val="left" w:pos="2730"/>
              </w:tabs>
              <w:spacing w:after="120"/>
              <w:jc w:val="both"/>
              <w:rPr>
                <w:szCs w:val="24"/>
              </w:rPr>
            </w:pPr>
            <w:r>
              <w:rPr>
                <w:b/>
              </w:rPr>
              <w:t xml:space="preserve">Fälttyp/alternativ: </w:t>
            </w:r>
            <w:r>
              <w:t>String100Type</w:t>
            </w:r>
          </w:p>
          <w:p w:rsidR="000215C5" w:rsidRDefault="00703023">
            <w:pPr>
              <w:tabs>
                <w:tab w:val="left" w:pos="1643"/>
                <w:tab w:val="left" w:pos="1995"/>
                <w:tab w:val="left" w:pos="2730"/>
              </w:tabs>
              <w:spacing w:after="120"/>
              <w:jc w:val="both"/>
              <w:rPr>
                <w:szCs w:val="24"/>
              </w:rPr>
            </w:pPr>
            <w:r>
              <w:rPr>
                <w:b/>
              </w:rPr>
              <w:t xml:space="preserve">Egenskaper: </w:t>
            </w:r>
            <w:r>
              <w:t>maxOccurs = 1 minOccurs = 1</w:t>
            </w:r>
          </w:p>
          <w:p w:rsidR="000215C5" w:rsidRDefault="00703023">
            <w:pPr>
              <w:spacing w:after="120"/>
              <w:jc w:val="both"/>
              <w:rPr>
                <w:szCs w:val="24"/>
              </w:rPr>
            </w:pPr>
            <w:r>
              <w:rPr>
                <w:b/>
              </w:rPr>
              <w:t xml:space="preserve">Vägledning om hur man fyller i mallposten: </w:t>
            </w:r>
            <w:r>
              <w:t xml:space="preserve">Krävs. Medlemsstatens kod för vattenförekomstens karakteriseringstyp som den rapporterats för varje vattenförekomst i mallen för metoder för ytvattenförekomster (SWB) och förvaltningsplanens bakgrundsdokument. Om typologi för HMWB och/eller AWB har hänförts och använts ska detta rapporteras här. Detta kommer att möjliggöra rapportering av t.ex. fysikalisk-kemiska normer som är kopplade till dessa typer i SWMET-mallen.  </w:t>
            </w:r>
          </w:p>
          <w:p w:rsidR="000215C5" w:rsidRDefault="00703023">
            <w:pPr>
              <w:spacing w:after="120"/>
              <w:jc w:val="both"/>
              <w:rPr>
                <w:szCs w:val="24"/>
              </w:rPr>
            </w:pPr>
            <w:r>
              <w:t>Uppgifter om typologier krävs inte längre. En kortfattad beskrivning av typen samt en hänvisning till närmare uppgifter i förvaltningsplanen och bakgrundsdokumenten ska dock anges i TypeName.</w:t>
            </w:r>
          </w:p>
          <w:p w:rsidR="000215C5" w:rsidRDefault="00703023">
            <w:pPr>
              <w:spacing w:after="120"/>
              <w:jc w:val="both"/>
              <w:rPr>
                <w:szCs w:val="24"/>
              </w:rPr>
            </w:pPr>
            <w:r>
              <w:t>Under den föregående rapporteringen 2010 rapporterade vissa medlemsstater fler karakteriseringstyper än vad som därefter rapporterades för ytvattenförekomster. Tänk på att det är viktigt att de rapporterade uppgifterna är konsekventa.</w:t>
            </w:r>
          </w:p>
          <w:p w:rsidR="000215C5" w:rsidRDefault="00703023">
            <w:pPr>
              <w:tabs>
                <w:tab w:val="left" w:pos="1643"/>
                <w:tab w:val="left" w:pos="1995"/>
                <w:tab w:val="left" w:pos="4503"/>
                <w:tab w:val="left" w:pos="8337"/>
              </w:tabs>
              <w:spacing w:after="120"/>
              <w:jc w:val="both"/>
              <w:rPr>
                <w:b/>
                <w:szCs w:val="24"/>
              </w:rPr>
            </w:pPr>
            <w:r>
              <w:rPr>
                <w:b/>
              </w:rPr>
              <w:t>Kvalitetssäkringskontroller:</w:t>
            </w:r>
            <w:r>
              <w:t xml:space="preserve"> Dubbelkontroll av mallen: De rapporterade swTypeCode måste överensstämma med de koder som rapporteras i SWB/SurfaceWaterBody/surfaceWaterBodyTypeCode.</w:t>
            </w:r>
          </w:p>
        </w:tc>
      </w:tr>
      <w:tr w:rsidR="000215C5">
        <w:tc>
          <w:tcPr>
            <w:tcW w:w="9842" w:type="dxa"/>
            <w:shd w:val="clear" w:color="auto" w:fill="auto"/>
          </w:tcPr>
          <w:p w:rsidR="000215C5" w:rsidRDefault="00703023">
            <w:pPr>
              <w:spacing w:after="120"/>
              <w:jc w:val="both"/>
              <w:rPr>
                <w:b/>
                <w:szCs w:val="24"/>
              </w:rPr>
            </w:pPr>
            <w:r>
              <w:rPr>
                <w:b/>
              </w:rPr>
              <w:t>Mallpost</w:t>
            </w:r>
            <w:r>
              <w:t>: swTypeDescription</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Lämna en kortfattad beskrivning av typen (t.ex. liten, lågland, kiselhaltiga floder). Lämna en hänvisning till var närmare uppgifter finns i förvaltningsplanen och bakgrundsdokumenten.</w:t>
            </w:r>
          </w:p>
        </w:tc>
      </w:tr>
      <w:tr w:rsidR="000215C5">
        <w:tc>
          <w:tcPr>
            <w:tcW w:w="9842" w:type="dxa"/>
            <w:shd w:val="clear" w:color="auto" w:fill="auto"/>
          </w:tcPr>
          <w:p w:rsidR="000215C5" w:rsidRPr="006E59C8" w:rsidRDefault="00703023">
            <w:pPr>
              <w:spacing w:after="120"/>
              <w:jc w:val="both"/>
              <w:rPr>
                <w:szCs w:val="24"/>
                <w:lang w:val="en-GB"/>
              </w:rPr>
            </w:pPr>
            <w:r w:rsidRPr="006E59C8">
              <w:rPr>
                <w:b/>
                <w:lang w:val="en-GB"/>
              </w:rPr>
              <w:t xml:space="preserve">Mallpost: </w:t>
            </w:r>
            <w:r w:rsidRPr="006E59C8">
              <w:rPr>
                <w:lang w:val="en-GB"/>
              </w:rPr>
              <w:t>swIntercalibrationType</w:t>
            </w:r>
          </w:p>
          <w:p w:rsidR="000215C5" w:rsidRPr="006E59C8" w:rsidRDefault="00703023">
            <w:pPr>
              <w:tabs>
                <w:tab w:val="left" w:pos="1643"/>
                <w:tab w:val="left" w:pos="1995"/>
                <w:tab w:val="left" w:pos="4503"/>
                <w:tab w:val="left" w:pos="8337"/>
              </w:tabs>
              <w:spacing w:after="120"/>
              <w:jc w:val="both"/>
              <w:rPr>
                <w:szCs w:val="24"/>
                <w:lang w:val="en-GB"/>
              </w:rPr>
            </w:pPr>
            <w:r w:rsidRPr="006E59C8">
              <w:rPr>
                <w:b/>
                <w:lang w:val="en-GB"/>
              </w:rPr>
              <w:t xml:space="preserve">Fälttyp/alternativ: </w:t>
            </w:r>
            <w:r w:rsidRPr="006E59C8">
              <w:rPr>
                <w:lang w:val="en-GB"/>
              </w:rPr>
              <w:t>SWIntercalibrationType_Enum (se bilaga 8a)</w:t>
            </w:r>
          </w:p>
          <w:p w:rsidR="000215C5" w:rsidRDefault="00703023">
            <w:pPr>
              <w:tabs>
                <w:tab w:val="left" w:pos="1643"/>
                <w:tab w:val="left" w:pos="1995"/>
                <w:tab w:val="left" w:pos="4503"/>
                <w:tab w:val="left" w:pos="8337"/>
              </w:tabs>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Om typen av ytvattenförekomst motsvarar en interkalibreringstyp, rapportera interkalibreringens typkod (inte namn).</w:t>
            </w:r>
          </w:p>
          <w:p w:rsidR="000215C5" w:rsidRDefault="00703023">
            <w:pPr>
              <w:spacing w:after="120"/>
              <w:jc w:val="both"/>
              <w:rPr>
                <w:szCs w:val="24"/>
              </w:rPr>
            </w:pPr>
            <w:r>
              <w:t>Den interkalibreringstyp som rapporteras i denna post måste motsvara ytvattenförekomstens kategori.</w:t>
            </w:r>
          </w:p>
          <w:p w:rsidR="000215C5" w:rsidRDefault="00703023">
            <w:pPr>
              <w:spacing w:after="120"/>
              <w:jc w:val="both"/>
              <w:rPr>
                <w:szCs w:val="24"/>
              </w:rPr>
            </w:pPr>
            <w:r>
              <w:t>Välj ”Not applicable” om det inte finns någon motsvarande interkalibreringstyp.</w:t>
            </w:r>
          </w:p>
          <w:p w:rsidR="000215C5" w:rsidRDefault="00703023">
            <w:pPr>
              <w:autoSpaceDE w:val="0"/>
              <w:autoSpaceDN w:val="0"/>
              <w:adjustRightInd w:val="0"/>
              <w:spacing w:after="120"/>
              <w:jc w:val="both"/>
              <w:rPr>
                <w:szCs w:val="24"/>
              </w:rPr>
            </w:pPr>
            <w:r>
              <w:rPr>
                <w:b/>
              </w:rPr>
              <w:t>Kvalitetskontroller</w:t>
            </w:r>
            <w:r>
              <w:t>:</w:t>
            </w:r>
            <w:r>
              <w:rPr>
                <w:color w:val="000000"/>
              </w:rPr>
              <w:t xml:space="preserve"> </w:t>
            </w:r>
            <w:r>
              <w:t>Dubbelkontroll av mallen: Den rapporterade intercalibrationType måste överensstämma med de koder som rapporteras i SWB/SurfaceWaterBody/surfaceWaterBodyIntercalibrationType.</w:t>
            </w:r>
          </w:p>
        </w:tc>
      </w:tr>
      <w:tr w:rsidR="000215C5">
        <w:tc>
          <w:tcPr>
            <w:tcW w:w="9842" w:type="dxa"/>
            <w:shd w:val="clear" w:color="auto" w:fill="auto"/>
          </w:tcPr>
          <w:p w:rsidR="000215C5" w:rsidRDefault="00703023">
            <w:pPr>
              <w:spacing w:after="120"/>
              <w:jc w:val="both"/>
              <w:rPr>
                <w:b/>
                <w:szCs w:val="24"/>
              </w:rPr>
            </w:pPr>
            <w:r>
              <w:rPr>
                <w:b/>
              </w:rPr>
              <w:t>Mallpost</w:t>
            </w:r>
            <w:r>
              <w:t>: swTypeCategory</w:t>
            </w:r>
          </w:p>
          <w:p w:rsidR="000215C5" w:rsidRDefault="00703023">
            <w:pPr>
              <w:spacing w:after="120"/>
              <w:jc w:val="both"/>
              <w:rPr>
                <w:szCs w:val="24"/>
              </w:rPr>
            </w:pPr>
            <w:r>
              <w:rPr>
                <w:b/>
              </w:rPr>
              <w:t xml:space="preserve">Fälttyp/alternativ: </w:t>
            </w:r>
            <w:r>
              <w:t>SWCategory_Enum: RW, LW, TW, CW</w:t>
            </w:r>
          </w:p>
          <w:p w:rsidR="000215C5" w:rsidRDefault="00703023">
            <w:pPr>
              <w:spacing w:after="120"/>
              <w:jc w:val="both"/>
              <w:rPr>
                <w:szCs w:val="24"/>
              </w:rPr>
            </w:pPr>
            <w:r>
              <w:rPr>
                <w:b/>
              </w:rPr>
              <w:t xml:space="preserve">Egenskaper: </w:t>
            </w:r>
            <w:r>
              <w:t>maxOccurs = 1 minOccurs = 1</w:t>
            </w:r>
          </w:p>
          <w:p w:rsidR="000215C5" w:rsidRDefault="00703023">
            <w:pPr>
              <w:tabs>
                <w:tab w:val="left" w:pos="1643"/>
                <w:tab w:val="left" w:pos="1995"/>
                <w:tab w:val="left" w:pos="4503"/>
                <w:tab w:val="left" w:pos="8337"/>
              </w:tabs>
              <w:spacing w:after="120"/>
              <w:jc w:val="both"/>
              <w:rPr>
                <w:szCs w:val="24"/>
              </w:rPr>
            </w:pPr>
            <w:r>
              <w:rPr>
                <w:b/>
              </w:rPr>
              <w:t>Vägledning om hur man fyller i mallposten</w:t>
            </w:r>
            <w:r>
              <w:t>: Krävs. Rapportera den kategori av ytvattenförekomst som typen avser.</w:t>
            </w:r>
          </w:p>
          <w:p w:rsidR="000215C5" w:rsidRDefault="00703023">
            <w:pPr>
              <w:tabs>
                <w:tab w:val="left" w:pos="1643"/>
                <w:tab w:val="left" w:pos="1995"/>
                <w:tab w:val="left" w:pos="4503"/>
                <w:tab w:val="left" w:pos="8337"/>
              </w:tabs>
              <w:spacing w:after="120"/>
              <w:jc w:val="both"/>
              <w:rPr>
                <w:szCs w:val="24"/>
              </w:rPr>
            </w:pPr>
            <w:r>
              <w:t>RW = floder</w:t>
            </w:r>
          </w:p>
          <w:p w:rsidR="000215C5" w:rsidRDefault="00703023">
            <w:pPr>
              <w:tabs>
                <w:tab w:val="left" w:pos="1643"/>
                <w:tab w:val="left" w:pos="1995"/>
                <w:tab w:val="left" w:pos="4503"/>
                <w:tab w:val="left" w:pos="8337"/>
              </w:tabs>
              <w:spacing w:after="120"/>
              <w:jc w:val="both"/>
              <w:rPr>
                <w:szCs w:val="24"/>
              </w:rPr>
            </w:pPr>
            <w:r>
              <w:t>LW = sjöar</w:t>
            </w:r>
          </w:p>
          <w:p w:rsidR="000215C5" w:rsidRDefault="00703023">
            <w:pPr>
              <w:tabs>
                <w:tab w:val="left" w:pos="1643"/>
                <w:tab w:val="left" w:pos="1995"/>
                <w:tab w:val="left" w:pos="4503"/>
                <w:tab w:val="left" w:pos="8337"/>
              </w:tabs>
              <w:spacing w:after="120"/>
              <w:jc w:val="both"/>
              <w:rPr>
                <w:szCs w:val="24"/>
              </w:rPr>
            </w:pPr>
            <w:r>
              <w:t>TW = vatten i övergångszon</w:t>
            </w:r>
          </w:p>
          <w:p w:rsidR="000215C5" w:rsidRDefault="00703023">
            <w:pPr>
              <w:tabs>
                <w:tab w:val="left" w:pos="1643"/>
                <w:tab w:val="left" w:pos="1995"/>
                <w:tab w:val="left" w:pos="4503"/>
                <w:tab w:val="left" w:pos="8337"/>
              </w:tabs>
              <w:spacing w:after="120"/>
              <w:jc w:val="both"/>
              <w:rPr>
                <w:szCs w:val="24"/>
              </w:rPr>
            </w:pPr>
            <w:r>
              <w:t>CW = kustvatten</w:t>
            </w:r>
          </w:p>
        </w:tc>
      </w:tr>
      <w:tr w:rsidR="000215C5">
        <w:tc>
          <w:tcPr>
            <w:tcW w:w="9842" w:type="dxa"/>
            <w:shd w:val="clear" w:color="auto" w:fill="auto"/>
          </w:tcPr>
          <w:p w:rsidR="000215C5" w:rsidRDefault="00703023">
            <w:pPr>
              <w:spacing w:after="120"/>
              <w:jc w:val="both"/>
              <w:rPr>
                <w:b/>
                <w:szCs w:val="24"/>
              </w:rPr>
            </w:pPr>
            <w:r>
              <w:rPr>
                <w:b/>
              </w:rPr>
              <w:t>Mallpost</w:t>
            </w:r>
            <w:r>
              <w:t>:</w:t>
            </w:r>
            <w:r>
              <w:rPr>
                <w:b/>
              </w:rPr>
              <w:t xml:space="preserve"> </w:t>
            </w:r>
            <w:r>
              <w:t>swTypeSpecificReferenceConditionsForBQEs</w:t>
            </w:r>
          </w:p>
          <w:p w:rsidR="000215C5" w:rsidRDefault="00703023">
            <w:pPr>
              <w:spacing w:after="120"/>
              <w:jc w:val="both"/>
              <w:rPr>
                <w:szCs w:val="24"/>
              </w:rPr>
            </w:pPr>
            <w:r>
              <w:rPr>
                <w:b/>
              </w:rPr>
              <w:t xml:space="preserve">Fälttyp/alternativ: </w:t>
            </w:r>
            <w:r>
              <w:t>AllSomeNone_Enum: All, Some, None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typspecifika referensförhållanden har fastställts för denna typ av ytvattenförekomst för alla relevanta biologiska kvalitetsfaktorer.</w:t>
            </w:r>
          </w:p>
          <w:p w:rsidR="000215C5" w:rsidRDefault="00703023">
            <w:pPr>
              <w:spacing w:after="120"/>
              <w:jc w:val="both"/>
              <w:rPr>
                <w:szCs w:val="24"/>
              </w:rPr>
            </w:pPr>
            <w:r>
              <w:t>”All”: Ja, referensförhållanden har fastställts för denna typ för alla relevanta biologiska kvalitetsfaktorer.</w:t>
            </w:r>
          </w:p>
          <w:p w:rsidR="000215C5" w:rsidRDefault="00703023">
            <w:pPr>
              <w:spacing w:after="120"/>
              <w:jc w:val="both"/>
              <w:rPr>
                <w:szCs w:val="24"/>
              </w:rPr>
            </w:pPr>
            <w:r>
              <w:t>”Some”: Ja, referensförhållanden har delvis fastställts för denna typ för vissa biologiska kvalitetsfaktorer.</w:t>
            </w:r>
          </w:p>
          <w:p w:rsidR="000215C5" w:rsidRDefault="00703023">
            <w:pPr>
              <w:spacing w:after="120"/>
              <w:jc w:val="both"/>
              <w:rPr>
                <w:b/>
                <w:szCs w:val="24"/>
              </w:rPr>
            </w:pPr>
            <w:r>
              <w:t xml:space="preserve">”None”: Nej, referensförhållanden har inte fastställts för denna typ för några biologiska kvalitetsfaktorer. </w:t>
            </w:r>
          </w:p>
        </w:tc>
      </w:tr>
      <w:tr w:rsidR="000215C5">
        <w:tc>
          <w:tcPr>
            <w:tcW w:w="9842" w:type="dxa"/>
            <w:shd w:val="clear" w:color="auto" w:fill="auto"/>
          </w:tcPr>
          <w:p w:rsidR="000215C5" w:rsidRDefault="00703023">
            <w:pPr>
              <w:spacing w:after="120"/>
              <w:jc w:val="both"/>
              <w:rPr>
                <w:b/>
                <w:szCs w:val="24"/>
              </w:rPr>
            </w:pPr>
            <w:r>
              <w:rPr>
                <w:b/>
              </w:rPr>
              <w:t>Mallpost</w:t>
            </w:r>
            <w:r>
              <w:t>:</w:t>
            </w:r>
            <w:r>
              <w:rPr>
                <w:b/>
              </w:rPr>
              <w:t xml:space="preserve"> </w:t>
            </w:r>
            <w:r>
              <w:t>swTypeSpecificReferenceConditionsForHyMoQEs</w:t>
            </w:r>
          </w:p>
          <w:p w:rsidR="000215C5" w:rsidRDefault="00703023">
            <w:pPr>
              <w:spacing w:after="120"/>
              <w:jc w:val="both"/>
              <w:rPr>
                <w:szCs w:val="24"/>
              </w:rPr>
            </w:pPr>
            <w:r>
              <w:rPr>
                <w:b/>
              </w:rPr>
              <w:t>Fälttyp/alternativ:</w:t>
            </w:r>
            <w:r>
              <w:t xml:space="preserve"> AllSomeNone_Enum: All, Some, None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pPr>
            <w:r>
              <w:rPr>
                <w:b/>
              </w:rPr>
              <w:t>Vägledning om hur man fyller i mallposten</w:t>
            </w:r>
            <w:r>
              <w:t xml:space="preserve">: Krävs. Ange om typspecifika referensförhållanden har fastställts för denna typ av ytvattenförekomst för alla relevanta hydromorfologiska kvalitetsfaktorer. </w:t>
            </w:r>
          </w:p>
          <w:p w:rsidR="000215C5" w:rsidRDefault="00703023">
            <w:pPr>
              <w:spacing w:after="120"/>
              <w:jc w:val="both"/>
              <w:rPr>
                <w:szCs w:val="24"/>
              </w:rPr>
            </w:pPr>
            <w:r>
              <w:t>”All”: Ja, referensförhållanden har fastställts för denna typ för alla relevanta hydromorfologiska kvalitetsfaktorer.</w:t>
            </w:r>
          </w:p>
          <w:p w:rsidR="000215C5" w:rsidRDefault="00703023">
            <w:pPr>
              <w:spacing w:after="120"/>
              <w:jc w:val="both"/>
              <w:rPr>
                <w:szCs w:val="24"/>
              </w:rPr>
            </w:pPr>
            <w:r>
              <w:t>”Some”: Ja, referensförhållanden har delvis fastställts för denna typ för vissa hydromorfologiska kvalitetsfaktorer.</w:t>
            </w:r>
          </w:p>
          <w:p w:rsidR="000215C5" w:rsidRDefault="00703023">
            <w:pPr>
              <w:spacing w:after="120"/>
              <w:jc w:val="both"/>
              <w:rPr>
                <w:szCs w:val="24"/>
              </w:rPr>
            </w:pPr>
            <w:r>
              <w:t>”None”: Nej, referensförhållanden har inte fastställts för denna typ för några hydromorfologiska kvalitetsfaktorer.</w:t>
            </w:r>
          </w:p>
        </w:tc>
      </w:tr>
      <w:tr w:rsidR="000215C5">
        <w:tc>
          <w:tcPr>
            <w:tcW w:w="9842" w:type="dxa"/>
            <w:shd w:val="clear" w:color="auto" w:fill="auto"/>
          </w:tcPr>
          <w:p w:rsidR="000215C5" w:rsidRDefault="00703023">
            <w:pPr>
              <w:spacing w:after="120"/>
              <w:jc w:val="both"/>
              <w:rPr>
                <w:b/>
                <w:szCs w:val="24"/>
              </w:rPr>
            </w:pPr>
            <w:r>
              <w:rPr>
                <w:b/>
              </w:rPr>
              <w:t>Mallpost</w:t>
            </w:r>
            <w:r>
              <w:t>:</w:t>
            </w:r>
            <w:r>
              <w:rPr>
                <w:b/>
              </w:rPr>
              <w:t xml:space="preserve"> </w:t>
            </w:r>
            <w:r>
              <w:t>swTypeSpecificReferenceConditionsForPhysChemQEs</w:t>
            </w:r>
          </w:p>
          <w:p w:rsidR="000215C5" w:rsidRDefault="00703023">
            <w:pPr>
              <w:spacing w:after="120"/>
              <w:jc w:val="both"/>
              <w:rPr>
                <w:szCs w:val="24"/>
              </w:rPr>
            </w:pPr>
            <w:r>
              <w:rPr>
                <w:b/>
              </w:rPr>
              <w:t xml:space="preserve">Fälttyp/alternativ: </w:t>
            </w:r>
            <w:r>
              <w:t>AllSomeNone_Enum: All, Some, None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typspecifika referensförhållanden har fastställts för denna typ av ytvattenförekomst för alla relevanta fysikalisk-kemiska kvalitetsfaktorer.</w:t>
            </w:r>
          </w:p>
          <w:p w:rsidR="000215C5" w:rsidRDefault="00703023">
            <w:pPr>
              <w:spacing w:after="120"/>
              <w:jc w:val="both"/>
              <w:rPr>
                <w:szCs w:val="24"/>
              </w:rPr>
            </w:pPr>
            <w:r>
              <w:t>”All”: Ja, referensförhållanden har fastställts för denna typ för alla relevanta fysikalisk-kemiska kvalitetsfaktorer.</w:t>
            </w:r>
          </w:p>
          <w:p w:rsidR="000215C5" w:rsidRDefault="00703023">
            <w:pPr>
              <w:spacing w:after="120"/>
              <w:jc w:val="both"/>
              <w:rPr>
                <w:szCs w:val="24"/>
              </w:rPr>
            </w:pPr>
            <w:r>
              <w:t>”Some”: Ja, referensförhållanden har delvis fastställts för denna typ för vissa fysikalisk-kemiska kvalitetsfaktorer.</w:t>
            </w:r>
          </w:p>
          <w:p w:rsidR="000215C5" w:rsidRDefault="00703023">
            <w:pPr>
              <w:spacing w:after="120"/>
              <w:jc w:val="both"/>
              <w:rPr>
                <w:szCs w:val="24"/>
              </w:rPr>
            </w:pPr>
            <w:r>
              <w:t>”None”: Nej, referensförhållanden har inte fastställts för denna typ för några fysikalisk-kemiska kvalitetsfaktorer.</w:t>
            </w:r>
          </w:p>
        </w:tc>
      </w:tr>
    </w:tbl>
    <w:p w:rsidR="000215C5" w:rsidRDefault="000215C5">
      <w:pPr>
        <w:jc w:val="both"/>
      </w:pPr>
    </w:p>
    <w:p w:rsidR="000215C5" w:rsidRDefault="00703023">
      <w:pPr>
        <w:jc w:val="both"/>
      </w:pPr>
      <w:r>
        <w:t>Följande klass används för att rapportera information om metoder: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SWMET (fortsättning)</w:t>
            </w:r>
          </w:p>
        </w:tc>
      </w:tr>
      <w:tr w:rsidR="000215C5" w:rsidRPr="00360D19">
        <w:tc>
          <w:tcPr>
            <w:tcW w:w="9889" w:type="dxa"/>
            <w:shd w:val="clear" w:color="auto" w:fill="auto"/>
          </w:tcPr>
          <w:p w:rsidR="000215C5" w:rsidRPr="00D95552" w:rsidRDefault="00703023">
            <w:pPr>
              <w:spacing w:after="120"/>
              <w:jc w:val="both"/>
              <w:rPr>
                <w:b/>
                <w:i/>
                <w:szCs w:val="24"/>
              </w:rPr>
            </w:pPr>
            <w:r w:rsidRPr="00D95552">
              <w:rPr>
                <w:b/>
                <w:i/>
              </w:rPr>
              <w:t>Class SWMethodologies</w:t>
            </w:r>
          </w:p>
          <w:p w:rsidR="000215C5" w:rsidRPr="00D95552" w:rsidRDefault="00703023">
            <w:pPr>
              <w:spacing w:after="120"/>
              <w:jc w:val="both"/>
              <w:rPr>
                <w:i/>
                <w:szCs w:val="24"/>
              </w:rPr>
            </w:pPr>
            <w:r w:rsidRPr="00D95552">
              <w:rPr>
                <w:b/>
                <w:i/>
              </w:rPr>
              <w:t>Egenskaper</w:t>
            </w:r>
            <w:r w:rsidRPr="00D95552">
              <w:rPr>
                <w:i/>
              </w:rPr>
              <w:t>: maxOccurs = 1 minOccurs = 1</w:t>
            </w:r>
          </w:p>
        </w:tc>
      </w:tr>
      <w:tr w:rsidR="000215C5">
        <w:tc>
          <w:tcPr>
            <w:tcW w:w="9889"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typologyMethodologyReference</w:t>
            </w:r>
          </w:p>
          <w:p w:rsidR="000215C5" w:rsidRPr="00D95552" w:rsidRDefault="00703023">
            <w:pPr>
              <w:spacing w:after="120"/>
              <w:jc w:val="both"/>
              <w:rPr>
                <w:szCs w:val="24"/>
              </w:rPr>
            </w:pPr>
            <w:r w:rsidRPr="00D95552">
              <w:rPr>
                <w:b/>
              </w:rPr>
              <w:t xml:space="preserve">Fälttyp/alternativ: </w:t>
            </w:r>
            <w:r w:rsidRPr="00D95552">
              <w:t>ReferenceType (se bilaga 9)</w:t>
            </w:r>
          </w:p>
          <w:p w:rsidR="000215C5" w:rsidRPr="00D95552" w:rsidRDefault="00703023">
            <w:pPr>
              <w:spacing w:after="120"/>
              <w:jc w:val="both"/>
              <w:rPr>
                <w:szCs w:val="24"/>
              </w:rPr>
            </w:pPr>
            <w:r w:rsidRPr="00D95552">
              <w:rPr>
                <w:b/>
              </w:rPr>
              <w:t xml:space="preserve">Egenskaper: </w:t>
            </w:r>
            <w:r w:rsidRPr="00D95552">
              <w:t>maxOccurs = unbounded minOccurs = 1</w:t>
            </w:r>
          </w:p>
          <w:p w:rsidR="000215C5" w:rsidRDefault="00703023">
            <w:pPr>
              <w:spacing w:after="120"/>
              <w:jc w:val="both"/>
              <w:rPr>
                <w:b/>
                <w:szCs w:val="24"/>
              </w:rPr>
            </w:pPr>
            <w:r>
              <w:rPr>
                <w:b/>
              </w:rPr>
              <w:t>Vägledning om hur man fyller i mallposten</w:t>
            </w:r>
            <w:r>
              <w:t xml:space="preserve">: Krävs. Ange hänvisningar eller hyperlänkar till de dokument och avsnitt som innehåller relevant information om typologimetoden. Vägledning om vilka uppgifter som bör ingå i detta dokument ges i avsnitt </w:t>
            </w:r>
            <w:r>
              <w:fldChar w:fldCharType="begin"/>
            </w:r>
            <w:r>
              <w:instrText xml:space="preserve"> REF _Ref402951153 \r \h  \* MERGEFORMAT </w:instrText>
            </w:r>
            <w:r>
              <w:fldChar w:fldCharType="separate"/>
            </w:r>
            <w:r>
              <w:rPr>
                <w:szCs w:val="24"/>
              </w:rPr>
              <w:t>7.2.3.3</w:t>
            </w:r>
            <w:r>
              <w:fldChar w:fldCharType="end"/>
            </w:r>
            <w:r>
              <w:t xml:space="preserve">. </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smallWBsMethodologyReference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Vägledning om hur man fyller i mallposten</w:t>
            </w:r>
            <w:r>
              <w:t xml:space="preserve">: Krävs. Ange hänvisningar eller hyperlänkar till de dokument och avsnitt som innehåller relevant information om metoden för små vattenförekomster. Vägledning om vilka uppgifter som bör ingå i detta dokument ges i avsnitt </w:t>
            </w:r>
            <w:r>
              <w:fldChar w:fldCharType="begin"/>
            </w:r>
            <w:r>
              <w:instrText xml:space="preserve"> REF _Ref402951153 \r \h  \* MERGEFORMAT </w:instrText>
            </w:r>
            <w:r>
              <w:fldChar w:fldCharType="separate"/>
            </w:r>
            <w:r>
              <w:rPr>
                <w:szCs w:val="24"/>
              </w:rPr>
              <w:t>7.2.3.3</w:t>
            </w:r>
            <w:r>
              <w:fldChar w:fldCharType="end"/>
            </w:r>
            <w:r>
              <w:t xml:space="preserve">. </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minimumCatchmentAreaRivers</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Om definierat, ange den minsta yta i km</w:t>
            </w:r>
            <w:r>
              <w:rPr>
                <w:vertAlign w:val="superscript"/>
              </w:rPr>
              <w:t>2</w:t>
            </w:r>
            <w:r>
              <w:t xml:space="preserve"> som ett tillrinningsområde ska ha för att en flod ska kunna avgränsas som en vattenförekomst i förvaltningsplanen. Om inte, ange -8888.</w:t>
            </w:r>
          </w:p>
          <w:p w:rsidR="000215C5" w:rsidRDefault="00703023">
            <w:pPr>
              <w:spacing w:after="120"/>
              <w:jc w:val="both"/>
              <w:rPr>
                <w:szCs w:val="24"/>
              </w:rPr>
            </w:pPr>
            <w:r>
              <w:rPr>
                <w:b/>
              </w:rPr>
              <w:t>Kvalitetskontroller</w:t>
            </w:r>
            <w:r>
              <w:t xml:space="preserve">: </w:t>
            </w:r>
          </w:p>
          <w:p w:rsidR="000215C5" w:rsidRDefault="00703023">
            <w:pPr>
              <w:spacing w:after="120"/>
              <w:jc w:val="both"/>
              <w:rPr>
                <w:b/>
                <w:szCs w:val="24"/>
              </w:rPr>
            </w:pPr>
            <w:r>
              <w:t>Kontroll av posten: Rapportera -8888 om en minsta yta för tillrinningsområden för floder inte har fastställts.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minimumSurfaceAreaLakes</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Om definierat, ange det minsta ytområdet i km</w:t>
            </w:r>
            <w:r>
              <w:rPr>
                <w:vertAlign w:val="superscript"/>
              </w:rPr>
              <w:t>2</w:t>
            </w:r>
            <w:r>
              <w:t xml:space="preserve"> för att en sjö ska kunna avgränsas som en vattenförekomst i för</w:t>
            </w:r>
            <w:r w:rsidR="00BD251F">
              <w:t>valtningsplanen. Om inte, ange </w:t>
            </w:r>
            <w:r w:rsidR="00BD251F">
              <w:noBreakHyphen/>
            </w:r>
            <w:r>
              <w:t>8888.</w:t>
            </w:r>
          </w:p>
          <w:p w:rsidR="000215C5" w:rsidRDefault="00703023">
            <w:pPr>
              <w:spacing w:after="120"/>
              <w:jc w:val="both"/>
              <w:rPr>
                <w:szCs w:val="24"/>
              </w:rPr>
            </w:pPr>
            <w:r>
              <w:rPr>
                <w:b/>
              </w:rPr>
              <w:t>Kvalitetskontroller</w:t>
            </w:r>
            <w:r>
              <w:t xml:space="preserve">: </w:t>
            </w:r>
          </w:p>
          <w:p w:rsidR="000215C5" w:rsidRDefault="00703023">
            <w:pPr>
              <w:spacing w:after="120"/>
              <w:jc w:val="both"/>
              <w:rPr>
                <w:szCs w:val="24"/>
              </w:rPr>
            </w:pPr>
            <w:r>
              <w:t>Kontroll av posten: Ange -8888 om ett minsta ytområde för sjöar inte har fastställts.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otherMinimumCriteria</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b/>
                <w:szCs w:val="24"/>
              </w:rPr>
            </w:pPr>
            <w:r>
              <w:rPr>
                <w:b/>
              </w:rPr>
              <w:t>Vägledning om hur man fyller i mallposten</w:t>
            </w:r>
            <w:r>
              <w:t>: Frivilligt. Om de minimikriterier som används för avgränsning av floder inte grundas på tillrinningsområdens yta, eller inte grundas på ytområde för sjöar, beskriv de kriterier som har använts i stället.</w:t>
            </w:r>
          </w:p>
        </w:tc>
      </w:tr>
      <w:tr w:rsidR="000215C5">
        <w:tc>
          <w:tcPr>
            <w:tcW w:w="9889" w:type="dxa"/>
            <w:shd w:val="clear" w:color="auto" w:fill="auto"/>
          </w:tcPr>
          <w:p w:rsidR="000215C5" w:rsidRDefault="00703023">
            <w:pPr>
              <w:spacing w:after="120"/>
              <w:jc w:val="both"/>
              <w:rPr>
                <w:szCs w:val="24"/>
              </w:rPr>
            </w:pPr>
            <w:r>
              <w:rPr>
                <w:b/>
              </w:rPr>
              <w:t>Mallpost</w:t>
            </w:r>
            <w:r>
              <w:t>: iRBDTypologyCoOrdinationReference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Ange hänvisningar eller hyperlänkar till de dokument och avsnitt som innehåller relevant information om samordning av typologimetoden för internationella avrinningsdistrikt. Vägledning om vilka uppgifter som bör ingå i detta dokument ges i avsnitt </w:t>
            </w:r>
            <w:r>
              <w:fldChar w:fldCharType="begin"/>
            </w:r>
            <w:r>
              <w:instrText xml:space="preserve"> REF _Ref402951153 \r \h  \* MERGEFORMAT </w:instrText>
            </w:r>
            <w:r>
              <w:fldChar w:fldCharType="separate"/>
            </w:r>
            <w:r>
              <w:rPr>
                <w:szCs w:val="24"/>
              </w:rPr>
              <w:t>7.2.3.3</w:t>
            </w:r>
            <w:r>
              <w:fldChar w:fldCharType="end"/>
            </w:r>
            <w:r>
              <w:t>.</w:t>
            </w:r>
          </w:p>
          <w:p w:rsidR="000215C5" w:rsidRDefault="00703023">
            <w:pPr>
              <w:spacing w:after="120"/>
              <w:jc w:val="both"/>
              <w:rPr>
                <w:b/>
                <w:szCs w:val="24"/>
              </w:rPr>
            </w:pPr>
            <w:r>
              <w:rPr>
                <w:b/>
              </w:rPr>
              <w:t>Kvalitetskontroller</w:t>
            </w:r>
            <w:r>
              <w:t>: Dubbelkontroll av mallen: Rapportera om RBDSUCA/RBD/internationalRBD är ”Yes”.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hmwbMethodologyReference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Vägledning om hur man fyller i mallposten</w:t>
            </w:r>
            <w:r>
              <w:t xml:space="preserve">: Krävs. Ange hänvisningar eller hyperlänkar till de dokument och avsnitt som innehåller all relevant information om metoden för fastställande av AWB och HMWB. Vägledning om vilka uppgifter som bör ingå i detta dokument ges i avsnitt </w:t>
            </w:r>
            <w:r>
              <w:fldChar w:fldCharType="begin"/>
            </w:r>
            <w:r>
              <w:instrText xml:space="preserve"> REF _Ref402951153 \r \h  \* MERGEFORMAT </w:instrText>
            </w:r>
            <w:r>
              <w:fldChar w:fldCharType="separate"/>
            </w:r>
            <w:r>
              <w:rPr>
                <w:szCs w:val="24"/>
              </w:rPr>
              <w:t>7.2.3.3</w:t>
            </w:r>
            <w:r>
              <w:fldChar w:fldCharType="end"/>
            </w:r>
            <w:r>
              <w:t>.</w:t>
            </w:r>
          </w:p>
        </w:tc>
      </w:tr>
    </w:tbl>
    <w:p w:rsidR="000215C5" w:rsidRDefault="000215C5">
      <w:pPr>
        <w:jc w:val="both"/>
      </w:pPr>
    </w:p>
    <w:p w:rsidR="000215C5" w:rsidRDefault="00703023">
      <w:pPr>
        <w:pStyle w:val="Rubrik4"/>
      </w:pPr>
      <w:bookmarkStart w:id="346" w:name="_Ref402951153"/>
      <w:r>
        <w:t>Vägledning om innehållet i förvaltningsplanerna för avrinningsdistrikt/bakgrundsdokument</w:t>
      </w:r>
      <w:bookmarkEnd w:id="346"/>
      <w:r>
        <w:t xml:space="preserve"> </w:t>
      </w:r>
    </w:p>
    <w:p w:rsidR="000215C5" w:rsidRDefault="00703023">
      <w:pPr>
        <w:jc w:val="both"/>
      </w:pPr>
      <w:r>
        <w:t>Nedan ges vägledning om de uppgifter som kommissionen förväntar sig att medlemsstaterna lämnar i de relevanta kapitlen om metoder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ind w:left="426"/>
        <w:jc w:val="both"/>
        <w:rPr>
          <w:b/>
        </w:rPr>
      </w:pPr>
      <w:r>
        <w:rPr>
          <w:b/>
        </w:rPr>
        <w:t>Typologi</w:t>
      </w:r>
    </w:p>
    <w:p w:rsidR="000215C5" w:rsidRDefault="00703023">
      <w:pPr>
        <w:numPr>
          <w:ilvl w:val="0"/>
          <w:numId w:val="33"/>
        </w:numPr>
        <w:jc w:val="both"/>
      </w:pPr>
      <w:r>
        <w:t>Bakgrundsdokumenten till förvaltningsplanerna ska innehålla en detaljerad beskrivning av typologimetoden, med uppgift om system A eller B har använts, typologifaktorer (deskriptorer) och relaterade intervall, metoder för att testa typologin mot biologiska uppgifter och uppgifter om typspecifika referensförhållanden.</w:t>
      </w:r>
    </w:p>
    <w:p w:rsidR="000215C5" w:rsidRDefault="00703023">
      <w:pPr>
        <w:numPr>
          <w:ilvl w:val="0"/>
          <w:numId w:val="33"/>
        </w:numPr>
        <w:jc w:val="both"/>
      </w:pPr>
      <w:r>
        <w:t>Kustmedlemsstater som inte har avgränsat vatten i övergångszoner ska lämna en tydlig motivering till detta i bakgrundsdokumenten.</w:t>
      </w:r>
    </w:p>
    <w:p w:rsidR="000215C5" w:rsidRDefault="00703023">
      <w:pPr>
        <w:numPr>
          <w:ilvl w:val="0"/>
          <w:numId w:val="33"/>
        </w:numPr>
        <w:jc w:val="both"/>
      </w:pPr>
      <w:r>
        <w:t>När det gäller internationella avrinningsdistrikt ska det anges om typologin samordnades med de medlemsstater och tredjeländer som ingår i det internationella avrinningsdistriktet, och om så är fallet, hur samordningen genomfördes och vilka resultat den gav. Om typologin inte samordnades ska medlemsstaterna ange skälen till detta, vilka åtgärder som har vidtagits för att rätta till denna brist och när samordning kommer att införas.</w:t>
      </w:r>
    </w:p>
    <w:p w:rsidR="000215C5" w:rsidRDefault="00703023" w:rsidP="00986238">
      <w:pPr>
        <w:pageBreakBefore/>
        <w:ind w:left="425"/>
        <w:jc w:val="both"/>
        <w:rPr>
          <w:b/>
        </w:rPr>
      </w:pPr>
      <w:r>
        <w:rPr>
          <w:b/>
        </w:rPr>
        <w:t>Små vattenförekomster</w:t>
      </w:r>
    </w:p>
    <w:p w:rsidR="000215C5" w:rsidRDefault="00703023">
      <w:pPr>
        <w:numPr>
          <w:ilvl w:val="0"/>
          <w:numId w:val="33"/>
        </w:numPr>
        <w:jc w:val="both"/>
      </w:pPr>
      <w:r>
        <w:t xml:space="preserve">Beskriv det valda tillvägagångssättet för att hantera små vattenförekomster, inklusive information om den storleksgräns som använts för avgränsningen av vattenförekomster för floder, sjöar och vatten i övergångszoner. </w:t>
      </w:r>
    </w:p>
    <w:p w:rsidR="000215C5" w:rsidRDefault="00703023">
      <w:pPr>
        <w:ind w:left="360"/>
        <w:jc w:val="both"/>
        <w:rPr>
          <w:b/>
        </w:rPr>
      </w:pPr>
      <w:r>
        <w:rPr>
          <w:b/>
        </w:rPr>
        <w:t>Referensförhållanden</w:t>
      </w:r>
    </w:p>
    <w:p w:rsidR="000215C5" w:rsidRDefault="00703023">
      <w:pPr>
        <w:numPr>
          <w:ilvl w:val="0"/>
          <w:numId w:val="33"/>
        </w:numPr>
        <w:jc w:val="both"/>
      </w:pPr>
      <w:r>
        <w:t>Beskriv referensförhållandena för alla typer och kvalitetsf</w:t>
      </w:r>
      <w:r w:rsidR="00BD251F">
        <w:t>aktorer (biologiska, fysikalisk</w:t>
      </w:r>
      <w:r w:rsidR="00BD251F">
        <w:noBreakHyphen/>
      </w:r>
      <w:r>
        <w:t xml:space="preserve">kemiska och hydromorfologiska). Identifiera tydligt eventuella luckor. Ange eventuella kvalitetsfaktorer som inte anses vara tillförlitliga för vissa typer (enligt bilaga II avsnitt 1.3.vi i vattendirektivet) och ange skälen till detta. </w:t>
      </w:r>
    </w:p>
    <w:p w:rsidR="000215C5" w:rsidRDefault="00703023">
      <w:pPr>
        <w:ind w:left="426"/>
        <w:jc w:val="both"/>
        <w:rPr>
          <w:b/>
        </w:rPr>
      </w:pPr>
      <w:r>
        <w:rPr>
          <w:b/>
        </w:rPr>
        <w:t>Angivande av kraftigt modifierade vattenförekomster</w:t>
      </w:r>
    </w:p>
    <w:p w:rsidR="000215C5" w:rsidRDefault="00703023">
      <w:pPr>
        <w:numPr>
          <w:ilvl w:val="0"/>
          <w:numId w:val="33"/>
        </w:numPr>
        <w:jc w:val="both"/>
      </w:pPr>
      <w:r>
        <w:t>Lämna en detaljerad beskrivning av metoden för att utse kraftigt modifierade vattenförekomster, inklusive följande:</w:t>
      </w:r>
    </w:p>
    <w:p w:rsidR="000215C5" w:rsidRDefault="00703023">
      <w:pPr>
        <w:numPr>
          <w:ilvl w:val="1"/>
          <w:numId w:val="33"/>
        </w:numPr>
        <w:jc w:val="both"/>
      </w:pPr>
      <w:r>
        <w:t>De kriterier som använts för att identifiera väsentliga ändringar i karaktären. Om gränsvärden har använts ska de anges (t.ex. procentandel, längd eller yta för den vattenförekomst som påverkas av modifieringen, storlek på dammar eller uppdämningar).</w:t>
      </w:r>
    </w:p>
    <w:p w:rsidR="000215C5" w:rsidRDefault="00703023">
      <w:pPr>
        <w:numPr>
          <w:ilvl w:val="1"/>
          <w:numId w:val="33"/>
        </w:numPr>
        <w:jc w:val="both"/>
      </w:pPr>
      <w:r>
        <w:t>Typ av fysiska ändringar som övervägts i beslutet om att utse kraftigt modifierade vattenförekomster.</w:t>
      </w:r>
    </w:p>
    <w:p w:rsidR="000215C5" w:rsidRDefault="00703023">
      <w:pPr>
        <w:numPr>
          <w:ilvl w:val="1"/>
          <w:numId w:val="33"/>
        </w:numPr>
        <w:jc w:val="both"/>
      </w:pPr>
      <w:r>
        <w:t xml:space="preserve">De kriterier som använts i bedömningen av betydande negativ påverkan på användningen. Ange om gränsvärden har använts för olika vattenanvändningar för att fastställa betydande negativ påverkan (t.ex. procentandel förluster i energiproduktion och jordbruksproduktion och ökad översvämningsrisk). </w:t>
      </w:r>
    </w:p>
    <w:p w:rsidR="000215C5" w:rsidRDefault="00703023">
      <w:pPr>
        <w:numPr>
          <w:ilvl w:val="1"/>
          <w:numId w:val="33"/>
        </w:numPr>
        <w:jc w:val="both"/>
      </w:pPr>
      <w:r>
        <w:t>Ange vattenanvändningsområdena för den utsedda kraftigt modifierade vattenförekomsten och antal eller procentandel vattenförekomster för varje användningsområde.</w:t>
      </w:r>
    </w:p>
    <w:p w:rsidR="000215C5" w:rsidRDefault="00703023">
      <w:pPr>
        <w:numPr>
          <w:ilvl w:val="1"/>
          <w:numId w:val="33"/>
        </w:numPr>
        <w:jc w:val="both"/>
      </w:pPr>
      <w:r>
        <w:t>Förklara hur artikel 4.3 b i vattendirektivet har tillämpats (bättre alternativ för miljön). Vilka ”andra sätt” har övervägts för varje vattenanvändning? Beskriv alla fall där bedömningen har visat att det finns ett behov av att återställa vattenförekomsten och uppnå de nyttiga målen på andra sätt som är avsevärt bättre alternativ för miljön.</w:t>
      </w:r>
    </w:p>
    <w:p w:rsidR="000215C5" w:rsidRDefault="00703023">
      <w:pPr>
        <w:jc w:val="both"/>
      </w:pPr>
      <w:r>
        <w:t>Se följande CIS-vägledningar för närmare information:</w:t>
      </w:r>
    </w:p>
    <w:p w:rsidR="000215C5" w:rsidRPr="006E59C8" w:rsidRDefault="00703023">
      <w:pPr>
        <w:pStyle w:val="ListNumber2Level4"/>
        <w:numPr>
          <w:ilvl w:val="0"/>
          <w:numId w:val="23"/>
        </w:numPr>
        <w:jc w:val="both"/>
        <w:rPr>
          <w:lang w:val="en-GB"/>
        </w:rPr>
      </w:pPr>
      <w:r w:rsidRPr="006E59C8">
        <w:rPr>
          <w:lang w:val="en-GB"/>
        </w:rPr>
        <w:t xml:space="preserve">CIS-vägledningsdokument nr 2: </w:t>
      </w:r>
      <w:r w:rsidRPr="006E59C8">
        <w:rPr>
          <w:i/>
          <w:lang w:val="en-GB"/>
        </w:rPr>
        <w:t>Identification of Water Bodies</w:t>
      </w:r>
      <w:r>
        <w:rPr>
          <w:rStyle w:val="Fotnotsreferens"/>
        </w:rPr>
        <w:footnoteReference w:id="72"/>
      </w:r>
      <w:r w:rsidRPr="006E59C8">
        <w:rPr>
          <w:lang w:val="en-GB"/>
        </w:rPr>
        <w:t>.</w:t>
      </w:r>
    </w:p>
    <w:p w:rsidR="000215C5" w:rsidRPr="006E59C8" w:rsidRDefault="00703023">
      <w:pPr>
        <w:pStyle w:val="ListNumber2Level4"/>
        <w:numPr>
          <w:ilvl w:val="0"/>
          <w:numId w:val="23"/>
        </w:numPr>
        <w:jc w:val="both"/>
        <w:rPr>
          <w:lang w:val="en-GB"/>
        </w:rPr>
      </w:pPr>
      <w:r w:rsidRPr="006E59C8">
        <w:rPr>
          <w:lang w:val="en-GB"/>
        </w:rPr>
        <w:t xml:space="preserve">CIS-vägledningsdokument nr 4: </w:t>
      </w:r>
      <w:r w:rsidRPr="006E59C8">
        <w:rPr>
          <w:i/>
          <w:lang w:val="en-GB"/>
        </w:rPr>
        <w:t>Identification and Designation of Heavily Modified and Artificial Water Bodies</w:t>
      </w:r>
      <w:r>
        <w:rPr>
          <w:rStyle w:val="Fotnotsreferens"/>
        </w:rPr>
        <w:footnoteReference w:id="73"/>
      </w:r>
      <w:r w:rsidRPr="006E59C8">
        <w:rPr>
          <w:lang w:val="en-GB"/>
        </w:rPr>
        <w:t>.</w:t>
      </w:r>
    </w:p>
    <w:p w:rsidR="000215C5" w:rsidRPr="006E59C8" w:rsidRDefault="00703023">
      <w:pPr>
        <w:pStyle w:val="ListNumber2Level4"/>
        <w:numPr>
          <w:ilvl w:val="0"/>
          <w:numId w:val="23"/>
        </w:numPr>
        <w:jc w:val="both"/>
        <w:rPr>
          <w:lang w:val="en-GB"/>
        </w:rPr>
      </w:pPr>
      <w:r w:rsidRPr="006E59C8">
        <w:rPr>
          <w:lang w:val="en-GB"/>
        </w:rPr>
        <w:t xml:space="preserve">CIS-vägledningsdokument nr 5: </w:t>
      </w:r>
      <w:r w:rsidRPr="006E59C8">
        <w:rPr>
          <w:i/>
          <w:lang w:val="en-GB"/>
        </w:rPr>
        <w:t>Transitional and Coastal Waters – Typology, Reference Conditions and Classification Systems</w:t>
      </w:r>
      <w:r>
        <w:rPr>
          <w:rStyle w:val="Fotnotsreferens"/>
        </w:rPr>
        <w:footnoteReference w:id="74"/>
      </w:r>
      <w:r w:rsidRPr="006E59C8">
        <w:rPr>
          <w:lang w:val="en-GB"/>
        </w:rPr>
        <w:t>.</w:t>
      </w:r>
    </w:p>
    <w:p w:rsidR="000215C5" w:rsidRPr="006E59C8" w:rsidRDefault="00703023">
      <w:pPr>
        <w:pStyle w:val="ListNumber2Level4"/>
        <w:numPr>
          <w:ilvl w:val="0"/>
          <w:numId w:val="23"/>
        </w:numPr>
        <w:jc w:val="both"/>
        <w:rPr>
          <w:lang w:val="en-GB"/>
        </w:rPr>
      </w:pPr>
      <w:r w:rsidRPr="006E59C8">
        <w:rPr>
          <w:lang w:val="en-GB"/>
        </w:rPr>
        <w:t xml:space="preserve">CIS-vägledningsdokument nr 10: </w:t>
      </w:r>
      <w:r w:rsidRPr="006E59C8">
        <w:rPr>
          <w:i/>
          <w:lang w:val="en-GB"/>
        </w:rPr>
        <w:t>Rivers and Lakes – Typology, Reference Conditions and Classification Systems</w:t>
      </w:r>
      <w:r>
        <w:rPr>
          <w:rStyle w:val="Fotnotsreferens"/>
        </w:rPr>
        <w:footnoteReference w:id="75"/>
      </w:r>
      <w:r w:rsidRPr="006E59C8">
        <w:rPr>
          <w:lang w:val="en-GB"/>
        </w:rPr>
        <w:t>.</w:t>
      </w:r>
    </w:p>
    <w:p w:rsidR="000215C5" w:rsidRDefault="00703023">
      <w:pPr>
        <w:jc w:val="both"/>
      </w:pPr>
      <w:r>
        <w:t>Se även det officiella beslutet om interkalibrering</w:t>
      </w:r>
      <w:r>
        <w:rPr>
          <w:rStyle w:val="Fotnotsreferens"/>
        </w:rPr>
        <w:footnoteReference w:id="76"/>
      </w:r>
      <w:r>
        <w:t xml:space="preserve"> och tekniska rapporter</w:t>
      </w:r>
      <w:r>
        <w:rPr>
          <w:rStyle w:val="Fotnotsreferens"/>
        </w:rPr>
        <w:footnoteReference w:id="77"/>
      </w:r>
      <w:r>
        <w:t>.</w:t>
      </w:r>
    </w:p>
    <w:p w:rsidR="000215C5" w:rsidRDefault="00703023">
      <w:pPr>
        <w:pStyle w:val="Rubrik4"/>
      </w:pPr>
      <w:r>
        <w:t>Ordlista: förtydligande av begrepp och rapporteringskrav</w:t>
      </w:r>
    </w:p>
    <w:p w:rsidR="000215C5" w:rsidRDefault="00703023">
      <w:pPr>
        <w:autoSpaceDE w:val="0"/>
        <w:autoSpaceDN w:val="0"/>
        <w:adjustRightInd w:val="0"/>
        <w:spacing w:after="0"/>
        <w:jc w:val="both"/>
        <w:rPr>
          <w:szCs w:val="24"/>
        </w:rPr>
      </w:pPr>
      <w:r>
        <w:t xml:space="preserve">Miljön i stort: </w:t>
      </w:r>
    </w:p>
    <w:p w:rsidR="000215C5" w:rsidRDefault="000215C5">
      <w:pPr>
        <w:autoSpaceDE w:val="0"/>
        <w:autoSpaceDN w:val="0"/>
        <w:adjustRightInd w:val="0"/>
        <w:spacing w:after="0"/>
        <w:jc w:val="both"/>
        <w:rPr>
          <w:szCs w:val="24"/>
        </w:rPr>
      </w:pPr>
    </w:p>
    <w:p w:rsidR="000215C5" w:rsidRDefault="00703023">
      <w:pPr>
        <w:autoSpaceDE w:val="0"/>
        <w:autoSpaceDN w:val="0"/>
        <w:adjustRightInd w:val="0"/>
        <w:spacing w:after="0"/>
        <w:jc w:val="both"/>
        <w:rPr>
          <w:szCs w:val="24"/>
        </w:rPr>
      </w:pPr>
      <w:r>
        <w:t>Begreppet miljön i stort definieras i artikel 4.3ai i vattendirektivet. ”En begränsad definition av miljön skulle därför inte vara lämplig och miljön anses omfatta den naturliga och den mänskliga miljön, inbegripet arkeologi, kulturarv, landskap och geomorfologi.”</w:t>
      </w:r>
      <w:r>
        <w:rPr>
          <w:vertAlign w:val="superscript"/>
        </w:rPr>
        <w:footnoteReference w:id="78"/>
      </w:r>
      <w:r>
        <w:t>.</w:t>
      </w:r>
    </w:p>
    <w:p w:rsidR="000215C5" w:rsidRDefault="000215C5">
      <w:pPr>
        <w:jc w:val="both"/>
        <w:rPr>
          <w:rFonts w:ascii="Arial" w:hAnsi="Arial" w:cs="Arial"/>
          <w:sz w:val="20"/>
        </w:rPr>
      </w:pPr>
    </w:p>
    <w:p w:rsidR="000215C5" w:rsidRDefault="00703023">
      <w:pPr>
        <w:pStyle w:val="Rubrik2"/>
        <w:jc w:val="both"/>
      </w:pPr>
      <w:bookmarkStart w:id="347" w:name="_Toc375220082"/>
      <w:bookmarkStart w:id="348" w:name="_Ref385315934"/>
      <w:bookmarkStart w:id="349" w:name="_Toc386464239"/>
      <w:bookmarkStart w:id="350" w:name="_Toc425522065"/>
      <w:bookmarkStart w:id="351" w:name="_Toc432666077"/>
      <w:bookmarkStart w:id="352" w:name="_Toc437520273"/>
      <w:r>
        <w:t>Metoder för klassificering av ekologisk status och potential</w:t>
      </w:r>
      <w:bookmarkEnd w:id="347"/>
      <w:bookmarkEnd w:id="348"/>
      <w:bookmarkEnd w:id="349"/>
      <w:bookmarkEnd w:id="350"/>
      <w:bookmarkEnd w:id="351"/>
      <w:bookmarkEnd w:id="352"/>
    </w:p>
    <w:p w:rsidR="000215C5" w:rsidRDefault="00703023">
      <w:pPr>
        <w:pStyle w:val="Rubrik3"/>
      </w:pPr>
      <w:bookmarkStart w:id="353" w:name="_Toc375220083"/>
      <w:r>
        <w:t>Inledning</w:t>
      </w:r>
    </w:p>
    <w:bookmarkEnd w:id="353"/>
    <w:p w:rsidR="000215C5" w:rsidRDefault="00703023">
      <w:pPr>
        <w:jc w:val="both"/>
        <w:rPr>
          <w:szCs w:val="24"/>
        </w:rPr>
      </w:pPr>
      <w:r>
        <w:t>I bilaga V till vattendirektivet anges hur medlemsstaterna ska övervaka och presentera statusklassificering. Kommissionen behöver försäkra sig om att god status/potential har fastställts enligt direktivets bestämmelser och på ett konsekvent och jämförbart sätt inom EU. Statuskraven avser samtliga kvalitetsfaktorer i direktivet, både kemiska och biologiska. De normativa bestämmelserna i bilaga V är en utgångspunkt. Tolkningen och tillämpningen av dessa definitioner kan skilja sig åt, vilket kan leda till stora variationer mellan medlemsstaterna. I detta avseende är det viktigt att jämföra de kriterier och gränsvärden som medlemsstaterna har fastställt. Syftet med interkalibrering är visserligen att se till att definitionen av hög och god ekologisk status är konsekvent, men den visar inte om medlemsstaterna har rättat sig efter resultaten av interkalibreringen eller om klassificeringsgränser har fastställts för alla typer av vattenförekomster och kvalitetsfaktorer enligt kraven. Interkalibrering har dock visat sig vara en användbar mall för insamling av sådan information, som har använts i utformningen av denna vägledning om rapportering enligt vattendirektivet.</w:t>
      </w:r>
    </w:p>
    <w:p w:rsidR="000215C5" w:rsidRDefault="00703023">
      <w:pPr>
        <w:pStyle w:val="Rubrik3"/>
      </w:pPr>
      <w:r>
        <w:t>Hur kommer kommissionen och Europeiska miljöbyrån att använda den rapporterade informationen?</w:t>
      </w:r>
    </w:p>
    <w:p w:rsidR="000215C5" w:rsidRDefault="00703023">
      <w:pPr>
        <w:jc w:val="both"/>
        <w:rPr>
          <w:szCs w:val="24"/>
        </w:rPr>
      </w:pPr>
      <w:r>
        <w:t>Den information som rapporteras av medlemsstaterna kommer att användas för att kontrollera om medlemsstaterna har upprättat ett klassificeringssystem enligt vattendirektivet. Den kommer dessutom att användas för att fastställa om statusklasserna överensstämmer med direktivet och om de är heltäckande och jämförbara mellan medlemsstaterna och avrinningsdistrikten. Jämförelsen mellan bedömningskriterierna och gränsvärdena kommer att skapa större insyn i omfattningen av miljöskyddet och medlemsstaternas ambitionsnivå. Det kommer även att bli möjligt att kartlägga skillnader i bedömningsmetoderna för att se om de är heltäckande och jämförbara.</w:t>
      </w:r>
    </w:p>
    <w:p w:rsidR="000215C5" w:rsidRDefault="00703023">
      <w:pPr>
        <w:jc w:val="both"/>
        <w:rPr>
          <w:szCs w:val="24"/>
        </w:rPr>
      </w:pPr>
      <w:r>
        <w:t>På EU-nivå kommer statistik och information att lämnas till Europaparlamentet. Allmänheten kommer att få tillgång till informationen via Wise.</w:t>
      </w:r>
    </w:p>
    <w:p w:rsidR="000215C5" w:rsidRDefault="00703023">
      <w:pPr>
        <w:pStyle w:val="Rubrik4"/>
      </w:pPr>
      <w:r>
        <w:t>Produkter från rapporteringen</w:t>
      </w:r>
    </w:p>
    <w:p w:rsidR="000215C5" w:rsidRDefault="00703023">
      <w:pPr>
        <w:jc w:val="both"/>
        <w:rPr>
          <w:szCs w:val="24"/>
        </w:rPr>
      </w:pPr>
      <w:r>
        <w:t>Följande produkter kommer att tas fram:</w:t>
      </w:r>
    </w:p>
    <w:p w:rsidR="000215C5" w:rsidRDefault="00703023">
      <w:pPr>
        <w:pStyle w:val="Liststycke"/>
        <w:numPr>
          <w:ilvl w:val="0"/>
          <w:numId w:val="86"/>
        </w:numPr>
        <w:jc w:val="both"/>
        <w:rPr>
          <w:szCs w:val="24"/>
        </w:rPr>
      </w:pPr>
      <w:r>
        <w:t>Tabell över bedömningsmetodernas status – finns det metoder för varje vattenkategori och vattentyp? För varje biologisk kvalitetsfaktor.</w:t>
      </w:r>
    </w:p>
    <w:p w:rsidR="000215C5" w:rsidRDefault="00703023">
      <w:pPr>
        <w:pStyle w:val="Liststycke"/>
        <w:numPr>
          <w:ilvl w:val="0"/>
          <w:numId w:val="86"/>
        </w:numPr>
        <w:jc w:val="both"/>
        <w:rPr>
          <w:szCs w:val="24"/>
        </w:rPr>
      </w:pPr>
      <w:r>
        <w:t>Tabell över de former av påverkan som metoden är känslig för.</w:t>
      </w:r>
    </w:p>
    <w:p w:rsidR="000215C5" w:rsidRDefault="00703023">
      <w:pPr>
        <w:pStyle w:val="Liststycke"/>
        <w:numPr>
          <w:ilvl w:val="0"/>
          <w:numId w:val="86"/>
        </w:numPr>
        <w:jc w:val="both"/>
        <w:rPr>
          <w:szCs w:val="24"/>
        </w:rPr>
      </w:pPr>
      <w:r>
        <w:t>Tabell över normer för näringsämnen – finns det normer för varje vattenkategori och vattentyp? För varje näringsämne (nivå 3 + parameterns namn, t.ex. totalt fosfor)?</w:t>
      </w:r>
    </w:p>
    <w:p w:rsidR="000215C5" w:rsidRDefault="00703023">
      <w:pPr>
        <w:jc w:val="both"/>
        <w:rPr>
          <w:szCs w:val="24"/>
        </w:rPr>
      </w:pPr>
      <w:r>
        <w:t>Statistik kan också härledas från de huvudsakliga metoder som används av medlemsstaterna.</w:t>
      </w:r>
    </w:p>
    <w:p w:rsidR="000215C5" w:rsidRDefault="00703023">
      <w:pPr>
        <w:pStyle w:val="Rubrik3"/>
      </w:pPr>
      <w:r>
        <w:t>Innehåll i rapporteringen 2016</w:t>
      </w:r>
    </w:p>
    <w:p w:rsidR="000215C5" w:rsidRDefault="00703023">
      <w:pPr>
        <w:pStyle w:val="Rubrik4"/>
      </w:pPr>
      <w:bookmarkStart w:id="354" w:name="_Ref375239097"/>
      <w:r>
        <w:t>Skiss över mallarna</w:t>
      </w:r>
    </w:p>
    <w:p w:rsidR="000215C5" w:rsidRDefault="00703023">
      <w:pPr>
        <w:jc w:val="both"/>
      </w:pPr>
      <w:r>
        <w:t>Se bilaga 10.5.</w:t>
      </w:r>
    </w:p>
    <w:p w:rsidR="000215C5" w:rsidRDefault="00703023">
      <w:pPr>
        <w:pStyle w:val="Rubrik4"/>
      </w:pPr>
      <w:bookmarkStart w:id="355" w:name="_Ref382301852"/>
      <w:bookmarkEnd w:id="354"/>
      <w:r>
        <w:t>Information och uppgifter som ska rapporteras med hjälp av mallarna</w:t>
      </w:r>
      <w:bookmarkEnd w:id="355"/>
    </w:p>
    <w:p w:rsidR="000215C5" w:rsidRDefault="00703023">
      <w:pPr>
        <w:jc w:val="both"/>
        <w:rPr>
          <w:u w:val="single"/>
        </w:rPr>
      </w:pPr>
      <w:r>
        <w:t>Följande klass används för att rapportera information om bedömningsmetoder för biologiska kvalitetsfaktorer: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SWMET (fortsättning)</w:t>
            </w:r>
          </w:p>
        </w:tc>
      </w:tr>
      <w:tr w:rsidR="000215C5">
        <w:tc>
          <w:tcPr>
            <w:tcW w:w="9889" w:type="dxa"/>
            <w:shd w:val="clear" w:color="auto" w:fill="auto"/>
          </w:tcPr>
          <w:p w:rsidR="000215C5" w:rsidRDefault="00703023">
            <w:pPr>
              <w:spacing w:after="120"/>
              <w:jc w:val="both"/>
              <w:rPr>
                <w:b/>
                <w:i/>
                <w:szCs w:val="24"/>
              </w:rPr>
            </w:pPr>
            <w:r>
              <w:rPr>
                <w:b/>
                <w:i/>
              </w:rPr>
              <w:t>Class BQEMethod</w:t>
            </w:r>
          </w:p>
          <w:p w:rsidR="000215C5" w:rsidRDefault="00703023">
            <w:pPr>
              <w:spacing w:after="120"/>
              <w:jc w:val="both"/>
              <w:rPr>
                <w:i/>
                <w:szCs w:val="24"/>
              </w:rPr>
            </w:pPr>
            <w:r>
              <w:rPr>
                <w:b/>
                <w:i/>
              </w:rPr>
              <w:t>Egenskaper</w:t>
            </w:r>
            <w:r>
              <w:rPr>
                <w:i/>
              </w:rPr>
              <w:t>: maxOccurs = unbounded minOccurs = 1</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bqeMethodName</w:t>
            </w:r>
          </w:p>
          <w:p w:rsidR="000215C5" w:rsidRDefault="00703023">
            <w:pPr>
              <w:spacing w:after="120"/>
              <w:jc w:val="both"/>
              <w:rPr>
                <w:szCs w:val="24"/>
              </w:rPr>
            </w:pPr>
            <w:r>
              <w:rPr>
                <w:b/>
              </w:rPr>
              <w:t xml:space="preserve">Fälttyp/alternativ: </w:t>
            </w:r>
            <w:r>
              <w:t>String250Type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namn på den eller de bedömningsmetoder som används för denna biologiska kvalitetsfaktor och kategori. Namnen måste vara desamma som används i förvaltningsplanerna eller bakgrundsdokumenten.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bqeCode</w:t>
            </w:r>
          </w:p>
          <w:p w:rsidR="000215C5" w:rsidRDefault="00703023">
            <w:pPr>
              <w:spacing w:after="120"/>
              <w:jc w:val="both"/>
              <w:rPr>
                <w:szCs w:val="24"/>
              </w:rPr>
            </w:pPr>
            <w:r>
              <w:rPr>
                <w:b/>
              </w:rPr>
              <w:t xml:space="preserve">Fälttyp/alternativ: </w:t>
            </w:r>
            <w:r>
              <w:t>BQE_Enum (se bilaga 8h)</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den biologiska kvalitetsfaktor som bedömningsmetoden är tillämplig på.</w:t>
            </w:r>
          </w:p>
        </w:tc>
      </w:tr>
      <w:tr w:rsidR="000215C5">
        <w:tc>
          <w:tcPr>
            <w:tcW w:w="9889" w:type="dxa"/>
            <w:shd w:val="clear" w:color="auto" w:fill="auto"/>
          </w:tcPr>
          <w:p w:rsidR="000215C5" w:rsidRDefault="00703023">
            <w:pPr>
              <w:spacing w:after="120"/>
              <w:jc w:val="both"/>
              <w:rPr>
                <w:b/>
                <w:szCs w:val="24"/>
              </w:rPr>
            </w:pPr>
            <w:bookmarkStart w:id="356" w:name="Link04057920"/>
            <w:r>
              <w:rPr>
                <w:b/>
              </w:rPr>
              <w:t>Mallpost</w:t>
            </w:r>
            <w:r>
              <w:t>: bqeCategoryRW</w:t>
            </w:r>
          </w:p>
          <w:p w:rsidR="000215C5" w:rsidRDefault="00703023">
            <w:pPr>
              <w:spacing w:after="120"/>
              <w:jc w:val="both"/>
              <w:rPr>
                <w:b/>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Är bedömningsmetoden tillämplig på floder?</w:t>
            </w:r>
          </w:p>
        </w:tc>
      </w:tr>
      <w:tr w:rsidR="000215C5">
        <w:tc>
          <w:tcPr>
            <w:tcW w:w="9889" w:type="dxa"/>
            <w:shd w:val="clear" w:color="auto" w:fill="auto"/>
          </w:tcPr>
          <w:p w:rsidR="000215C5" w:rsidRDefault="00703023">
            <w:pPr>
              <w:spacing w:after="120"/>
              <w:jc w:val="both"/>
              <w:rPr>
                <w:b/>
                <w:szCs w:val="24"/>
              </w:rPr>
            </w:pPr>
            <w:r>
              <w:rPr>
                <w:b/>
              </w:rPr>
              <w:t>Mallpost</w:t>
            </w:r>
            <w:r>
              <w:t>: bqeCategoryLW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Är bedömningsmetoden tillämplig på sjöar?</w:t>
            </w:r>
          </w:p>
        </w:tc>
      </w:tr>
      <w:tr w:rsidR="000215C5">
        <w:tc>
          <w:tcPr>
            <w:tcW w:w="9889" w:type="dxa"/>
            <w:shd w:val="clear" w:color="auto" w:fill="auto"/>
          </w:tcPr>
          <w:p w:rsidR="000215C5" w:rsidRDefault="00703023">
            <w:pPr>
              <w:spacing w:after="120"/>
              <w:jc w:val="both"/>
              <w:rPr>
                <w:b/>
                <w:szCs w:val="24"/>
              </w:rPr>
            </w:pPr>
            <w:r>
              <w:rPr>
                <w:b/>
              </w:rPr>
              <w:t>Mallpost</w:t>
            </w:r>
            <w:r>
              <w:t>: bqeCategoryTW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Är bedömningsmetoden tillämplig på vatten i övergångszoner?</w:t>
            </w:r>
          </w:p>
        </w:tc>
      </w:tr>
      <w:tr w:rsidR="000215C5">
        <w:tc>
          <w:tcPr>
            <w:tcW w:w="9889" w:type="dxa"/>
            <w:shd w:val="clear" w:color="auto" w:fill="auto"/>
          </w:tcPr>
          <w:p w:rsidR="000215C5" w:rsidRDefault="00703023">
            <w:pPr>
              <w:spacing w:after="120"/>
              <w:jc w:val="both"/>
              <w:rPr>
                <w:b/>
                <w:szCs w:val="24"/>
              </w:rPr>
            </w:pPr>
            <w:r>
              <w:rPr>
                <w:b/>
              </w:rPr>
              <w:t>Mallpost</w:t>
            </w:r>
            <w:r>
              <w:t>: bqeCategoryCW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Är bedömningsmetoden tillämplig på kustvatten?</w:t>
            </w:r>
          </w:p>
        </w:tc>
      </w:tr>
      <w:bookmarkEnd w:id="356"/>
      <w:tr w:rsidR="000215C5">
        <w:tc>
          <w:tcPr>
            <w:tcW w:w="9889" w:type="dxa"/>
            <w:shd w:val="clear" w:color="auto" w:fill="auto"/>
          </w:tcPr>
          <w:p w:rsidR="000215C5" w:rsidRDefault="00703023">
            <w:pPr>
              <w:spacing w:after="120"/>
              <w:jc w:val="both"/>
              <w:rPr>
                <w:b/>
                <w:szCs w:val="24"/>
              </w:rPr>
            </w:pPr>
            <w:r>
              <w:rPr>
                <w:b/>
              </w:rPr>
              <w:t>Mallpost</w:t>
            </w:r>
            <w:r>
              <w:t>: bqePercentageOfTypes</w:t>
            </w:r>
          </w:p>
          <w:p w:rsidR="000215C5" w:rsidRDefault="00703023">
            <w:pPr>
              <w:spacing w:after="120"/>
              <w:jc w:val="both"/>
              <w:rPr>
                <w:szCs w:val="24"/>
              </w:rPr>
            </w:pPr>
            <w:r>
              <w:rPr>
                <w:b/>
              </w:rPr>
              <w:t xml:space="preserve">Fälttyp/alternativ: </w:t>
            </w:r>
            <w:r>
              <w:t xml:space="preserve">NumberDecimal0100Type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procentandelen typer för denna biologiska kvalitetsfaktor och kategori för vilka det finns en fullständigt utvecklad bedömningsmetod.</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bqeSensitivityImpactNutrients</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Är bedömningsmetoden främst känslig för förorening av näringsämnen?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bqeSensitivityImpactOrganic</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Är bedömningsmetoden främst känslig för organiska föroreningar?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bqeSensitivityImpactChemical</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Är bedömningsmetoden främst känslig för kemiska föroreningar?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bqeSensitivityImpactSaline</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Är bedömningsmetoden främst känslig för saltföroreningar?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bqeSensitivityImpactAcidification</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Är bedömningsmetoden främst känslig för försurning?</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bqeSensitivityImpactTemperature</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Är bedömningsmetoden främst känslig för förhöjda temperaturer?</w:t>
            </w:r>
          </w:p>
        </w:tc>
      </w:tr>
      <w:tr w:rsidR="000215C5">
        <w:tc>
          <w:tcPr>
            <w:tcW w:w="9889" w:type="dxa"/>
            <w:shd w:val="clear" w:color="auto" w:fill="auto"/>
          </w:tcPr>
          <w:p w:rsidR="000215C5" w:rsidRPr="006E59C8" w:rsidRDefault="00703023">
            <w:pPr>
              <w:spacing w:after="120"/>
              <w:jc w:val="both"/>
              <w:rPr>
                <w:b/>
                <w:szCs w:val="24"/>
                <w:lang w:val="en-GB"/>
              </w:rPr>
            </w:pPr>
            <w:r w:rsidRPr="006E59C8">
              <w:rPr>
                <w:b/>
                <w:lang w:val="en-GB"/>
              </w:rPr>
              <w:t>Mallpost</w:t>
            </w:r>
            <w:r w:rsidRPr="006E59C8">
              <w:rPr>
                <w:lang w:val="en-GB"/>
              </w:rPr>
              <w:t>:</w:t>
            </w:r>
            <w:r w:rsidRPr="006E59C8">
              <w:rPr>
                <w:b/>
                <w:lang w:val="en-GB"/>
              </w:rPr>
              <w:t xml:space="preserve"> </w:t>
            </w:r>
            <w:r w:rsidRPr="006E59C8">
              <w:rPr>
                <w:lang w:val="en-GB"/>
              </w:rPr>
              <w:t>bqeSensitivityImpactHydrological</w:t>
            </w:r>
          </w:p>
          <w:p w:rsidR="000215C5" w:rsidRPr="006E59C8" w:rsidRDefault="00703023">
            <w:pPr>
              <w:spacing w:after="120"/>
              <w:jc w:val="both"/>
              <w:rPr>
                <w:szCs w:val="24"/>
                <w:lang w:val="en-GB"/>
              </w:rPr>
            </w:pPr>
            <w:r w:rsidRPr="006E59C8">
              <w:rPr>
                <w:b/>
                <w:lang w:val="en-GB"/>
              </w:rPr>
              <w:t xml:space="preserve">Fälttyp/alternativ: </w:t>
            </w:r>
            <w:r w:rsidRPr="006E59C8">
              <w:rPr>
                <w:lang w:val="en-GB"/>
              </w:rP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Är bedömningsmetoden främst känslig för ändrade livsmiljöer till följd av hydrologiska förändringar?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bqeSensitivityImpactMorphological</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Är bedömningsmetoden främst känslig för ändrade livsmiljöer till följd av morfologiska förändringar?</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bqeSensitivityImpactOther</w:t>
            </w:r>
          </w:p>
          <w:p w:rsidR="000215C5" w:rsidRDefault="00703023">
            <w:pPr>
              <w:spacing w:after="120"/>
              <w:jc w:val="both"/>
              <w:rPr>
                <w:szCs w:val="24"/>
              </w:rPr>
            </w:pPr>
            <w:r>
              <w:rPr>
                <w:b/>
              </w:rPr>
              <w:t xml:space="preserve">Fälttyp/alternativ: </w:t>
            </w:r>
            <w:r>
              <w:t xml:space="preserve">String100Type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b/>
                <w:szCs w:val="24"/>
              </w:rPr>
            </w:pPr>
            <w:r>
              <w:rPr>
                <w:b/>
              </w:rPr>
              <w:t>Vägledning om hur man fyller i mallposten</w:t>
            </w:r>
            <w:r>
              <w:t>: Frivilligt. I förekommande fall, ange eventuella andra effekter som bedömningsmetoden är känslig för och som inte finns med i de föregående frågorna.</w:t>
            </w:r>
          </w:p>
        </w:tc>
      </w:tr>
    </w:tbl>
    <w:p w:rsidR="000215C5" w:rsidRDefault="000215C5">
      <w:pPr>
        <w:jc w:val="both"/>
        <w:rPr>
          <w:szCs w:val="24"/>
          <w:u w:val="single"/>
        </w:rPr>
      </w:pPr>
    </w:p>
    <w:p w:rsidR="000215C5" w:rsidRDefault="00703023">
      <w:pPr>
        <w:jc w:val="both"/>
        <w:rPr>
          <w:u w:val="single"/>
        </w:rPr>
      </w:pPr>
      <w:r>
        <w:t>Följande klass används för att rapportera information om bedömningsmetoder för stödjande kvalitetsfaktorer: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SWMET (fortsättning)</w:t>
            </w:r>
          </w:p>
        </w:tc>
      </w:tr>
      <w:tr w:rsidR="000215C5">
        <w:tc>
          <w:tcPr>
            <w:tcW w:w="9889" w:type="dxa"/>
            <w:shd w:val="clear" w:color="auto" w:fill="auto"/>
          </w:tcPr>
          <w:p w:rsidR="000215C5" w:rsidRDefault="00703023">
            <w:pPr>
              <w:spacing w:after="120"/>
              <w:jc w:val="both"/>
              <w:rPr>
                <w:b/>
                <w:i/>
              </w:rPr>
            </w:pPr>
            <w:r>
              <w:rPr>
                <w:b/>
                <w:i/>
              </w:rPr>
              <w:t>Class SWSupportingQE</w:t>
            </w:r>
          </w:p>
          <w:p w:rsidR="000215C5" w:rsidRDefault="00703023">
            <w:pPr>
              <w:spacing w:after="120"/>
              <w:jc w:val="both"/>
              <w:rPr>
                <w:i/>
                <w:szCs w:val="24"/>
              </w:rPr>
            </w:pPr>
            <w:r>
              <w:rPr>
                <w:b/>
                <w:i/>
              </w:rPr>
              <w:t xml:space="preserve">Egenskaper: </w:t>
            </w:r>
            <w:r>
              <w:rPr>
                <w:i/>
              </w:rPr>
              <w:t>maxOccurs = unbounded minOccurs = 1</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supportingQECode</w:t>
            </w:r>
          </w:p>
          <w:p w:rsidR="000215C5" w:rsidRDefault="00703023">
            <w:pPr>
              <w:spacing w:after="120"/>
              <w:jc w:val="both"/>
              <w:rPr>
                <w:szCs w:val="24"/>
              </w:rPr>
            </w:pPr>
            <w:r>
              <w:rPr>
                <w:b/>
              </w:rPr>
              <w:t xml:space="preserve">Fälttyp/alternativ: </w:t>
            </w:r>
            <w:r>
              <w:t>SupportingQE_Enum (se bilaga 8h):</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Välj i tur och ordning varje stödjande hydromorfologisk och fysikalisk-kemisk kvalitetsfaktor från uppräkningslistan och rapportera information i var och en av de följande mallposterna för varje stödjande kvalitetsfaktor. </w:t>
            </w:r>
          </w:p>
        </w:tc>
      </w:tr>
      <w:tr w:rsidR="000215C5">
        <w:tc>
          <w:tcPr>
            <w:tcW w:w="9889" w:type="dxa"/>
            <w:shd w:val="clear" w:color="auto" w:fill="auto"/>
          </w:tcPr>
          <w:p w:rsidR="000215C5" w:rsidRDefault="00703023">
            <w:pPr>
              <w:spacing w:after="120"/>
              <w:jc w:val="both"/>
              <w:rPr>
                <w:b/>
                <w:szCs w:val="24"/>
              </w:rPr>
            </w:pPr>
            <w:r>
              <w:rPr>
                <w:b/>
              </w:rPr>
              <w:t>Mallpost</w:t>
            </w:r>
            <w:r>
              <w:t>: supportingQECategoryRW</w:t>
            </w:r>
          </w:p>
          <w:p w:rsidR="000215C5" w:rsidRDefault="00703023">
            <w:pPr>
              <w:spacing w:after="120"/>
              <w:jc w:val="both"/>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denna stödjande kvalitetsfaktor bedömts när det gäller ekologisk status/potential för floder? </w:t>
            </w:r>
          </w:p>
        </w:tc>
      </w:tr>
      <w:tr w:rsidR="000215C5">
        <w:tc>
          <w:tcPr>
            <w:tcW w:w="9889" w:type="dxa"/>
            <w:shd w:val="clear" w:color="auto" w:fill="auto"/>
          </w:tcPr>
          <w:p w:rsidR="000215C5" w:rsidRDefault="00703023">
            <w:pPr>
              <w:spacing w:after="120"/>
              <w:jc w:val="both"/>
              <w:rPr>
                <w:b/>
                <w:szCs w:val="24"/>
              </w:rPr>
            </w:pPr>
            <w:r>
              <w:rPr>
                <w:b/>
              </w:rPr>
              <w:t>Mallpost</w:t>
            </w:r>
            <w:r>
              <w:t>: supportingQECategoryLW</w:t>
            </w:r>
          </w:p>
          <w:p w:rsidR="000215C5" w:rsidRDefault="00703023">
            <w:pPr>
              <w:spacing w:after="120"/>
              <w:jc w:val="both"/>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denna stödjande kvalitetsfaktor bedömts när det gäller ekologisk status/potential för sjöar? </w:t>
            </w:r>
          </w:p>
        </w:tc>
      </w:tr>
      <w:tr w:rsidR="000215C5">
        <w:tc>
          <w:tcPr>
            <w:tcW w:w="9889" w:type="dxa"/>
            <w:shd w:val="clear" w:color="auto" w:fill="auto"/>
          </w:tcPr>
          <w:p w:rsidR="000215C5" w:rsidRDefault="00703023">
            <w:pPr>
              <w:spacing w:after="120"/>
              <w:jc w:val="both"/>
              <w:rPr>
                <w:b/>
                <w:szCs w:val="24"/>
              </w:rPr>
            </w:pPr>
            <w:r>
              <w:rPr>
                <w:b/>
              </w:rPr>
              <w:t>Mallpost</w:t>
            </w:r>
            <w:r>
              <w:t>: supportingQECategoryTW</w:t>
            </w:r>
          </w:p>
          <w:p w:rsidR="000215C5" w:rsidRDefault="00703023">
            <w:pPr>
              <w:spacing w:after="120"/>
              <w:jc w:val="both"/>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denna stödjande kvalitetsfaktor bedömts när det gäller ekologisk status/potential för vatten i övergångszoner? </w:t>
            </w:r>
          </w:p>
        </w:tc>
      </w:tr>
      <w:tr w:rsidR="000215C5">
        <w:tc>
          <w:tcPr>
            <w:tcW w:w="9889" w:type="dxa"/>
            <w:shd w:val="clear" w:color="auto" w:fill="auto"/>
          </w:tcPr>
          <w:p w:rsidR="000215C5" w:rsidRDefault="00703023">
            <w:pPr>
              <w:spacing w:after="120"/>
              <w:jc w:val="both"/>
              <w:rPr>
                <w:b/>
                <w:szCs w:val="24"/>
              </w:rPr>
            </w:pPr>
            <w:r>
              <w:rPr>
                <w:b/>
              </w:rPr>
              <w:t>Mallpost</w:t>
            </w:r>
            <w:r>
              <w:t>: supportingQECategoryCW</w:t>
            </w:r>
          </w:p>
          <w:p w:rsidR="000215C5" w:rsidRDefault="00703023">
            <w:pPr>
              <w:spacing w:after="120"/>
              <w:jc w:val="both"/>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denna stödjande kvalitetsfaktor bedömts när det gäller ekologisk status/potential för kustvatten? </w:t>
            </w:r>
          </w:p>
        </w:tc>
      </w:tr>
      <w:tr w:rsidR="000215C5">
        <w:tc>
          <w:tcPr>
            <w:tcW w:w="9889" w:type="dxa"/>
            <w:shd w:val="clear" w:color="auto" w:fill="auto"/>
          </w:tcPr>
          <w:p w:rsidR="000215C5" w:rsidRDefault="00703023">
            <w:pPr>
              <w:spacing w:after="120"/>
              <w:jc w:val="both"/>
              <w:rPr>
                <w:b/>
                <w:szCs w:val="24"/>
              </w:rPr>
            </w:pPr>
            <w:r>
              <w:rPr>
                <w:b/>
              </w:rPr>
              <w:t>Mallpost</w:t>
            </w:r>
            <w:r>
              <w:t>: supportingQESensitivityBQE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klassificeringsgränserna för denna stödjande kvalitetsfaktor är relaterade till klassificeringsgränserna för känsliga biologiska kvalitetsfaktorer.</w:t>
            </w:r>
          </w:p>
        </w:tc>
      </w:tr>
    </w:tbl>
    <w:p w:rsidR="000215C5" w:rsidRDefault="000215C5">
      <w:pPr>
        <w:jc w:val="both"/>
        <w:rPr>
          <w:szCs w:val="24"/>
          <w:u w:val="single"/>
        </w:rPr>
      </w:pPr>
    </w:p>
    <w:p w:rsidR="000215C5" w:rsidRDefault="00703023">
      <w:pPr>
        <w:jc w:val="both"/>
        <w:rPr>
          <w:u w:val="single"/>
        </w:rPr>
      </w:pPr>
      <w:r>
        <w:t>Följande klass används för att rapportera information om normer för allmänna fysikalisk-kemiska kvalitetsfaktorer, inklusive näringsämnen.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SWMET (fortsättning)</w:t>
            </w:r>
          </w:p>
        </w:tc>
      </w:tr>
      <w:tr w:rsidR="000215C5">
        <w:tc>
          <w:tcPr>
            <w:tcW w:w="9853" w:type="dxa"/>
            <w:shd w:val="clear" w:color="auto" w:fill="auto"/>
          </w:tcPr>
          <w:p w:rsidR="000215C5" w:rsidRDefault="00703023">
            <w:pPr>
              <w:spacing w:after="120"/>
              <w:jc w:val="both"/>
              <w:rPr>
                <w:b/>
                <w:i/>
                <w:szCs w:val="24"/>
              </w:rPr>
            </w:pPr>
            <w:r>
              <w:rPr>
                <w:b/>
                <w:i/>
              </w:rPr>
              <w:t>Class SWPhysicoChemicalQE</w:t>
            </w:r>
          </w:p>
          <w:p w:rsidR="000215C5" w:rsidRDefault="00703023">
            <w:pPr>
              <w:spacing w:after="120"/>
              <w:jc w:val="both"/>
              <w:rPr>
                <w:i/>
                <w:szCs w:val="24"/>
              </w:rPr>
            </w:pPr>
            <w:r>
              <w:rPr>
                <w:b/>
                <w:i/>
              </w:rPr>
              <w:t>Egenskaper</w:t>
            </w:r>
            <w:r>
              <w:rPr>
                <w:i/>
              </w:rPr>
              <w:t>: maxOccurs = unbounded minOccurs = 1</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physChemQECode</w:t>
            </w:r>
          </w:p>
          <w:p w:rsidR="000215C5" w:rsidRDefault="00703023">
            <w:pPr>
              <w:spacing w:after="120"/>
              <w:jc w:val="both"/>
              <w:rPr>
                <w:szCs w:val="24"/>
              </w:rPr>
            </w:pPr>
            <w:r>
              <w:rPr>
                <w:b/>
              </w:rPr>
              <w:t xml:space="preserve">Fälttyp/alternativ: </w:t>
            </w:r>
            <w:r>
              <w:t>PhysChemQE_Enum (se bilaga 8h):</w:t>
            </w:r>
          </w:p>
          <w:p w:rsidR="000215C5" w:rsidRDefault="00703023">
            <w:pPr>
              <w:spacing w:after="120"/>
              <w:jc w:val="both"/>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Välj i tur och ordning varje fysikalisk-kemisk kvalitetsfaktor på nivå 4 i aggregeringen från uppräkningslistan och rapportera information i var och en av de följande mallposterna för varje kvalitetsfaktor. Om en kvalitetsfaktor som det finns en norm för inte finns med i uppräkningslistan, välj den mest relevanta kvalitetsfaktorn i ”Other” och lämna en närmare beskrivning i physChemQEOther.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physChemQEOther</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Ange uppgifter för de fysikalisk-kemiska kvalitetsfaktorer som det finns en norm för men som inte finns med i uppräkningslistan i physChemQECode. </w:t>
            </w:r>
          </w:p>
          <w:p w:rsidR="000215C5" w:rsidRDefault="00703023">
            <w:pPr>
              <w:spacing w:after="120"/>
              <w:jc w:val="both"/>
              <w:rPr>
                <w:b/>
                <w:szCs w:val="24"/>
              </w:rPr>
            </w:pPr>
            <w:r>
              <w:rPr>
                <w:b/>
              </w:rPr>
              <w:t>Kvalitetskontroller</w:t>
            </w:r>
            <w:r>
              <w:t xml:space="preserve">: Villkorlig kontroll: Rapportera om physChemQECode är ”QE3-1-1-2 Other determinand for transparency”, ”QE3-1-2-2 Other determinand for thermal conditions”, ”QE3-1-3-3 Other determinand for oxygenation conditions”, ”QE3-1-4-2 Other </w:t>
            </w:r>
            <w:r w:rsidR="00973495">
              <w:t>determinand for salinity”, ”QE3</w:t>
            </w:r>
            <w:r w:rsidR="00973495">
              <w:noBreakHyphen/>
            </w:r>
            <w:r>
              <w:t>1-5-2 Other determinand for acidification status” eller ”QE3-1-6-9 Other determinand for nutrient conditions”.</w:t>
            </w:r>
          </w:p>
        </w:tc>
      </w:tr>
      <w:tr w:rsidR="000215C5">
        <w:tc>
          <w:tcPr>
            <w:tcW w:w="9853" w:type="dxa"/>
            <w:shd w:val="clear" w:color="auto" w:fill="auto"/>
          </w:tcPr>
          <w:p w:rsidR="000215C5" w:rsidRDefault="00703023">
            <w:pPr>
              <w:spacing w:after="120"/>
              <w:jc w:val="both"/>
              <w:rPr>
                <w:b/>
                <w:szCs w:val="24"/>
              </w:rPr>
            </w:pPr>
            <w:r>
              <w:rPr>
                <w:b/>
              </w:rPr>
              <w:t>Mallpost</w:t>
            </w:r>
            <w:r>
              <w:t>: physChemCategoryRW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Är denna fysikalisk-kemiska norm tillämplig på floder? </w:t>
            </w:r>
          </w:p>
        </w:tc>
      </w:tr>
      <w:tr w:rsidR="000215C5">
        <w:tc>
          <w:tcPr>
            <w:tcW w:w="9853" w:type="dxa"/>
            <w:shd w:val="clear" w:color="auto" w:fill="auto"/>
          </w:tcPr>
          <w:p w:rsidR="000215C5" w:rsidRDefault="00703023">
            <w:pPr>
              <w:spacing w:after="120"/>
              <w:jc w:val="both"/>
              <w:rPr>
                <w:b/>
                <w:szCs w:val="24"/>
              </w:rPr>
            </w:pPr>
            <w:r>
              <w:rPr>
                <w:b/>
              </w:rPr>
              <w:t>Mallpost</w:t>
            </w:r>
            <w:r>
              <w:t>: physChemCategoryLW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Är denna fysikalisk-kemiska norm tillämplig på sjöar? </w:t>
            </w:r>
          </w:p>
        </w:tc>
      </w:tr>
      <w:tr w:rsidR="000215C5">
        <w:tc>
          <w:tcPr>
            <w:tcW w:w="9853" w:type="dxa"/>
            <w:shd w:val="clear" w:color="auto" w:fill="auto"/>
          </w:tcPr>
          <w:p w:rsidR="000215C5" w:rsidRDefault="00703023">
            <w:pPr>
              <w:spacing w:after="120"/>
              <w:jc w:val="both"/>
              <w:rPr>
                <w:b/>
                <w:szCs w:val="24"/>
              </w:rPr>
            </w:pPr>
            <w:r>
              <w:rPr>
                <w:b/>
              </w:rPr>
              <w:t>Mallpost</w:t>
            </w:r>
            <w:r>
              <w:t>: physChemCategoryTW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Är denna fysikalisk-kemiska norm tillämplig på vatten i övergångszoner? </w:t>
            </w:r>
          </w:p>
        </w:tc>
      </w:tr>
      <w:tr w:rsidR="000215C5">
        <w:tc>
          <w:tcPr>
            <w:tcW w:w="9853" w:type="dxa"/>
            <w:shd w:val="clear" w:color="auto" w:fill="auto"/>
          </w:tcPr>
          <w:p w:rsidR="000215C5" w:rsidRDefault="00703023">
            <w:pPr>
              <w:spacing w:after="120"/>
              <w:jc w:val="both"/>
              <w:rPr>
                <w:b/>
                <w:szCs w:val="24"/>
              </w:rPr>
            </w:pPr>
            <w:r>
              <w:rPr>
                <w:b/>
              </w:rPr>
              <w:t>Mallpost</w:t>
            </w:r>
            <w:r>
              <w:t>: physChemCategoryCW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Är denna fysikalisk-kemiska norm tillämplig på kustvatten?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physChemTypeCode</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För varje norm, ange medlemsstatens kod för vattenförekomstens karakteriseringstyp som den rapporterats i mallen för karakterisering av ytvatten (i mallposten surfaceWaterBodyTypeCode) och i förvaltningsplanen samt bakgrundsdokumenten.</w:t>
            </w:r>
          </w:p>
          <w:p w:rsidR="000215C5" w:rsidRDefault="00703023">
            <w:pPr>
              <w:spacing w:after="120"/>
              <w:jc w:val="both"/>
              <w:rPr>
                <w:szCs w:val="24"/>
              </w:rPr>
            </w:pPr>
            <w:r>
              <w:t>Om normen är tillämplig på alla nationella typer, ange ”All” (på engelska). Fler än en typ kan läggas till för samma standardvärde.</w:t>
            </w:r>
          </w:p>
          <w:p w:rsidR="000215C5" w:rsidRDefault="00703023">
            <w:pPr>
              <w:spacing w:after="120"/>
              <w:jc w:val="both"/>
              <w:rPr>
                <w:szCs w:val="24"/>
              </w:rPr>
            </w:pPr>
            <w:r>
              <w:t xml:space="preserve">Om de typer som används för att härleda fysikalisk-kemiska normer skiljer sig från de typer som används i bedömningen av biologiska kvalitetsfaktorer, ange de </w:t>
            </w:r>
            <w:r w:rsidR="00973495">
              <w:t>specifika nationella fysikalisk</w:t>
            </w:r>
            <w:r w:rsidR="00973495">
              <w:noBreakHyphen/>
            </w:r>
            <w:r>
              <w:t>kemiska typerna. Om så är fallet, se till att särskilda metoddokument för härledning av normer (i synnerhet hur det säkerställs att alla biologiska typer täcks av normerna) laddas upp på Wise eller görs tillgängliga på webben.</w:t>
            </w:r>
          </w:p>
          <w:p w:rsidR="000215C5" w:rsidRDefault="00703023">
            <w:pPr>
              <w:spacing w:after="120"/>
              <w:jc w:val="both"/>
              <w:rPr>
                <w:b/>
                <w:szCs w:val="24"/>
              </w:rPr>
            </w:pPr>
            <w:r>
              <w:rPr>
                <w:b/>
              </w:rPr>
              <w:t>Kvalitetskontroller</w:t>
            </w:r>
            <w:r>
              <w:t>: Intern kontroll: Den rapporterade physChemTypeCode måste överensstämma med de koder som rapporteras i SWMET/SWType/swTypeCode eller posten ”All”.</w:t>
            </w:r>
          </w:p>
        </w:tc>
      </w:tr>
    </w:tbl>
    <w:p w:rsidR="000215C5" w:rsidRDefault="000215C5">
      <w:pPr>
        <w:spacing w:after="120"/>
        <w:jc w:val="both"/>
        <w:rPr>
          <w:vanish/>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rsidP="00986238">
            <w:pPr>
              <w:pageBreakBefore/>
              <w:spacing w:after="120"/>
              <w:jc w:val="both"/>
              <w:rPr>
                <w:szCs w:val="24"/>
              </w:rPr>
            </w:pPr>
            <w:r>
              <w:rPr>
                <w:b/>
              </w:rPr>
              <w:t>Mallpost</w:t>
            </w:r>
            <w:r>
              <w:t>:</w:t>
            </w:r>
            <w:r>
              <w:rPr>
                <w:b/>
              </w:rPr>
              <w:t xml:space="preserve"> </w:t>
            </w:r>
            <w:r>
              <w:t>physChemValue</w:t>
            </w:r>
          </w:p>
          <w:p w:rsidR="000215C5" w:rsidRDefault="00703023">
            <w:pPr>
              <w:spacing w:after="120"/>
              <w:jc w:val="both"/>
              <w:rPr>
                <w:szCs w:val="24"/>
              </w:rPr>
            </w:pPr>
            <w:r>
              <w:rPr>
                <w:b/>
              </w:rPr>
              <w:t xml:space="preserve">Fälttyp/alternativ: </w:t>
            </w:r>
            <w:r>
              <w:t>String20Type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Ange endast värdet eller intervallet för den fysikalisk-kemiska norm som utgör gränsen för god till måttlig status.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physChemUnit</w:t>
            </w:r>
          </w:p>
          <w:p w:rsidR="000215C5" w:rsidRDefault="00703023">
            <w:pPr>
              <w:spacing w:after="120"/>
              <w:jc w:val="both"/>
              <w:rPr>
                <w:szCs w:val="24"/>
              </w:rPr>
            </w:pPr>
            <w:r>
              <w:rPr>
                <w:b/>
              </w:rPr>
              <w:t xml:space="preserve">Fälttyp/alternativ: </w:t>
            </w:r>
            <w:r>
              <w:t>UnitOfMeasure_Enum (se bilaga 8f)</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Ange enheten för den fysikalisk-kemiska normen. Om ”Other” väljs, lämna mer information om enheten i physChemUnitOther.</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physChemUnitOther</w:t>
            </w:r>
          </w:p>
          <w:p w:rsidR="000215C5" w:rsidRDefault="00703023">
            <w:pPr>
              <w:spacing w:after="120"/>
              <w:jc w:val="both"/>
              <w:rPr>
                <w:szCs w:val="24"/>
              </w:rPr>
            </w:pPr>
            <w:r>
              <w:rPr>
                <w:b/>
              </w:rPr>
              <w:t xml:space="preserve">Fälttyp/alternativ: </w:t>
            </w:r>
            <w:r>
              <w:t>String10Type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Rapportera om enhet</w:t>
            </w:r>
            <w:r w:rsidR="00661FC2">
              <w:t>en för den fysikalisk</w:t>
            </w:r>
            <w:r w:rsidR="00661FC2">
              <w:noBreakHyphen/>
            </w:r>
            <w:r>
              <w:t xml:space="preserve">kemiska normen rapporteras som ”Other” i physChemUnit. </w:t>
            </w:r>
          </w:p>
          <w:p w:rsidR="000215C5" w:rsidRDefault="00703023">
            <w:pPr>
              <w:spacing w:after="120"/>
              <w:jc w:val="both"/>
              <w:rPr>
                <w:b/>
                <w:szCs w:val="24"/>
              </w:rPr>
            </w:pPr>
            <w:r>
              <w:rPr>
                <w:b/>
              </w:rPr>
              <w:t>Kvalitetskontroller</w:t>
            </w:r>
            <w:r>
              <w:t>: Villkorlig kontroll: Rapportera om physChemUnit är ”Other”.</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physChemStandardType</w:t>
            </w:r>
          </w:p>
          <w:p w:rsidR="000215C5" w:rsidRDefault="00703023">
            <w:pPr>
              <w:spacing w:after="120"/>
              <w:jc w:val="both"/>
              <w:rPr>
                <w:szCs w:val="24"/>
              </w:rPr>
            </w:pPr>
            <w:r>
              <w:rPr>
                <w:b/>
              </w:rPr>
              <w:t>Fälttyp/alternativ:</w:t>
            </w:r>
            <w:r>
              <w:t xml:space="preserve"> PhysChemStandardType_Enum: AA-EQS, MAC-EQS, 95 Percentile, Other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den typ av fysikalisk-kemisk norm som tillämpats.</w:t>
            </w:r>
          </w:p>
          <w:p w:rsidR="000215C5" w:rsidRDefault="00703023">
            <w:pPr>
              <w:spacing w:after="120"/>
              <w:jc w:val="both"/>
              <w:rPr>
                <w:szCs w:val="24"/>
              </w:rPr>
            </w:pPr>
            <w:r>
              <w:t>AA-EQS = Årligt genomsnitt för miljökvalitetsnormen.</w:t>
            </w:r>
          </w:p>
          <w:p w:rsidR="000215C5" w:rsidRDefault="00703023">
            <w:pPr>
              <w:spacing w:after="120"/>
              <w:jc w:val="both"/>
              <w:rPr>
                <w:szCs w:val="24"/>
              </w:rPr>
            </w:pPr>
            <w:r>
              <w:t>MAC-EQS = Högsta tillåtna koncentration för miljökvalitetsnormen.</w:t>
            </w:r>
          </w:p>
          <w:p w:rsidR="000215C5" w:rsidRDefault="00703023">
            <w:pPr>
              <w:spacing w:after="120"/>
              <w:jc w:val="both"/>
              <w:rPr>
                <w:szCs w:val="24"/>
              </w:rPr>
            </w:pPr>
            <w:r>
              <w:t>95th percentile = 95:e percentilen</w:t>
            </w:r>
          </w:p>
          <w:p w:rsidR="000215C5" w:rsidRDefault="00703023">
            <w:pPr>
              <w:spacing w:after="120"/>
              <w:jc w:val="both"/>
              <w:rPr>
                <w:szCs w:val="24"/>
              </w:rPr>
            </w:pPr>
            <w:r>
              <w:t>Other = Annat</w:t>
            </w:r>
          </w:p>
        </w:tc>
      </w:tr>
      <w:tr w:rsidR="000215C5">
        <w:tc>
          <w:tcPr>
            <w:tcW w:w="9853" w:type="dxa"/>
            <w:shd w:val="clear" w:color="auto" w:fill="auto"/>
          </w:tcPr>
          <w:p w:rsidR="000215C5" w:rsidRDefault="00703023">
            <w:pPr>
              <w:spacing w:after="120"/>
              <w:jc w:val="both"/>
              <w:rPr>
                <w:szCs w:val="24"/>
              </w:rPr>
            </w:pPr>
            <w:r>
              <w:rPr>
                <w:b/>
              </w:rPr>
              <w:t>Mallpost</w:t>
            </w:r>
            <w:r>
              <w:t>: physChemStandardOther</w:t>
            </w:r>
          </w:p>
          <w:p w:rsidR="000215C5" w:rsidRDefault="00703023">
            <w:pPr>
              <w:spacing w:after="120"/>
              <w:jc w:val="both"/>
              <w:rPr>
                <w:szCs w:val="24"/>
              </w:rPr>
            </w:pPr>
            <w:r>
              <w:rPr>
                <w:b/>
              </w:rPr>
              <w:t xml:space="preserve">Fälttyp/alternativ: </w:t>
            </w:r>
            <w:r>
              <w:t>String10Type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Rapportera om typen för den fysikalisk-kemiska norm som tillämpas rapporteras som ”Other” i physChemStandardType.</w:t>
            </w:r>
          </w:p>
          <w:p w:rsidR="000215C5" w:rsidRDefault="00703023">
            <w:pPr>
              <w:spacing w:after="120"/>
              <w:jc w:val="both"/>
              <w:rPr>
                <w:b/>
                <w:szCs w:val="24"/>
              </w:rPr>
            </w:pPr>
            <w:r>
              <w:rPr>
                <w:b/>
              </w:rPr>
              <w:t>Kvalitetskontroller</w:t>
            </w:r>
            <w:r>
              <w:t>: Villkorlig kontroll: Rapportera om physChemStandardType är ”Other”.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physChemGMBoundary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den fysikalisk-kemiska normen överensstämmer med gränsen för god till måttlig status för de relevanta känsliga biologiska kvalitetsfaktorerna.</w:t>
            </w:r>
          </w:p>
        </w:tc>
      </w:tr>
    </w:tbl>
    <w:p w:rsidR="000215C5" w:rsidRDefault="000215C5">
      <w:pPr>
        <w:jc w:val="both"/>
        <w:rPr>
          <w:szCs w:val="24"/>
        </w:rPr>
      </w:pPr>
    </w:p>
    <w:p w:rsidR="000215C5" w:rsidRDefault="00703023">
      <w:pPr>
        <w:jc w:val="both"/>
        <w:rPr>
          <w:szCs w:val="24"/>
        </w:rPr>
      </w:pPr>
      <w:r>
        <w:t>Följande klass används för att rapportera biologiska kvalitetsfaktorer med god till måttlig status för varje särskilt förorenande ämne för avrinningsdistrikt (de kallades QE3-3 Non-Priority Specific Pollutants och QE3-4 Other National Pollutants i rapporteringen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SWMET (fortsättning)</w:t>
            </w:r>
          </w:p>
        </w:tc>
      </w:tr>
      <w:tr w:rsidR="000215C5" w:rsidRPr="00360D19">
        <w:tc>
          <w:tcPr>
            <w:tcW w:w="9853" w:type="dxa"/>
            <w:shd w:val="clear" w:color="auto" w:fill="auto"/>
          </w:tcPr>
          <w:p w:rsidR="000215C5" w:rsidRPr="00D95552" w:rsidRDefault="00703023">
            <w:pPr>
              <w:spacing w:after="120"/>
              <w:jc w:val="both"/>
              <w:rPr>
                <w:b/>
                <w:i/>
                <w:szCs w:val="24"/>
              </w:rPr>
            </w:pPr>
            <w:r w:rsidRPr="00D95552">
              <w:rPr>
                <w:b/>
                <w:i/>
              </w:rPr>
              <w:t>Class SWRBSP</w:t>
            </w:r>
          </w:p>
          <w:p w:rsidR="000215C5" w:rsidRPr="00D95552" w:rsidRDefault="00703023">
            <w:pPr>
              <w:spacing w:after="120"/>
              <w:jc w:val="both"/>
              <w:rPr>
                <w:i/>
                <w:szCs w:val="24"/>
              </w:rPr>
            </w:pPr>
            <w:r w:rsidRPr="00D95552">
              <w:rPr>
                <w:b/>
                <w:i/>
              </w:rPr>
              <w:t>Egenskaper</w:t>
            </w:r>
            <w:r w:rsidRPr="00D95552">
              <w:rPr>
                <w:i/>
              </w:rPr>
              <w:t>: maxOccurs = unbounded minOccurs = 1</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rbspCode</w:t>
            </w:r>
          </w:p>
          <w:p w:rsidR="000215C5" w:rsidRPr="00D95552" w:rsidRDefault="00703023">
            <w:pPr>
              <w:spacing w:after="120"/>
              <w:jc w:val="both"/>
              <w:rPr>
                <w:szCs w:val="24"/>
              </w:rPr>
            </w:pPr>
            <w:r w:rsidRPr="00D95552">
              <w:rPr>
                <w:b/>
              </w:rPr>
              <w:t xml:space="preserve">Fälttyp/alternativ: </w:t>
            </w:r>
            <w:r w:rsidRPr="00D95552">
              <w:t>RBSP_Enum (se bilaga 8b)</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Välj varje särskilt förorenande ämne för avrinningsdistrikt (RBSP) med god till måttlig miljökvalitetsnorm från uppräkningslistan. Om det finns fler än en norm per ämne (t.ex. för att det finns olika normer för olika kategorier eller matriser) kan samma RBSP anges fler än en gång.</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rbspOther</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pPr>
            <w:r>
              <w:rPr>
                <w:b/>
              </w:rPr>
              <w:t>Vägledning om hur man fyller i mallposten</w:t>
            </w:r>
            <w:r>
              <w:t xml:space="preserve">: Villkorlig. Om rbspCode är ”Other”, ange </w:t>
            </w:r>
            <w:r w:rsidR="002C79FC">
              <w:t>CAS-nummer (i förekommande fall</w:t>
            </w:r>
            <w:r>
              <w:t>) samt namnet på avrinningsdistriktet i detta fält.</w:t>
            </w:r>
          </w:p>
          <w:p w:rsidR="000215C5" w:rsidRDefault="00703023">
            <w:pPr>
              <w:spacing w:after="120"/>
              <w:jc w:val="both"/>
              <w:rPr>
                <w:b/>
                <w:szCs w:val="24"/>
              </w:rPr>
            </w:pPr>
            <w:r>
              <w:rPr>
                <w:b/>
              </w:rPr>
              <w:t>Kvalitetskontroll</w:t>
            </w:r>
            <w:r>
              <w:t xml:space="preserve">: Villkorlig kontroll: rapportera om rbspCode är ”Other”. </w:t>
            </w:r>
          </w:p>
        </w:tc>
      </w:tr>
      <w:tr w:rsidR="000215C5">
        <w:tc>
          <w:tcPr>
            <w:tcW w:w="9853" w:type="dxa"/>
            <w:shd w:val="clear" w:color="auto" w:fill="auto"/>
          </w:tcPr>
          <w:p w:rsidR="000215C5" w:rsidRDefault="00703023">
            <w:pPr>
              <w:spacing w:after="120"/>
              <w:jc w:val="both"/>
              <w:rPr>
                <w:b/>
              </w:rPr>
            </w:pPr>
            <w:r>
              <w:rPr>
                <w:b/>
              </w:rPr>
              <w:t>Mallpost</w:t>
            </w:r>
            <w:r>
              <w:t>:</w:t>
            </w:r>
            <w:r>
              <w:rPr>
                <w:b/>
              </w:rPr>
              <w:t xml:space="preserve"> </w:t>
            </w:r>
            <w:r>
              <w:t>rbspMatrix</w:t>
            </w:r>
          </w:p>
          <w:p w:rsidR="000215C5" w:rsidRDefault="00703023">
            <w:pPr>
              <w:spacing w:after="120"/>
              <w:jc w:val="both"/>
            </w:pPr>
            <w:r>
              <w:rPr>
                <w:b/>
              </w:rPr>
              <w:t xml:space="preserve">Fälttyp/alternativ: </w:t>
            </w:r>
            <w:r>
              <w:t>Matrix_Enum:</w:t>
            </w:r>
          </w:p>
          <w:p w:rsidR="000215C5" w:rsidRDefault="00703023">
            <w:pPr>
              <w:spacing w:after="120"/>
              <w:jc w:val="both"/>
            </w:pPr>
            <w:r>
              <w:t>Water</w:t>
            </w:r>
          </w:p>
          <w:p w:rsidR="000215C5" w:rsidRDefault="00703023">
            <w:pPr>
              <w:spacing w:after="120"/>
              <w:jc w:val="both"/>
            </w:pPr>
            <w:r>
              <w:t>Biota</w:t>
            </w:r>
          </w:p>
          <w:p w:rsidR="000215C5" w:rsidRDefault="00703023">
            <w:pPr>
              <w:spacing w:after="120"/>
              <w:jc w:val="both"/>
            </w:pPr>
            <w:r>
              <w:t>Biota - fish</w:t>
            </w:r>
          </w:p>
          <w:p w:rsidR="000215C5" w:rsidRDefault="00703023">
            <w:pPr>
              <w:spacing w:after="120"/>
              <w:jc w:val="both"/>
            </w:pPr>
            <w:r>
              <w:t>Biota - other</w:t>
            </w:r>
          </w:p>
          <w:p w:rsidR="000215C5" w:rsidRPr="00D95552" w:rsidRDefault="00703023">
            <w:pPr>
              <w:spacing w:after="120"/>
              <w:jc w:val="both"/>
              <w:rPr>
                <w:lang w:val="it-IT"/>
              </w:rPr>
            </w:pPr>
            <w:r w:rsidRPr="00D95552">
              <w:rPr>
                <w:lang w:val="it-IT"/>
              </w:rPr>
              <w:t>Sediment</w:t>
            </w:r>
          </w:p>
          <w:p w:rsidR="000215C5" w:rsidRPr="00D95552" w:rsidRDefault="00703023">
            <w:pPr>
              <w:spacing w:after="120"/>
              <w:jc w:val="both"/>
              <w:rPr>
                <w:szCs w:val="24"/>
                <w:lang w:val="it-IT"/>
              </w:rPr>
            </w:pPr>
            <w:r w:rsidRPr="00D95552">
              <w:rPr>
                <w:lang w:val="it-IT"/>
              </w:rPr>
              <w:t>Sediment - settled sediment</w:t>
            </w:r>
          </w:p>
          <w:p w:rsidR="000215C5" w:rsidRPr="00D95552" w:rsidRDefault="00703023">
            <w:pPr>
              <w:spacing w:after="120"/>
              <w:jc w:val="both"/>
              <w:rPr>
                <w:szCs w:val="24"/>
                <w:lang w:val="it-IT"/>
              </w:rPr>
            </w:pPr>
            <w:r w:rsidRPr="00D95552">
              <w:rPr>
                <w:lang w:val="it-IT"/>
              </w:rPr>
              <w:t>Sediment - suspended sediment</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Välj den matris där normen för RBSP tillämpas för bedömning av ekologisk status.</w:t>
            </w:r>
          </w:p>
        </w:tc>
      </w:tr>
      <w:tr w:rsidR="000215C5">
        <w:tc>
          <w:tcPr>
            <w:tcW w:w="9853" w:type="dxa"/>
            <w:shd w:val="clear" w:color="auto" w:fill="auto"/>
          </w:tcPr>
          <w:p w:rsidR="000215C5" w:rsidRDefault="00703023">
            <w:pPr>
              <w:spacing w:after="120"/>
              <w:jc w:val="both"/>
              <w:rPr>
                <w:b/>
                <w:szCs w:val="24"/>
              </w:rPr>
            </w:pPr>
            <w:r>
              <w:rPr>
                <w:b/>
              </w:rPr>
              <w:t>Mallpost</w:t>
            </w:r>
            <w:r>
              <w:t>: rbspCategoryRW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Är normen tillämplig på floder? </w:t>
            </w:r>
          </w:p>
        </w:tc>
      </w:tr>
      <w:tr w:rsidR="000215C5">
        <w:tc>
          <w:tcPr>
            <w:tcW w:w="9853" w:type="dxa"/>
            <w:shd w:val="clear" w:color="auto" w:fill="auto"/>
          </w:tcPr>
          <w:p w:rsidR="000215C5" w:rsidRDefault="00703023">
            <w:pPr>
              <w:spacing w:after="120"/>
              <w:jc w:val="both"/>
              <w:rPr>
                <w:b/>
                <w:szCs w:val="24"/>
              </w:rPr>
            </w:pPr>
            <w:r>
              <w:rPr>
                <w:b/>
              </w:rPr>
              <w:t>Mallpost</w:t>
            </w:r>
            <w:r>
              <w:t>: rbspCategoryLW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Är normen tillämplig på sjöar? </w:t>
            </w:r>
          </w:p>
        </w:tc>
      </w:tr>
      <w:tr w:rsidR="000215C5">
        <w:tc>
          <w:tcPr>
            <w:tcW w:w="9853" w:type="dxa"/>
            <w:shd w:val="clear" w:color="auto" w:fill="auto"/>
          </w:tcPr>
          <w:p w:rsidR="000215C5" w:rsidRDefault="00703023">
            <w:pPr>
              <w:spacing w:after="120"/>
              <w:jc w:val="both"/>
              <w:rPr>
                <w:b/>
                <w:szCs w:val="24"/>
              </w:rPr>
            </w:pPr>
            <w:r>
              <w:rPr>
                <w:b/>
              </w:rPr>
              <w:t>Mallpost</w:t>
            </w:r>
            <w:r>
              <w:t>: rbspCategoryTW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Är normen tillämplig på vatten i övergångszoner? </w:t>
            </w:r>
          </w:p>
        </w:tc>
      </w:tr>
      <w:tr w:rsidR="000215C5">
        <w:tc>
          <w:tcPr>
            <w:tcW w:w="9853" w:type="dxa"/>
            <w:shd w:val="clear" w:color="auto" w:fill="auto"/>
          </w:tcPr>
          <w:p w:rsidR="000215C5" w:rsidRPr="00360D19" w:rsidRDefault="00703023">
            <w:pPr>
              <w:spacing w:after="120"/>
              <w:jc w:val="both"/>
              <w:rPr>
                <w:b/>
                <w:szCs w:val="24"/>
              </w:rPr>
            </w:pPr>
            <w:r w:rsidRPr="00360D19">
              <w:rPr>
                <w:b/>
              </w:rPr>
              <w:t>Mallpost</w:t>
            </w:r>
            <w:r w:rsidRPr="00360D19">
              <w:t>: rbspCategoryCW</w:t>
            </w:r>
          </w:p>
          <w:p w:rsidR="000215C5" w:rsidRPr="00360D19" w:rsidRDefault="00703023">
            <w:pPr>
              <w:spacing w:after="120"/>
              <w:jc w:val="both"/>
              <w:rPr>
                <w:szCs w:val="24"/>
              </w:rPr>
            </w:pPr>
            <w:r w:rsidRPr="00360D19">
              <w:rPr>
                <w:b/>
              </w:rPr>
              <w:t xml:space="preserve">Fälttyp/alternativ: </w:t>
            </w:r>
            <w:r w:rsidRPr="00360D19">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Är normen tillämplig på kustvatten?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rbspStandardType</w:t>
            </w:r>
          </w:p>
          <w:p w:rsidR="000215C5" w:rsidRDefault="00703023">
            <w:pPr>
              <w:spacing w:after="120"/>
              <w:jc w:val="both"/>
              <w:rPr>
                <w:szCs w:val="24"/>
              </w:rPr>
            </w:pPr>
            <w:r>
              <w:rPr>
                <w:b/>
              </w:rPr>
              <w:t xml:space="preserve">Fälttyp/alternativ: </w:t>
            </w:r>
            <w:r>
              <w:t>EQStandardType_Enum</w:t>
            </w:r>
          </w:p>
          <w:p w:rsidR="000215C5" w:rsidRPr="00D95552" w:rsidRDefault="00703023">
            <w:pPr>
              <w:spacing w:after="120"/>
              <w:jc w:val="both"/>
              <w:rPr>
                <w:szCs w:val="24"/>
                <w:lang w:val="en-GB"/>
              </w:rPr>
            </w:pPr>
            <w:r w:rsidRPr="00D95552">
              <w:rPr>
                <w:lang w:val="en-GB"/>
              </w:rPr>
              <w:t>AA-EQS</w:t>
            </w:r>
          </w:p>
          <w:p w:rsidR="000215C5" w:rsidRPr="00D95552" w:rsidRDefault="00703023">
            <w:pPr>
              <w:spacing w:after="120"/>
              <w:jc w:val="both"/>
              <w:rPr>
                <w:szCs w:val="24"/>
                <w:lang w:val="en-GB"/>
              </w:rPr>
            </w:pPr>
            <w:r w:rsidRPr="00D95552">
              <w:rPr>
                <w:lang w:val="en-GB"/>
              </w:rPr>
              <w:t>MAC-EQS</w:t>
            </w:r>
          </w:p>
          <w:p w:rsidR="000215C5" w:rsidRPr="00D95552" w:rsidRDefault="00703023">
            <w:pPr>
              <w:spacing w:after="120"/>
              <w:jc w:val="both"/>
              <w:rPr>
                <w:szCs w:val="24"/>
                <w:lang w:val="en-GB"/>
              </w:rPr>
            </w:pPr>
            <w:r w:rsidRPr="00D95552">
              <w:rPr>
                <w:lang w:val="en-GB"/>
              </w:rPr>
              <w:t xml:space="preserve">Both </w:t>
            </w:r>
          </w:p>
          <w:p w:rsidR="000215C5" w:rsidRPr="00D95552" w:rsidRDefault="00703023">
            <w:pPr>
              <w:spacing w:after="120"/>
              <w:jc w:val="both"/>
              <w:rPr>
                <w:szCs w:val="24"/>
                <w:lang w:val="en-GB"/>
              </w:rPr>
            </w:pPr>
            <w:r w:rsidRPr="00D95552">
              <w:rPr>
                <w:lang w:val="en-GB"/>
              </w:rPr>
              <w:t>Other</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den typ av norm som tillämpas på varje RBSP samt matris.</w:t>
            </w:r>
          </w:p>
          <w:p w:rsidR="000215C5" w:rsidRDefault="00703023">
            <w:pPr>
              <w:spacing w:after="120"/>
              <w:jc w:val="both"/>
              <w:rPr>
                <w:szCs w:val="24"/>
              </w:rPr>
            </w:pPr>
            <w:r>
              <w:t>AA-EQS = Årligt genomsnitt för miljökvalitetsnormen.</w:t>
            </w:r>
          </w:p>
          <w:p w:rsidR="000215C5" w:rsidRDefault="00703023">
            <w:pPr>
              <w:spacing w:after="120"/>
              <w:jc w:val="both"/>
              <w:rPr>
                <w:szCs w:val="24"/>
              </w:rPr>
            </w:pPr>
            <w:r>
              <w:t>MAC-EQS = Högsta tillåtna koncentration för miljökvalitetsnormen.</w:t>
            </w:r>
          </w:p>
          <w:p w:rsidR="000215C5" w:rsidRDefault="00703023">
            <w:pPr>
              <w:spacing w:after="120"/>
              <w:jc w:val="both"/>
              <w:rPr>
                <w:szCs w:val="24"/>
              </w:rPr>
            </w:pPr>
            <w:r>
              <w:t>Both = Både AA och MAC EQS.</w:t>
            </w:r>
          </w:p>
          <w:p w:rsidR="000215C5" w:rsidRDefault="00703023">
            <w:pPr>
              <w:spacing w:after="120"/>
              <w:jc w:val="both"/>
              <w:rPr>
                <w:b/>
                <w:szCs w:val="24"/>
              </w:rPr>
            </w:pPr>
            <w:r>
              <w:t>Other = Annan typ av norm.</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rbspValue</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Rapportera endast värdet eller intervallet för den RBSP-norm som utgör gränsen för god till måttlig status för varje kombination av RBSP, matris, normtyp och kategori.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rbspUnit</w:t>
            </w:r>
          </w:p>
          <w:p w:rsidR="000215C5" w:rsidRDefault="00703023">
            <w:pPr>
              <w:spacing w:after="120"/>
              <w:jc w:val="both"/>
              <w:rPr>
                <w:szCs w:val="24"/>
              </w:rPr>
            </w:pPr>
            <w:r>
              <w:rPr>
                <w:b/>
              </w:rPr>
              <w:t xml:space="preserve">Fälttyp/alternativ: </w:t>
            </w:r>
            <w:r>
              <w:t>UnitOfMeasure_Enum (se bilaga 8f)</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Ange enheten för RBSP-normen.</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rbspScale</w:t>
            </w:r>
          </w:p>
          <w:p w:rsidR="000215C5" w:rsidRDefault="00703023">
            <w:pPr>
              <w:spacing w:after="120"/>
              <w:jc w:val="both"/>
              <w:rPr>
                <w:szCs w:val="24"/>
              </w:rPr>
            </w:pPr>
            <w:r>
              <w:rPr>
                <w:b/>
              </w:rPr>
              <w:t xml:space="preserve">Fälttyp/alternativ: </w:t>
            </w:r>
            <w:r>
              <w:t>GeographicalScale_Enum (se bilaga 8l)</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Ange den geografiska omfattningen av tillämpningen av RBSP-normen.</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rbspTechGuidance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RBSP-normen har härletts enligt tekniskt vägledningsdokument nr 27 från 2011</w:t>
            </w:r>
            <w:r>
              <w:rPr>
                <w:rStyle w:val="Fotnotsreferens"/>
              </w:rPr>
              <w:footnoteReference w:id="79"/>
            </w:r>
            <w:r>
              <w:t>.</w:t>
            </w:r>
          </w:p>
        </w:tc>
      </w:tr>
      <w:tr w:rsidR="000215C5">
        <w:tc>
          <w:tcPr>
            <w:tcW w:w="9853" w:type="dxa"/>
            <w:shd w:val="clear" w:color="auto" w:fill="auto"/>
          </w:tcPr>
          <w:p w:rsidR="000215C5" w:rsidRDefault="00703023">
            <w:pPr>
              <w:spacing w:after="120"/>
              <w:jc w:val="both"/>
              <w:rPr>
                <w:b/>
                <w:szCs w:val="24"/>
              </w:rPr>
            </w:pPr>
            <w:bookmarkStart w:id="357" w:name="_Hlk379286793"/>
            <w:r>
              <w:rPr>
                <w:b/>
              </w:rPr>
              <w:t>Mallpost</w:t>
            </w:r>
            <w:r>
              <w:t>:</w:t>
            </w:r>
            <w:r>
              <w:rPr>
                <w:b/>
              </w:rPr>
              <w:t xml:space="preserve"> </w:t>
            </w:r>
            <w:r>
              <w:t>rbspAnalyticalMethod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w:t>
            </w:r>
            <w:bookmarkStart w:id="358" w:name="OLE_LINK1"/>
            <w:bookmarkStart w:id="359" w:name="OLE_LINK2"/>
            <w:r>
              <w:t>Krävs. Ange om den analytiska metod som har tillämpats uppfyller minimikraven i artikel 4.1 i direktiv 2009/90/EG</w:t>
            </w:r>
            <w:r>
              <w:rPr>
                <w:rStyle w:val="Fotnotsreferens"/>
              </w:rPr>
              <w:footnoteReference w:id="80"/>
            </w:r>
            <w:bookmarkEnd w:id="358"/>
            <w:bookmarkEnd w:id="359"/>
            <w:r>
              <w:t xml:space="preserve"> för de strängaste normer som tillämpas.</w:t>
            </w:r>
          </w:p>
          <w:p w:rsidR="000215C5" w:rsidRDefault="00703023">
            <w:pPr>
              <w:spacing w:after="120"/>
              <w:jc w:val="both"/>
              <w:rPr>
                <w:szCs w:val="24"/>
              </w:rPr>
            </w:pPr>
            <w:r>
              <w:t xml:space="preserve">Se avsnitt </w:t>
            </w:r>
            <w:r>
              <w:fldChar w:fldCharType="begin"/>
            </w:r>
            <w:r>
              <w:instrText xml:space="preserve"> REF _Ref385343711 \r \h  \* MERGEFORMAT </w:instrText>
            </w:r>
            <w:r>
              <w:fldChar w:fldCharType="separate"/>
            </w:r>
            <w:r>
              <w:rPr>
                <w:szCs w:val="24"/>
              </w:rPr>
              <w:t>7.4.1</w:t>
            </w:r>
            <w:r>
              <w:fldChar w:fldCharType="end"/>
            </w:r>
            <w:r>
              <w:t xml:space="preserve"> om efterlevnad av direktiv 2009/90/EG.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rbspAnalyticalMethodBAT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den analytiska metoden inte uppfyller minimikraven i artikel 4.1 i direktiv 2009/90/EG</w:t>
            </w:r>
            <w:r>
              <w:rPr>
                <w:rStyle w:val="Fotnotsreferens"/>
              </w:rPr>
              <w:footnoteReference w:id="81"/>
            </w:r>
            <w:r>
              <w:t>, ange om metoden uppfyller kraven i artikel 4.2 i samma direktiv för den strängaste norm som tillämpas.</w:t>
            </w:r>
          </w:p>
        </w:tc>
      </w:tr>
      <w:bookmarkEnd w:id="357"/>
    </w:tbl>
    <w:p w:rsidR="000215C5" w:rsidRDefault="000215C5">
      <w:pPr>
        <w:jc w:val="both"/>
      </w:pPr>
    </w:p>
    <w:p w:rsidR="000215C5" w:rsidRDefault="00703023">
      <w:pPr>
        <w:jc w:val="both"/>
      </w:pPr>
      <w:r>
        <w:t>Följande klass används för att rapportera riktade frågor om klassificeringen av ekologisk status och definitionen av god ekologisk potential (GEP).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SWMET (fortsättning)</w:t>
            </w:r>
          </w:p>
        </w:tc>
      </w:tr>
      <w:tr w:rsidR="000215C5" w:rsidRPr="00D95552">
        <w:tc>
          <w:tcPr>
            <w:tcW w:w="9853" w:type="dxa"/>
            <w:shd w:val="clear" w:color="auto" w:fill="auto"/>
          </w:tcPr>
          <w:p w:rsidR="000215C5" w:rsidRPr="006E59C8" w:rsidRDefault="00703023">
            <w:pPr>
              <w:spacing w:after="120"/>
              <w:jc w:val="both"/>
              <w:rPr>
                <w:b/>
                <w:i/>
                <w:szCs w:val="24"/>
                <w:lang w:val="en-GB"/>
              </w:rPr>
            </w:pPr>
            <w:r w:rsidRPr="006E59C8">
              <w:rPr>
                <w:b/>
                <w:i/>
                <w:lang w:val="en-GB"/>
              </w:rPr>
              <w:t>Class SWTargetedQ</w:t>
            </w:r>
          </w:p>
          <w:p w:rsidR="000215C5" w:rsidRPr="006E59C8" w:rsidRDefault="00703023">
            <w:pPr>
              <w:spacing w:after="120"/>
              <w:jc w:val="both"/>
              <w:rPr>
                <w:i/>
                <w:szCs w:val="24"/>
                <w:lang w:val="en-GB"/>
              </w:rPr>
            </w:pPr>
            <w:r w:rsidRPr="006E59C8">
              <w:rPr>
                <w:b/>
                <w:i/>
                <w:lang w:val="en-GB"/>
              </w:rPr>
              <w:t>Egenskaper</w:t>
            </w:r>
            <w:r w:rsidRPr="006E59C8">
              <w:rPr>
                <w:i/>
                <w:lang w:val="en-GB"/>
              </w:rPr>
              <w:t>: maxOccurs = 1 minOccurs = 1</w:t>
            </w:r>
          </w:p>
        </w:tc>
      </w:tr>
      <w:tr w:rsidR="000215C5">
        <w:tc>
          <w:tcPr>
            <w:tcW w:w="9853" w:type="dxa"/>
            <w:shd w:val="clear" w:color="auto" w:fill="auto"/>
          </w:tcPr>
          <w:p w:rsidR="000215C5" w:rsidRPr="00CB7B77" w:rsidRDefault="00703023">
            <w:pPr>
              <w:spacing w:after="120"/>
              <w:jc w:val="both"/>
              <w:rPr>
                <w:b/>
                <w:szCs w:val="24"/>
                <w:lang w:val="en-GB"/>
              </w:rPr>
            </w:pPr>
            <w:r w:rsidRPr="00CB7B77">
              <w:rPr>
                <w:b/>
                <w:lang w:val="en-GB"/>
              </w:rPr>
              <w:t>Mallpost</w:t>
            </w:r>
            <w:r w:rsidRPr="00CB7B77">
              <w:rPr>
                <w:lang w:val="en-GB"/>
              </w:rPr>
              <w:t>:</w:t>
            </w:r>
            <w:r w:rsidRPr="00CB7B77">
              <w:rPr>
                <w:b/>
                <w:lang w:val="en-GB"/>
              </w:rPr>
              <w:t xml:space="preserve"> </w:t>
            </w:r>
            <w:r w:rsidRPr="00CB7B77">
              <w:rPr>
                <w:lang w:val="en-GB"/>
              </w:rPr>
              <w:t>oneOutAllOut</w:t>
            </w:r>
          </w:p>
          <w:p w:rsidR="000215C5" w:rsidRPr="00CB7B77" w:rsidRDefault="00703023">
            <w:pPr>
              <w:spacing w:after="120"/>
              <w:jc w:val="both"/>
              <w:rPr>
                <w:szCs w:val="24"/>
                <w:lang w:val="en-GB"/>
              </w:rPr>
            </w:pPr>
            <w:r w:rsidRPr="00CB7B77">
              <w:rPr>
                <w:b/>
                <w:lang w:val="en-GB"/>
              </w:rPr>
              <w:t xml:space="preserve">Fälttyp/alternativ: </w:t>
            </w:r>
            <w:r w:rsidRPr="00CB7B77">
              <w:rPr>
                <w:lang w:val="en-GB"/>
              </w:rP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principen ”one-out, all-out” har tillämpats för att härleda den övergripande klassificeringen av vattenförekomsters ekologiska status.</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groupingExtrapolation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gruppering av vattenförekomster har använts för att extrapolera bedömningen och klassificeringen av god ekologisk status från övervakade vattenförekomster till vattenförekomster utan övervakningsstationer. </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gepDefined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god ekologisk potential (GEP) har definierats.</w:t>
            </w:r>
          </w:p>
        </w:tc>
      </w:tr>
      <w:tr w:rsidR="000215C5">
        <w:tc>
          <w:tcPr>
            <w:tcW w:w="9853" w:type="dxa"/>
            <w:shd w:val="clear" w:color="auto" w:fill="auto"/>
          </w:tcPr>
          <w:p w:rsidR="000215C5" w:rsidRPr="00D95552" w:rsidRDefault="00703023">
            <w:pPr>
              <w:spacing w:after="120"/>
              <w:jc w:val="both"/>
              <w:rPr>
                <w:szCs w:val="24"/>
              </w:rPr>
            </w:pPr>
            <w:r w:rsidRPr="00D95552">
              <w:rPr>
                <w:b/>
              </w:rPr>
              <w:t>Mallpost</w:t>
            </w:r>
            <w:r w:rsidRPr="00D95552">
              <w:t>:</w:t>
            </w:r>
            <w:r w:rsidRPr="00D95552">
              <w:rPr>
                <w:b/>
              </w:rPr>
              <w:t xml:space="preserve"> </w:t>
            </w:r>
            <w:r w:rsidRPr="00D95552">
              <w:t>gepLevel</w:t>
            </w:r>
          </w:p>
          <w:p w:rsidR="000215C5" w:rsidRPr="00D95552" w:rsidRDefault="00703023">
            <w:pPr>
              <w:spacing w:after="120"/>
              <w:jc w:val="both"/>
              <w:rPr>
                <w:szCs w:val="24"/>
              </w:rPr>
            </w:pPr>
            <w:r w:rsidRPr="00D95552">
              <w:rPr>
                <w:b/>
              </w:rPr>
              <w:t xml:space="preserve">Fälttyp/alternativ: </w:t>
            </w:r>
            <w:r w:rsidRPr="00D95552">
              <w:t>GEPLevel_Enum:</w:t>
            </w:r>
          </w:p>
          <w:p w:rsidR="000215C5" w:rsidRPr="00D95552" w:rsidRDefault="00703023">
            <w:pPr>
              <w:spacing w:after="120"/>
              <w:jc w:val="both"/>
              <w:rPr>
                <w:szCs w:val="24"/>
              </w:rPr>
            </w:pPr>
            <w:r w:rsidRPr="00D95552">
              <w:t>At water body level</w:t>
            </w:r>
          </w:p>
          <w:p w:rsidR="000215C5" w:rsidRPr="006E59C8" w:rsidRDefault="00703023">
            <w:pPr>
              <w:spacing w:after="120"/>
              <w:jc w:val="both"/>
              <w:rPr>
                <w:szCs w:val="24"/>
                <w:lang w:val="en-GB"/>
              </w:rPr>
            </w:pPr>
            <w:r w:rsidRPr="006E59C8">
              <w:rPr>
                <w:lang w:val="en-GB"/>
              </w:rPr>
              <w:t>For groups of HMWBs/AWBs of the same use/physical modification</w:t>
            </w:r>
          </w:p>
          <w:p w:rsidR="000215C5" w:rsidRPr="006E59C8" w:rsidRDefault="00703023">
            <w:pPr>
              <w:spacing w:after="120"/>
              <w:jc w:val="both"/>
              <w:rPr>
                <w:szCs w:val="24"/>
                <w:lang w:val="en-GB"/>
              </w:rPr>
            </w:pPr>
            <w:r w:rsidRPr="006E59C8">
              <w:rPr>
                <w:lang w:val="en-GB"/>
              </w:rPr>
              <w:t>Other approach</w:t>
            </w:r>
          </w:p>
          <w:p w:rsidR="000215C5" w:rsidRPr="006E59C8" w:rsidRDefault="00703023">
            <w:pPr>
              <w:spacing w:after="120"/>
              <w:jc w:val="both"/>
              <w:rPr>
                <w:szCs w:val="24"/>
                <w:lang w:val="en-GB"/>
              </w:rPr>
            </w:pPr>
            <w:r w:rsidRPr="006E59C8">
              <w:rPr>
                <w:b/>
                <w:lang w:val="en-GB"/>
              </w:rPr>
              <w:t xml:space="preserve">Egenskaper: </w:t>
            </w:r>
            <w:r w:rsidRPr="006E59C8">
              <w:rPr>
                <w:lang w:val="en-GB"/>
              </w:rPr>
              <w:t>maxOccurs = 1 minOccurs = 0</w:t>
            </w:r>
          </w:p>
          <w:p w:rsidR="000215C5" w:rsidRDefault="00703023">
            <w:pPr>
              <w:spacing w:after="120"/>
              <w:jc w:val="both"/>
              <w:rPr>
                <w:szCs w:val="24"/>
              </w:rPr>
            </w:pPr>
            <w:r>
              <w:rPr>
                <w:b/>
              </w:rPr>
              <w:t>Vägledning om hur man fyller i mallposten</w:t>
            </w:r>
            <w:r>
              <w:t xml:space="preserve">: Villkorlig. Ange på vilken nivå GEP har definierats. </w:t>
            </w:r>
          </w:p>
          <w:p w:rsidR="000215C5" w:rsidRDefault="00703023">
            <w:pPr>
              <w:spacing w:after="120"/>
              <w:jc w:val="both"/>
              <w:rPr>
                <w:b/>
                <w:szCs w:val="24"/>
              </w:rPr>
            </w:pPr>
            <w:r>
              <w:rPr>
                <w:b/>
              </w:rPr>
              <w:t>Kvalitetskontroller</w:t>
            </w:r>
            <w:r>
              <w:t>: Villkorlig kontroll: Rapportera om gepDefined är ”Yes”.</w:t>
            </w:r>
          </w:p>
        </w:tc>
      </w:tr>
      <w:tr w:rsidR="000215C5">
        <w:tc>
          <w:tcPr>
            <w:tcW w:w="9853" w:type="dxa"/>
            <w:shd w:val="clear" w:color="auto" w:fill="auto"/>
          </w:tcPr>
          <w:p w:rsidR="000215C5" w:rsidRDefault="00703023">
            <w:pPr>
              <w:spacing w:after="120"/>
              <w:jc w:val="both"/>
              <w:rPr>
                <w:szCs w:val="24"/>
              </w:rPr>
            </w:pPr>
            <w:r>
              <w:rPr>
                <w:b/>
              </w:rPr>
              <w:t>Mallpost</w:t>
            </w:r>
            <w:r>
              <w:t>: gepApproach</w:t>
            </w:r>
          </w:p>
          <w:p w:rsidR="000215C5" w:rsidRDefault="00703023">
            <w:pPr>
              <w:spacing w:after="120"/>
              <w:jc w:val="both"/>
              <w:rPr>
                <w:szCs w:val="24"/>
              </w:rPr>
            </w:pPr>
            <w:r>
              <w:rPr>
                <w:b/>
              </w:rPr>
              <w:t xml:space="preserve">Fälttyp/alternativ: </w:t>
            </w:r>
            <w:r>
              <w:t>GEPApproach_Enum:</w:t>
            </w:r>
          </w:p>
          <w:p w:rsidR="000215C5" w:rsidRDefault="00703023">
            <w:pPr>
              <w:spacing w:after="120"/>
              <w:jc w:val="both"/>
              <w:rPr>
                <w:szCs w:val="24"/>
              </w:rPr>
            </w:pPr>
            <w:r>
              <w:t>CIS Guidance Approach</w:t>
            </w:r>
          </w:p>
          <w:p w:rsidR="000215C5" w:rsidRPr="006E59C8" w:rsidRDefault="00703023">
            <w:pPr>
              <w:spacing w:after="120"/>
              <w:jc w:val="both"/>
              <w:rPr>
                <w:szCs w:val="24"/>
                <w:lang w:val="en-GB"/>
              </w:rPr>
            </w:pPr>
            <w:r w:rsidRPr="006E59C8">
              <w:rPr>
                <w:lang w:val="en-GB"/>
              </w:rPr>
              <w:t>Mitigation Measures (Prague) Approach</w:t>
            </w:r>
          </w:p>
          <w:p w:rsidR="000215C5" w:rsidRPr="006E59C8" w:rsidRDefault="00703023">
            <w:pPr>
              <w:spacing w:after="120"/>
              <w:jc w:val="both"/>
              <w:rPr>
                <w:szCs w:val="24"/>
                <w:lang w:val="en-GB"/>
              </w:rPr>
            </w:pPr>
            <w:r w:rsidRPr="006E59C8">
              <w:rPr>
                <w:lang w:val="en-GB"/>
              </w:rPr>
              <w:t>Hybrid CIS/Prague Approach.</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vilken metod som har tillämpats för att definiera GEP.</w:t>
            </w:r>
          </w:p>
          <w:p w:rsidR="000215C5" w:rsidRDefault="00703023">
            <w:pPr>
              <w:spacing w:after="120"/>
              <w:jc w:val="both"/>
              <w:rPr>
                <w:b/>
                <w:szCs w:val="24"/>
              </w:rPr>
            </w:pPr>
            <w:r>
              <w:rPr>
                <w:b/>
              </w:rPr>
              <w:t>Kvalitetskontroller</w:t>
            </w:r>
            <w:r>
              <w:t>: Villkorlig kontroll: Rapportera om gepDefined är ”Yes”.</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gepBiology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om GEP har definierats i biologiska termer (biologiska kvalitetsfaktorer).</w:t>
            </w:r>
          </w:p>
          <w:p w:rsidR="000215C5" w:rsidRDefault="00703023">
            <w:pPr>
              <w:spacing w:after="120"/>
              <w:jc w:val="both"/>
              <w:rPr>
                <w:b/>
                <w:szCs w:val="24"/>
              </w:rPr>
            </w:pPr>
            <w:r>
              <w:rPr>
                <w:b/>
              </w:rPr>
              <w:t>Kvalitetskontroller</w:t>
            </w:r>
            <w:r>
              <w:t>: Villkorlig kontroll: Rapportera om gepDefined är ”Yes”.</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mitigationMeasures</w:t>
            </w:r>
          </w:p>
          <w:p w:rsidR="000215C5" w:rsidRDefault="00703023">
            <w:pPr>
              <w:spacing w:after="120"/>
              <w:jc w:val="both"/>
              <w:rPr>
                <w:szCs w:val="24"/>
              </w:rPr>
            </w:pPr>
            <w:r>
              <w:rPr>
                <w:b/>
              </w:rPr>
              <w:t xml:space="preserve">Fälttyp/alternativ: </w:t>
            </w:r>
            <w:r>
              <w:t>MitigationMeasure_Enum (se bilaga 8m)</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Villkorlig. Välj lindrande åtgärder utan betydande negativ påverkan på användningen eller miljön i stort från uppräkningslistan som har identifierats för att definiera GEP. Fler än en lindrande åtgärd kan väljas.</w:t>
            </w:r>
          </w:p>
          <w:p w:rsidR="000215C5" w:rsidRDefault="00703023">
            <w:pPr>
              <w:spacing w:after="120"/>
              <w:jc w:val="both"/>
              <w:rPr>
                <w:b/>
                <w:szCs w:val="24"/>
              </w:rPr>
            </w:pPr>
            <w:r>
              <w:rPr>
                <w:b/>
              </w:rPr>
              <w:t>Kvalitetskontroller</w:t>
            </w:r>
            <w:r>
              <w:t>: Villkorlig kontroll: Rapportera om gepDefined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bqeForMEPGEP</w:t>
            </w:r>
          </w:p>
          <w:p w:rsidR="000215C5" w:rsidRDefault="00703023">
            <w:pPr>
              <w:spacing w:after="120"/>
              <w:jc w:val="both"/>
              <w:rPr>
                <w:szCs w:val="24"/>
              </w:rPr>
            </w:pPr>
            <w:r>
              <w:rPr>
                <w:b/>
              </w:rPr>
              <w:t xml:space="preserve">Fälttyp/alternativ: </w:t>
            </w:r>
            <w:r>
              <w:t>BQE_Enum (se bilaga 8h)</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Välj de biologiska kvalitetsfaktorer från uppräkningslistan för vilka biologiska värden härleddes för att definiera MEP och GEP. Fler än en BQE kan väljas. </w:t>
            </w:r>
          </w:p>
          <w:p w:rsidR="000215C5" w:rsidRDefault="00703023">
            <w:pPr>
              <w:spacing w:after="120"/>
              <w:jc w:val="both"/>
              <w:rPr>
                <w:b/>
                <w:szCs w:val="24"/>
              </w:rPr>
            </w:pPr>
            <w:r>
              <w:rPr>
                <w:b/>
              </w:rPr>
              <w:t>Kvalitetskontroller</w:t>
            </w:r>
            <w:r>
              <w:t>: Villkorlig kontroll: Rapportera om gepDefined är ”Yes”.</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gesGepComparison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om god ekologisk status (GES) och GEP har jämförts, t.ex. mätts på en gemensam skala</w:t>
            </w:r>
            <w:r>
              <w:rPr>
                <w:rStyle w:val="Fotnotsreferens"/>
              </w:rPr>
              <w:footnoteReference w:id="82"/>
            </w:r>
            <w:r>
              <w:t>.</w:t>
            </w:r>
          </w:p>
          <w:p w:rsidR="000215C5" w:rsidRDefault="00703023">
            <w:pPr>
              <w:spacing w:after="120"/>
              <w:jc w:val="both"/>
              <w:rPr>
                <w:szCs w:val="24"/>
              </w:rPr>
            </w:pPr>
            <w:r>
              <w:t>Om ”Yes”, lämna ett dokument med en beskrivning av den jämförelse som har gjorts.</w:t>
            </w:r>
          </w:p>
          <w:p w:rsidR="000215C5" w:rsidRDefault="00703023">
            <w:pPr>
              <w:spacing w:after="120"/>
              <w:jc w:val="both"/>
              <w:rPr>
                <w:szCs w:val="24"/>
              </w:rPr>
            </w:pPr>
            <w:r>
              <w:t>Om ”No”, lämna ett dokument med en förklaring till varför ingen jämförelse har gjorts.</w:t>
            </w:r>
          </w:p>
          <w:p w:rsidR="000215C5" w:rsidRDefault="00703023">
            <w:pPr>
              <w:spacing w:after="120"/>
              <w:jc w:val="both"/>
              <w:rPr>
                <w:szCs w:val="24"/>
              </w:rPr>
            </w:pPr>
            <w:r>
              <w:t>Ange en hänvisning eller en hyperlänk till dokument och avsnitt som innehåller relevant information. Denna information måste laddas upp på Wise eller göras tillgänglig på webben.</w:t>
            </w:r>
          </w:p>
          <w:p w:rsidR="000215C5" w:rsidRDefault="00703023">
            <w:pPr>
              <w:spacing w:after="120"/>
              <w:jc w:val="both"/>
              <w:rPr>
                <w:szCs w:val="24"/>
              </w:rPr>
            </w:pPr>
            <w:r>
              <w:t xml:space="preserve">Vägledning om hur de filer och dokument som ska laddas upp på Wise ska namnges finns i användarhandboken om rapportering till Wise (se bilaga 6). </w:t>
            </w:r>
          </w:p>
          <w:p w:rsidR="000215C5" w:rsidRDefault="00703023">
            <w:pPr>
              <w:spacing w:after="120"/>
              <w:jc w:val="both"/>
              <w:rPr>
                <w:szCs w:val="24"/>
              </w:rPr>
            </w:pPr>
            <w:r>
              <w:t>Om en hyperlänk till information som lagras på en medlemsstats server rapporteras måste medlemsstaten säkerställa att hyperlänken kommer att vara stabil och aktiv under sex år efter rapporteringen och att den information som hänvisningen gäller inte revideras eller uppdateras.</w:t>
            </w:r>
          </w:p>
          <w:p w:rsidR="000215C5" w:rsidRDefault="00703023">
            <w:pPr>
              <w:spacing w:after="120"/>
              <w:jc w:val="both"/>
              <w:rPr>
                <w:b/>
                <w:szCs w:val="24"/>
              </w:rPr>
            </w:pPr>
            <w:r>
              <w:rPr>
                <w:b/>
              </w:rPr>
              <w:t>Kvalitetskontroller</w:t>
            </w:r>
            <w:r>
              <w:t>: Villkorlig kontroll: Rapportera om gepDefined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ecologicalStatusMethodReference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tekniska dokument som beskriver de metoder som används för bedömningen av ekologisk status. Vägledning om vilka uppgifter som bör ingå i detta dokument ges i avsnitt </w:t>
            </w:r>
            <w:r>
              <w:fldChar w:fldCharType="begin"/>
            </w:r>
            <w:r>
              <w:instrText xml:space="preserve"> REF _Ref402952083 \r \h  \* MERGEFORMAT </w:instrText>
            </w:r>
            <w:r>
              <w:fldChar w:fldCharType="separate"/>
            </w:r>
            <w:r>
              <w:rPr>
                <w:szCs w:val="24"/>
              </w:rPr>
              <w:t>7.3.3.3</w:t>
            </w:r>
            <w:r>
              <w:fldChar w:fldCharType="end"/>
            </w:r>
            <w:r>
              <w:t>.</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gepMethodReference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tekniska dokument som beskriver de metoder som används för bedömningen av ekologisk potential. Vägledning om vilka uppgifter som bör ingå i detta dokument ges i avsnitt </w:t>
            </w:r>
            <w:r>
              <w:fldChar w:fldCharType="begin"/>
            </w:r>
            <w:r>
              <w:instrText xml:space="preserve"> REF _Ref402952083 \r \h  \* MERGEFORMAT </w:instrText>
            </w:r>
            <w:r>
              <w:fldChar w:fldCharType="separate"/>
            </w:r>
            <w:r>
              <w:rPr>
                <w:szCs w:val="24"/>
              </w:rPr>
              <w:t>7.3.3.3</w:t>
            </w:r>
            <w:r>
              <w:fldChar w:fldCharType="end"/>
            </w:r>
            <w:r>
              <w:t>.</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driversFailureEcologicalStatusPotentialReference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hänvisningar eller hyperlänkar till tekniska dokument som beskriver de drivkrafter och effekter som leder till att god ekologisk status eller potential inte uppnås. Vägledning om vilka uppgifter som bör ing</w:t>
            </w:r>
            <w:r w:rsidR="00985770">
              <w:t>å i detta dokument ges i avsnitt </w:t>
            </w:r>
            <w:r>
              <w:fldChar w:fldCharType="begin"/>
            </w:r>
            <w:r>
              <w:instrText xml:space="preserve"> REF _Ref402952083 \r \h  \* MERGEFORMAT </w:instrText>
            </w:r>
            <w:r>
              <w:fldChar w:fldCharType="separate"/>
            </w:r>
            <w:r>
              <w:rPr>
                <w:szCs w:val="24"/>
              </w:rPr>
              <w:t>7.3.3.3</w:t>
            </w:r>
            <w:r>
              <w:fldChar w:fldCharType="end"/>
            </w:r>
            <w:r>
              <w:t>.</w:t>
            </w:r>
          </w:p>
        </w:tc>
      </w:tr>
    </w:tbl>
    <w:p w:rsidR="000215C5" w:rsidRDefault="000215C5">
      <w:pPr>
        <w:jc w:val="both"/>
      </w:pPr>
    </w:p>
    <w:p w:rsidR="000215C5" w:rsidRDefault="00703023">
      <w:pPr>
        <w:pStyle w:val="Rubrik4"/>
      </w:pPr>
      <w:bookmarkStart w:id="360" w:name="_Ref402952083"/>
      <w:r>
        <w:t>Vägledning om innehållet i förvaltningsplanerna för avrinningsdistrikt/bakgrundsdokument</w:t>
      </w:r>
      <w:bookmarkEnd w:id="360"/>
      <w:r>
        <w:t xml:space="preserve"> </w:t>
      </w:r>
    </w:p>
    <w:p w:rsidR="000215C5" w:rsidRDefault="00703023">
      <w:pPr>
        <w:jc w:val="both"/>
      </w:pPr>
      <w:r>
        <w:t>Nedan ges vägledning om de uppgifter som kommissionen förväntar sig att medlemsstaterna lämnar i de relevanta kapitlen om metoder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rPr>
          <w:b/>
        </w:rPr>
      </w:pPr>
      <w:r>
        <w:rPr>
          <w:b/>
        </w:rPr>
        <w:t>Utveckling av metoder för ekologisk status</w:t>
      </w:r>
    </w:p>
    <w:p w:rsidR="000215C5" w:rsidRDefault="00703023">
      <w:pPr>
        <w:numPr>
          <w:ilvl w:val="0"/>
          <w:numId w:val="25"/>
        </w:numPr>
        <w:jc w:val="both"/>
        <w:rPr>
          <w:szCs w:val="24"/>
        </w:rPr>
      </w:pPr>
      <w:r>
        <w:t>Metod för aggregering av övervakningsuppgifter från olika övervakningsstationer inom en ytvattenförekomst för att ta fram en övergripande statusbedömning.</w:t>
      </w:r>
    </w:p>
    <w:p w:rsidR="000215C5" w:rsidRDefault="00703023">
      <w:pPr>
        <w:numPr>
          <w:ilvl w:val="0"/>
          <w:numId w:val="25"/>
        </w:numPr>
        <w:jc w:val="both"/>
        <w:rPr>
          <w:szCs w:val="24"/>
        </w:rPr>
      </w:pPr>
      <w:r>
        <w:t>Metod för att inbegripa målet att vattenförekomster inte ska försämras i klassificeringen av ytvattenförekomster, särskilt för vattenförekomster som ligger nära gränserna för hög/god eller god/måttlig status, och med beaktande av utvecklingen av de faktorer som påverkar vattenförekomsten.</w:t>
      </w:r>
    </w:p>
    <w:p w:rsidR="000215C5" w:rsidRDefault="00703023">
      <w:pPr>
        <w:numPr>
          <w:ilvl w:val="0"/>
          <w:numId w:val="25"/>
        </w:numPr>
        <w:jc w:val="both"/>
        <w:rPr>
          <w:szCs w:val="24"/>
        </w:rPr>
      </w:pPr>
      <w:r>
        <w:t>Utveckling av bedömningsmetoder som fullständigt överensstämmer med vattendirektivet för biologiska, hydromorfologiska och fysikalisk-kemiska kvalitetsfaktorer.</w:t>
      </w:r>
    </w:p>
    <w:p w:rsidR="000215C5" w:rsidRDefault="00703023">
      <w:pPr>
        <w:numPr>
          <w:ilvl w:val="0"/>
          <w:numId w:val="25"/>
        </w:numPr>
        <w:jc w:val="both"/>
        <w:rPr>
          <w:szCs w:val="24"/>
        </w:rPr>
      </w:pPr>
      <w:r>
        <w:t>Beskrivning av återstående luckor och inkonsekvenser i bedömningsmetoderna, inklusive en plan med lösningar.</w:t>
      </w:r>
    </w:p>
    <w:p w:rsidR="000215C5" w:rsidRDefault="00703023">
      <w:pPr>
        <w:numPr>
          <w:ilvl w:val="0"/>
          <w:numId w:val="25"/>
        </w:numPr>
        <w:jc w:val="both"/>
        <w:rPr>
          <w:szCs w:val="24"/>
        </w:rPr>
      </w:pPr>
      <w:r>
        <w:t>Större förändringar i bedömningsmetoden för ekologisk status mellan den första och den andra versionen av förvaltningsplanerna.</w:t>
      </w:r>
    </w:p>
    <w:p w:rsidR="000215C5" w:rsidRDefault="00703023">
      <w:pPr>
        <w:numPr>
          <w:ilvl w:val="0"/>
          <w:numId w:val="25"/>
        </w:numPr>
        <w:jc w:val="both"/>
        <w:rPr>
          <w:szCs w:val="24"/>
        </w:rPr>
      </w:pPr>
      <w:r>
        <w:t>Metoder som använts för att omvandla resultaten från interkalibrerade typer till alla andra nationella typer.</w:t>
      </w:r>
    </w:p>
    <w:p w:rsidR="000215C5" w:rsidRDefault="00703023">
      <w:pPr>
        <w:numPr>
          <w:ilvl w:val="0"/>
          <w:numId w:val="25"/>
        </w:numPr>
        <w:jc w:val="both"/>
        <w:rPr>
          <w:szCs w:val="24"/>
        </w:rPr>
      </w:pPr>
      <w:r>
        <w:t>Beskrivning av tillämpningen av principen ”one-out, all-out”. Om principen inte har tillämpats måste en detaljerad motivering och en beskrivning av det alternativa förfarande som använts lämnas.</w:t>
      </w:r>
    </w:p>
    <w:p w:rsidR="000215C5" w:rsidRDefault="00703023">
      <w:pPr>
        <w:numPr>
          <w:ilvl w:val="0"/>
          <w:numId w:val="25"/>
        </w:numPr>
        <w:jc w:val="both"/>
        <w:rPr>
          <w:szCs w:val="24"/>
        </w:rPr>
      </w:pPr>
      <w:r>
        <w:t>Metod för gruppering av ytvattenförekomster och för att härleda status för ej övervakade vattenförekomster.</w:t>
      </w:r>
    </w:p>
    <w:p w:rsidR="000215C5" w:rsidRDefault="00703023">
      <w:pPr>
        <w:numPr>
          <w:ilvl w:val="0"/>
          <w:numId w:val="25"/>
        </w:numPr>
        <w:jc w:val="both"/>
        <w:rPr>
          <w:szCs w:val="24"/>
        </w:rPr>
      </w:pPr>
      <w:r>
        <w:t>Metoder för att bedöma konfidens- och noggrannhetsnivån för de olika delarna av klassificeringssystemet, uppnådd konfidens- och noggrannhetsnivå samt eventuellt befintliga planer för att förbättra konfidens- och noggrannhetsnivån.</w:t>
      </w:r>
    </w:p>
    <w:p w:rsidR="000215C5" w:rsidRDefault="00703023">
      <w:pPr>
        <w:numPr>
          <w:ilvl w:val="0"/>
          <w:numId w:val="25"/>
        </w:numPr>
        <w:jc w:val="both"/>
        <w:rPr>
          <w:szCs w:val="24"/>
        </w:rPr>
      </w:pPr>
      <w:r>
        <w:t>Metod för valet av särskilt förorenande ämnen för avrinningsdistrikt (RBSP).</w:t>
      </w:r>
    </w:p>
    <w:p w:rsidR="000215C5" w:rsidRDefault="00703023" w:rsidP="00E12BBE">
      <w:pPr>
        <w:keepNext/>
        <w:jc w:val="both"/>
        <w:rPr>
          <w:b/>
          <w:szCs w:val="24"/>
        </w:rPr>
      </w:pPr>
      <w:r>
        <w:rPr>
          <w:b/>
        </w:rPr>
        <w:t>Utveckling av GEP</w:t>
      </w:r>
    </w:p>
    <w:p w:rsidR="000215C5" w:rsidRDefault="00703023" w:rsidP="00E12BBE">
      <w:pPr>
        <w:keepNext/>
        <w:numPr>
          <w:ilvl w:val="0"/>
          <w:numId w:val="25"/>
        </w:numPr>
        <w:jc w:val="both"/>
        <w:rPr>
          <w:szCs w:val="24"/>
        </w:rPr>
      </w:pPr>
      <w:r>
        <w:t>Information om jämförelsen mellan Pragmetoden och CIS-metoden för identifiering av GEP, om en sådan har gjorts.</w:t>
      </w:r>
    </w:p>
    <w:p w:rsidR="000215C5" w:rsidRDefault="00703023">
      <w:pPr>
        <w:numPr>
          <w:ilvl w:val="0"/>
          <w:numId w:val="25"/>
        </w:numPr>
        <w:jc w:val="both"/>
        <w:rPr>
          <w:szCs w:val="24"/>
        </w:rPr>
      </w:pPr>
      <w:r>
        <w:t>Information om de lindrande åtgärder som har identifierats för att uppnå GEP och de ekologiska förändringar eller förbättringar som förväntas uppnås.</w:t>
      </w:r>
    </w:p>
    <w:p w:rsidR="000215C5" w:rsidRDefault="00703023">
      <w:pPr>
        <w:numPr>
          <w:ilvl w:val="0"/>
          <w:numId w:val="25"/>
        </w:numPr>
        <w:jc w:val="both"/>
        <w:rPr>
          <w:szCs w:val="24"/>
        </w:rPr>
      </w:pPr>
      <w:r>
        <w:t>Information om hur den svaga avvikelsen av GEP från MEP har fastställts i form av biologiska värden (CIS-metoden) eller exkluderade lindrande åtgärder (Prag-metoden).</w:t>
      </w:r>
    </w:p>
    <w:p w:rsidR="000215C5" w:rsidRDefault="00703023">
      <w:pPr>
        <w:numPr>
          <w:ilvl w:val="0"/>
          <w:numId w:val="25"/>
        </w:numPr>
        <w:jc w:val="both"/>
        <w:rPr>
          <w:szCs w:val="24"/>
        </w:rPr>
      </w:pPr>
      <w:r>
        <w:t>Information om jämförelsen mellan GES och GEP, om en sådan har gjorts.</w:t>
      </w:r>
    </w:p>
    <w:p w:rsidR="000215C5" w:rsidRDefault="00703023">
      <w:pPr>
        <w:numPr>
          <w:ilvl w:val="0"/>
          <w:numId w:val="25"/>
        </w:numPr>
        <w:jc w:val="both"/>
        <w:rPr>
          <w:szCs w:val="24"/>
        </w:rPr>
      </w:pPr>
      <w:r>
        <w:t>En beskrivning av de ekologiska förändringar som de lindrande åtgärderna har utformats för att uppnå.</w:t>
      </w:r>
    </w:p>
    <w:p w:rsidR="000215C5" w:rsidRDefault="00703023">
      <w:pPr>
        <w:numPr>
          <w:ilvl w:val="0"/>
          <w:numId w:val="25"/>
        </w:numPr>
        <w:jc w:val="both"/>
        <w:rPr>
          <w:szCs w:val="24"/>
        </w:rPr>
      </w:pPr>
      <w:r>
        <w:t>Klargöranden av vilka ekologiska förbättringar som kommer att uppnås genom de lindrande åtgärder som har valts för att uppnå GEP.</w:t>
      </w:r>
    </w:p>
    <w:p w:rsidR="000215C5" w:rsidRDefault="00703023" w:rsidP="00986238">
      <w:pPr>
        <w:pageBreakBefore/>
        <w:jc w:val="both"/>
        <w:rPr>
          <w:b/>
          <w:u w:val="single"/>
        </w:rPr>
      </w:pPr>
      <w:r>
        <w:rPr>
          <w:b/>
          <w:u w:val="single"/>
        </w:rPr>
        <w:t>Drivkrafter och effekter som leder till att ekologisk status inte uppnås</w:t>
      </w:r>
    </w:p>
    <w:p w:rsidR="000215C5" w:rsidRDefault="00703023">
      <w:pPr>
        <w:jc w:val="both"/>
        <w:rPr>
          <w:szCs w:val="24"/>
        </w:rPr>
      </w:pPr>
      <w:r>
        <w:t>Ta med följande tabell om drivkrafter och effekter som leder till att ekologisk status inte uppnås i förvaltningsplanen eller bakgrundsdokumenten. Fälten ska innehålla antalet ytvattenförekomster som inte uppnår god ekologisk status till följd av relevanta drivkrafter och effekter. Fler än en kombination av drivkrafter och effekter kan leda till att ytvattenförekomster inte uppnår ekologisk status. När de rapporterade värdena summeras förväntas de därför inte motsvara det totala antalet ytvattenförekomster som inte uppnår ekologisk status. Denna tabell bör helst tas fram för varje kategori av ytvattenförekomst (åtskillnad bör åtminstone göras mellan kustvatten och övriga kategorier av ytvattenförekomster).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720"/>
        <w:gridCol w:w="810"/>
        <w:gridCol w:w="720"/>
        <w:gridCol w:w="630"/>
        <w:gridCol w:w="628"/>
        <w:gridCol w:w="851"/>
        <w:gridCol w:w="708"/>
        <w:gridCol w:w="603"/>
        <w:gridCol w:w="815"/>
        <w:gridCol w:w="709"/>
        <w:gridCol w:w="850"/>
        <w:gridCol w:w="709"/>
      </w:tblGrid>
      <w:tr w:rsidR="000215C5" w:rsidTr="00986238">
        <w:trPr>
          <w:trHeight w:val="790"/>
          <w:tblHeader/>
        </w:trPr>
        <w:tc>
          <w:tcPr>
            <w:tcW w:w="1278" w:type="dxa"/>
            <w:shd w:val="clear" w:color="auto" w:fill="auto"/>
          </w:tcPr>
          <w:p w:rsidR="000215C5" w:rsidRDefault="00703023">
            <w:pPr>
              <w:spacing w:after="0"/>
              <w:jc w:val="both"/>
              <w:rPr>
                <w:b/>
                <w:sz w:val="16"/>
              </w:rPr>
            </w:pPr>
            <w:r>
              <w:rPr>
                <w:b/>
                <w:sz w:val="16"/>
              </w:rPr>
              <w:t>Drivkraft/effekt</w:t>
            </w:r>
          </w:p>
        </w:tc>
        <w:tc>
          <w:tcPr>
            <w:tcW w:w="720" w:type="dxa"/>
          </w:tcPr>
          <w:p w:rsidR="000215C5" w:rsidRDefault="00703023">
            <w:pPr>
              <w:spacing w:after="0"/>
              <w:jc w:val="both"/>
              <w:rPr>
                <w:sz w:val="12"/>
              </w:rPr>
            </w:pPr>
            <w:r>
              <w:rPr>
                <w:sz w:val="12"/>
              </w:rPr>
              <w:t>Jordbruk</w:t>
            </w:r>
          </w:p>
        </w:tc>
        <w:tc>
          <w:tcPr>
            <w:tcW w:w="810" w:type="dxa"/>
          </w:tcPr>
          <w:p w:rsidR="000215C5" w:rsidRPr="00554F35" w:rsidRDefault="00703023">
            <w:pPr>
              <w:spacing w:after="0"/>
              <w:jc w:val="both"/>
              <w:rPr>
                <w:sz w:val="12"/>
              </w:rPr>
            </w:pPr>
            <w:r w:rsidRPr="00554F35">
              <w:rPr>
                <w:sz w:val="12"/>
              </w:rPr>
              <w:t>Klimat</w:t>
            </w:r>
            <w:r w:rsidR="00F312CC" w:rsidRPr="00554F35">
              <w:rPr>
                <w:sz w:val="12"/>
              </w:rPr>
              <w:t>-</w:t>
            </w:r>
            <w:r w:rsidRPr="00554F35">
              <w:rPr>
                <w:sz w:val="12"/>
              </w:rPr>
              <w:t>förändring</w:t>
            </w:r>
          </w:p>
        </w:tc>
        <w:tc>
          <w:tcPr>
            <w:tcW w:w="720" w:type="dxa"/>
          </w:tcPr>
          <w:p w:rsidR="00B90915" w:rsidRPr="00554F35" w:rsidRDefault="00703023">
            <w:pPr>
              <w:spacing w:after="0"/>
              <w:jc w:val="both"/>
              <w:rPr>
                <w:sz w:val="12"/>
              </w:rPr>
            </w:pPr>
            <w:r w:rsidRPr="00554F35">
              <w:rPr>
                <w:sz w:val="12"/>
              </w:rPr>
              <w:t>Energi/</w:t>
            </w:r>
          </w:p>
          <w:p w:rsidR="000215C5" w:rsidRPr="00554F35" w:rsidRDefault="00703023">
            <w:pPr>
              <w:spacing w:after="0"/>
              <w:jc w:val="both"/>
              <w:rPr>
                <w:sz w:val="12"/>
              </w:rPr>
            </w:pPr>
            <w:r w:rsidRPr="00554F35">
              <w:rPr>
                <w:sz w:val="12"/>
              </w:rPr>
              <w:t>vatten</w:t>
            </w:r>
            <w:r w:rsidR="00F312CC" w:rsidRPr="00554F35">
              <w:rPr>
                <w:sz w:val="12"/>
              </w:rPr>
              <w:t>-</w:t>
            </w:r>
            <w:r w:rsidRPr="00554F35">
              <w:rPr>
                <w:sz w:val="12"/>
              </w:rPr>
              <w:t>kraft</w:t>
            </w:r>
          </w:p>
        </w:tc>
        <w:tc>
          <w:tcPr>
            <w:tcW w:w="630" w:type="dxa"/>
          </w:tcPr>
          <w:p w:rsidR="00554F35" w:rsidRPr="00554F35" w:rsidRDefault="00703023">
            <w:pPr>
              <w:spacing w:after="0"/>
              <w:jc w:val="both"/>
              <w:rPr>
                <w:sz w:val="12"/>
              </w:rPr>
            </w:pPr>
            <w:r w:rsidRPr="00554F35">
              <w:rPr>
                <w:sz w:val="12"/>
              </w:rPr>
              <w:t>Energi/</w:t>
            </w:r>
          </w:p>
          <w:p w:rsidR="000215C5" w:rsidRPr="00554F35" w:rsidRDefault="00703023">
            <w:pPr>
              <w:spacing w:after="0"/>
              <w:jc w:val="both"/>
              <w:rPr>
                <w:sz w:val="12"/>
              </w:rPr>
            </w:pPr>
            <w:r w:rsidRPr="00554F35">
              <w:rPr>
                <w:sz w:val="12"/>
              </w:rPr>
              <w:t>annat än vatten</w:t>
            </w:r>
            <w:r w:rsidR="00554F35" w:rsidRPr="00554F35">
              <w:rPr>
                <w:sz w:val="12"/>
              </w:rPr>
              <w:t>-</w:t>
            </w:r>
            <w:r w:rsidRPr="00554F35">
              <w:rPr>
                <w:sz w:val="12"/>
              </w:rPr>
              <w:t>kraft</w:t>
            </w:r>
          </w:p>
        </w:tc>
        <w:tc>
          <w:tcPr>
            <w:tcW w:w="628" w:type="dxa"/>
          </w:tcPr>
          <w:p w:rsidR="000215C5" w:rsidRPr="00554F35" w:rsidRDefault="00703023">
            <w:pPr>
              <w:spacing w:after="0"/>
              <w:jc w:val="both"/>
              <w:rPr>
                <w:sz w:val="12"/>
              </w:rPr>
            </w:pPr>
            <w:r w:rsidRPr="00554F35">
              <w:rPr>
                <w:sz w:val="12"/>
              </w:rPr>
              <w:t>Fiske och vatten</w:t>
            </w:r>
            <w:r w:rsidR="00554F35" w:rsidRPr="00554F35">
              <w:rPr>
                <w:sz w:val="12"/>
              </w:rPr>
              <w:t>-</w:t>
            </w:r>
            <w:r w:rsidRPr="00554F35">
              <w:rPr>
                <w:sz w:val="12"/>
              </w:rPr>
              <w:t>bruk</w:t>
            </w:r>
          </w:p>
        </w:tc>
        <w:tc>
          <w:tcPr>
            <w:tcW w:w="851" w:type="dxa"/>
          </w:tcPr>
          <w:p w:rsidR="000215C5" w:rsidRPr="00554F35" w:rsidRDefault="00703023">
            <w:pPr>
              <w:spacing w:after="0"/>
              <w:jc w:val="both"/>
              <w:rPr>
                <w:sz w:val="12"/>
              </w:rPr>
            </w:pPr>
            <w:r w:rsidRPr="00554F35">
              <w:rPr>
                <w:sz w:val="12"/>
              </w:rPr>
              <w:t>Skydd mot över</w:t>
            </w:r>
            <w:r w:rsidR="00554F35" w:rsidRPr="00554F35">
              <w:rPr>
                <w:sz w:val="12"/>
              </w:rPr>
              <w:t>-</w:t>
            </w:r>
            <w:r w:rsidRPr="00554F35">
              <w:rPr>
                <w:sz w:val="12"/>
              </w:rPr>
              <w:t>svämningar</w:t>
            </w:r>
          </w:p>
        </w:tc>
        <w:tc>
          <w:tcPr>
            <w:tcW w:w="708" w:type="dxa"/>
          </w:tcPr>
          <w:p w:rsidR="000215C5" w:rsidRPr="00554F35" w:rsidRDefault="00703023">
            <w:pPr>
              <w:spacing w:after="0"/>
              <w:jc w:val="both"/>
              <w:rPr>
                <w:sz w:val="12"/>
              </w:rPr>
            </w:pPr>
            <w:r w:rsidRPr="00554F35">
              <w:rPr>
                <w:sz w:val="12"/>
              </w:rPr>
              <w:t>Skogsbruk</w:t>
            </w:r>
          </w:p>
        </w:tc>
        <w:tc>
          <w:tcPr>
            <w:tcW w:w="603" w:type="dxa"/>
          </w:tcPr>
          <w:p w:rsidR="000215C5" w:rsidRPr="00554F35" w:rsidRDefault="00703023">
            <w:pPr>
              <w:spacing w:after="0"/>
              <w:jc w:val="both"/>
              <w:rPr>
                <w:sz w:val="12"/>
              </w:rPr>
            </w:pPr>
            <w:r w:rsidRPr="00554F35">
              <w:rPr>
                <w:sz w:val="12"/>
              </w:rPr>
              <w:t>Industri</w:t>
            </w:r>
          </w:p>
        </w:tc>
        <w:tc>
          <w:tcPr>
            <w:tcW w:w="815" w:type="dxa"/>
          </w:tcPr>
          <w:p w:rsidR="000215C5" w:rsidRPr="00554F35" w:rsidRDefault="00703023">
            <w:pPr>
              <w:spacing w:after="0"/>
              <w:jc w:val="both"/>
              <w:rPr>
                <w:sz w:val="12"/>
              </w:rPr>
            </w:pPr>
            <w:r w:rsidRPr="00554F35">
              <w:rPr>
                <w:sz w:val="12"/>
              </w:rPr>
              <w:t>Turism och rekreation</w:t>
            </w:r>
          </w:p>
        </w:tc>
        <w:tc>
          <w:tcPr>
            <w:tcW w:w="709" w:type="dxa"/>
          </w:tcPr>
          <w:p w:rsidR="000215C5" w:rsidRPr="00554F35" w:rsidRDefault="00703023">
            <w:pPr>
              <w:spacing w:after="0"/>
              <w:jc w:val="both"/>
              <w:rPr>
                <w:sz w:val="12"/>
              </w:rPr>
            </w:pPr>
            <w:r w:rsidRPr="00554F35">
              <w:rPr>
                <w:sz w:val="12"/>
              </w:rPr>
              <w:t>Transport</w:t>
            </w:r>
          </w:p>
        </w:tc>
        <w:tc>
          <w:tcPr>
            <w:tcW w:w="850" w:type="dxa"/>
          </w:tcPr>
          <w:p w:rsidR="000215C5" w:rsidRPr="00554F35" w:rsidRDefault="00703023">
            <w:pPr>
              <w:spacing w:after="0"/>
              <w:jc w:val="both"/>
              <w:rPr>
                <w:sz w:val="12"/>
                <w:szCs w:val="12"/>
              </w:rPr>
            </w:pPr>
            <w:r w:rsidRPr="00554F35">
              <w:rPr>
                <w:sz w:val="12"/>
              </w:rPr>
              <w:t>Stads</w:t>
            </w:r>
            <w:r w:rsidR="00554F35" w:rsidRPr="00554F35">
              <w:rPr>
                <w:sz w:val="12"/>
              </w:rPr>
              <w:t>-</w:t>
            </w:r>
            <w:r w:rsidRPr="00554F35">
              <w:rPr>
                <w:sz w:val="12"/>
              </w:rPr>
              <w:t>utveckling</w:t>
            </w:r>
          </w:p>
        </w:tc>
        <w:tc>
          <w:tcPr>
            <w:tcW w:w="709" w:type="dxa"/>
          </w:tcPr>
          <w:p w:rsidR="00B90915" w:rsidRPr="00554F35" w:rsidRDefault="00703023">
            <w:pPr>
              <w:spacing w:after="0"/>
              <w:jc w:val="both"/>
              <w:rPr>
                <w:sz w:val="12"/>
              </w:rPr>
            </w:pPr>
            <w:r w:rsidRPr="00554F35">
              <w:rPr>
                <w:sz w:val="12"/>
              </w:rPr>
              <w:t>Okänt/</w:t>
            </w:r>
          </w:p>
          <w:p w:rsidR="000215C5" w:rsidRPr="00554F35" w:rsidRDefault="00703023">
            <w:pPr>
              <w:spacing w:after="0"/>
              <w:jc w:val="both"/>
              <w:rPr>
                <w:sz w:val="12"/>
                <w:szCs w:val="12"/>
              </w:rPr>
            </w:pPr>
            <w:r w:rsidRPr="00554F35">
              <w:rPr>
                <w:sz w:val="12"/>
              </w:rPr>
              <w:t>annat</w:t>
            </w:r>
          </w:p>
        </w:tc>
      </w:tr>
      <w:tr w:rsidR="000215C5" w:rsidTr="00F312CC">
        <w:tc>
          <w:tcPr>
            <w:tcW w:w="1278" w:type="dxa"/>
            <w:shd w:val="clear" w:color="auto" w:fill="auto"/>
          </w:tcPr>
          <w:p w:rsidR="000215C5" w:rsidRDefault="00703023">
            <w:pPr>
              <w:spacing w:after="0"/>
              <w:jc w:val="both"/>
              <w:rPr>
                <w:sz w:val="16"/>
              </w:rPr>
            </w:pPr>
            <w:r>
              <w:rPr>
                <w:sz w:val="16"/>
              </w:rPr>
              <w:t>N 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c>
          <w:tcPr>
            <w:tcW w:w="1278" w:type="dxa"/>
            <w:shd w:val="clear" w:color="auto" w:fill="auto"/>
          </w:tcPr>
          <w:p w:rsidR="000215C5" w:rsidRDefault="00703023">
            <w:pPr>
              <w:spacing w:after="0"/>
              <w:jc w:val="both"/>
              <w:rPr>
                <w:sz w:val="16"/>
              </w:rPr>
            </w:pPr>
            <w:r>
              <w:rPr>
                <w:sz w:val="16"/>
              </w:rPr>
              <w:t>P 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c>
          <w:tcPr>
            <w:tcW w:w="1278" w:type="dxa"/>
            <w:shd w:val="clear" w:color="auto" w:fill="auto"/>
          </w:tcPr>
          <w:p w:rsidR="000215C5" w:rsidRDefault="00703023">
            <w:pPr>
              <w:spacing w:after="0"/>
              <w:jc w:val="both"/>
              <w:rPr>
                <w:sz w:val="16"/>
              </w:rPr>
            </w:pPr>
            <w:r>
              <w:rPr>
                <w:sz w:val="16"/>
              </w:rPr>
              <w:t>Organiska 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c>
          <w:tcPr>
            <w:tcW w:w="1278" w:type="dxa"/>
            <w:shd w:val="clear" w:color="auto" w:fill="auto"/>
          </w:tcPr>
          <w:p w:rsidR="000215C5" w:rsidRDefault="00703023">
            <w:pPr>
              <w:spacing w:after="0"/>
              <w:jc w:val="both"/>
              <w:rPr>
                <w:sz w:val="16"/>
              </w:rPr>
            </w:pPr>
            <w:r>
              <w:rPr>
                <w:sz w:val="16"/>
              </w:rPr>
              <w:t xml:space="preserve">Kemiska föroreningar </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c>
          <w:tcPr>
            <w:tcW w:w="1278" w:type="dxa"/>
            <w:shd w:val="clear" w:color="auto" w:fill="auto"/>
          </w:tcPr>
          <w:p w:rsidR="000215C5" w:rsidRDefault="00703023">
            <w:pPr>
              <w:spacing w:after="0"/>
              <w:jc w:val="both"/>
              <w:rPr>
                <w:sz w:val="16"/>
              </w:rPr>
            </w:pPr>
            <w:r>
              <w:rPr>
                <w:sz w:val="16"/>
              </w:rPr>
              <w:t>Saltföroreningar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c>
          <w:tcPr>
            <w:tcW w:w="1278" w:type="dxa"/>
            <w:shd w:val="clear" w:color="auto" w:fill="auto"/>
          </w:tcPr>
          <w:p w:rsidR="000215C5" w:rsidRDefault="00703023">
            <w:pPr>
              <w:spacing w:after="0"/>
              <w:jc w:val="both"/>
              <w:rPr>
                <w:sz w:val="16"/>
              </w:rPr>
            </w:pPr>
            <w:r>
              <w:rPr>
                <w:sz w:val="16"/>
              </w:rPr>
              <w:t>Försurning</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c>
          <w:tcPr>
            <w:tcW w:w="1278" w:type="dxa"/>
            <w:shd w:val="clear" w:color="auto" w:fill="auto"/>
          </w:tcPr>
          <w:p w:rsidR="000215C5" w:rsidRDefault="00703023">
            <w:pPr>
              <w:spacing w:after="0"/>
              <w:jc w:val="both"/>
              <w:rPr>
                <w:sz w:val="16"/>
              </w:rPr>
            </w:pPr>
            <w:r>
              <w:rPr>
                <w:sz w:val="16"/>
              </w:rPr>
              <w:t>Förhöjda temperaturer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c>
          <w:tcPr>
            <w:tcW w:w="1278" w:type="dxa"/>
            <w:shd w:val="clear" w:color="auto" w:fill="auto"/>
          </w:tcPr>
          <w:p w:rsidR="000215C5" w:rsidRDefault="00703023">
            <w:pPr>
              <w:spacing w:after="0"/>
              <w:jc w:val="both"/>
              <w:rPr>
                <w:sz w:val="16"/>
              </w:rPr>
            </w:pPr>
            <w:r>
              <w:rPr>
                <w:sz w:val="16"/>
              </w:rPr>
              <w:t>Ändrade livsmiljöer till följd av hydrologiska förändringar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c>
          <w:tcPr>
            <w:tcW w:w="1278" w:type="dxa"/>
            <w:shd w:val="clear" w:color="auto" w:fill="auto"/>
          </w:tcPr>
          <w:p w:rsidR="000215C5" w:rsidRDefault="00703023">
            <w:pPr>
              <w:spacing w:after="0"/>
              <w:jc w:val="both"/>
              <w:rPr>
                <w:sz w:val="16"/>
              </w:rPr>
            </w:pPr>
            <w:r>
              <w:rPr>
                <w:sz w:val="16"/>
              </w:rPr>
              <w:t>Ändrade livsmiljöer till följd av morfologiska förändringar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rPr>
          <w:trHeight w:val="205"/>
        </w:trPr>
        <w:tc>
          <w:tcPr>
            <w:tcW w:w="1278" w:type="dxa"/>
            <w:shd w:val="clear" w:color="auto" w:fill="auto"/>
          </w:tcPr>
          <w:p w:rsidR="000215C5" w:rsidRDefault="00703023">
            <w:pPr>
              <w:spacing w:after="0"/>
              <w:jc w:val="both"/>
              <w:rPr>
                <w:sz w:val="16"/>
              </w:rPr>
            </w:pPr>
            <w:r>
              <w:rPr>
                <w:sz w:val="16"/>
              </w:rPr>
              <w:t>Mikrobiologiska 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720" w:type="dxa"/>
          </w:tcPr>
          <w:p w:rsidR="000215C5" w:rsidRDefault="000215C5">
            <w:pPr>
              <w:spacing w:after="0"/>
              <w:jc w:val="both"/>
              <w:rPr>
                <w:sz w:val="16"/>
              </w:rPr>
            </w:pPr>
          </w:p>
        </w:tc>
        <w:tc>
          <w:tcPr>
            <w:tcW w:w="630" w:type="dxa"/>
          </w:tcPr>
          <w:p w:rsidR="000215C5" w:rsidRDefault="000215C5">
            <w:pPr>
              <w:spacing w:after="0"/>
              <w:jc w:val="both"/>
              <w:rPr>
                <w:sz w:val="16"/>
              </w:rPr>
            </w:pPr>
          </w:p>
        </w:tc>
        <w:tc>
          <w:tcPr>
            <w:tcW w:w="628"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603" w:type="dxa"/>
          </w:tcPr>
          <w:p w:rsidR="000215C5" w:rsidRDefault="000215C5">
            <w:pPr>
              <w:spacing w:after="0"/>
              <w:jc w:val="both"/>
              <w:rPr>
                <w:sz w:val="16"/>
              </w:rPr>
            </w:pPr>
          </w:p>
        </w:tc>
        <w:tc>
          <w:tcPr>
            <w:tcW w:w="815"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F312CC">
        <w:trPr>
          <w:trHeight w:val="205"/>
        </w:trPr>
        <w:tc>
          <w:tcPr>
            <w:tcW w:w="1278"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6"/>
              </w:rPr>
            </w:pPr>
            <w:r>
              <w:rPr>
                <w:sz w:val="16"/>
              </w:rPr>
              <w:t>Andra betydande effekter</w:t>
            </w:r>
          </w:p>
        </w:tc>
        <w:tc>
          <w:tcPr>
            <w:tcW w:w="72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1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2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63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628"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51"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603"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15"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szCs w:val="16"/>
              </w:rPr>
            </w:pPr>
          </w:p>
        </w:tc>
      </w:tr>
    </w:tbl>
    <w:p w:rsidR="000215C5" w:rsidRDefault="000215C5">
      <w:pPr>
        <w:jc w:val="both"/>
        <w:rPr>
          <w:szCs w:val="24"/>
        </w:rPr>
      </w:pPr>
    </w:p>
    <w:p w:rsidR="000215C5" w:rsidRDefault="00703023">
      <w:pPr>
        <w:jc w:val="both"/>
        <w:rPr>
          <w:szCs w:val="24"/>
        </w:rPr>
      </w:pPr>
      <w:r>
        <w:t>I vissa fall finns inte uppgifter och information tillgängliga för att ta fram en sådan här tabell. Så kan särskilt vara fallet för vissa typer av påverkan som är svårare att kvantifiera och/eller komplexa avrinningsdistrikt som är utsatta för många typer av påverkan, där det är svårt att skilja mellan påverkan och åtgärder.</w:t>
      </w:r>
    </w:p>
    <w:p w:rsidR="000215C5" w:rsidRDefault="00703023">
      <w:pPr>
        <w:jc w:val="both"/>
        <w:rPr>
          <w:szCs w:val="24"/>
        </w:rPr>
      </w:pPr>
      <w:r>
        <w:t>Medlemsstaterna uppmanas därför att rapportera så mycket uppgifter och information som de kan. När det gäller påverkan ska de rapportera om informationen finns tillgänglig eller kan härledas med rimliga ansträngningar. Om medlemsstaterna inte rapporterar information i detta avseende anses detta inte utgöra bristande efterlevnad av vattendirektivets bestämmelser.</w:t>
      </w:r>
    </w:p>
    <w:p w:rsidR="000215C5" w:rsidRDefault="00703023">
      <w:pPr>
        <w:jc w:val="both"/>
        <w:rPr>
          <w:szCs w:val="24"/>
        </w:rPr>
      </w:pPr>
      <w:r>
        <w:t xml:space="preserve">Hänvisningar: </w:t>
      </w:r>
    </w:p>
    <w:p w:rsidR="000215C5" w:rsidRDefault="00703023">
      <w:pPr>
        <w:jc w:val="both"/>
      </w:pPr>
      <w:r>
        <w:t>Se följande CIS-vägledningar för närmare information:</w:t>
      </w:r>
    </w:p>
    <w:p w:rsidR="000215C5" w:rsidRPr="006E59C8" w:rsidRDefault="00703023">
      <w:pPr>
        <w:pStyle w:val="Liststycke"/>
        <w:numPr>
          <w:ilvl w:val="0"/>
          <w:numId w:val="23"/>
        </w:numPr>
        <w:jc w:val="both"/>
        <w:rPr>
          <w:lang w:val="en-GB"/>
        </w:rPr>
      </w:pPr>
      <w:r w:rsidRPr="006E59C8">
        <w:rPr>
          <w:lang w:val="en-GB"/>
        </w:rPr>
        <w:t xml:space="preserve">CIS-vägledningsdokument nr 2: </w:t>
      </w:r>
      <w:r w:rsidRPr="006E59C8">
        <w:rPr>
          <w:i/>
          <w:lang w:val="en-GB"/>
        </w:rPr>
        <w:t>Identification of Water Bodies</w:t>
      </w:r>
      <w:r>
        <w:rPr>
          <w:rStyle w:val="Fotnotsreferens"/>
        </w:rPr>
        <w:footnoteReference w:id="83"/>
      </w:r>
      <w:r w:rsidRPr="006E59C8">
        <w:rPr>
          <w:lang w:val="en-GB"/>
        </w:rPr>
        <w:t>.</w:t>
      </w:r>
    </w:p>
    <w:p w:rsidR="000215C5" w:rsidRPr="006E59C8" w:rsidRDefault="00703023">
      <w:pPr>
        <w:pStyle w:val="Liststycke"/>
        <w:numPr>
          <w:ilvl w:val="0"/>
          <w:numId w:val="23"/>
        </w:numPr>
        <w:jc w:val="both"/>
        <w:rPr>
          <w:lang w:val="en-GB"/>
        </w:rPr>
      </w:pPr>
      <w:r w:rsidRPr="006E59C8">
        <w:rPr>
          <w:lang w:val="en-GB"/>
        </w:rPr>
        <w:t xml:space="preserve">CIS-vägledningsdokument nr 4: </w:t>
      </w:r>
      <w:r w:rsidRPr="006E59C8">
        <w:rPr>
          <w:i/>
          <w:lang w:val="en-GB"/>
        </w:rPr>
        <w:t>Identification and Designation of Heavily Modified and Artificial Water Bodies</w:t>
      </w:r>
      <w:r>
        <w:rPr>
          <w:rStyle w:val="Fotnotsreferens"/>
        </w:rPr>
        <w:footnoteReference w:id="84"/>
      </w:r>
      <w:r w:rsidRPr="006E59C8">
        <w:rPr>
          <w:lang w:val="en-GB"/>
        </w:rPr>
        <w:t>.</w:t>
      </w:r>
    </w:p>
    <w:p w:rsidR="000215C5" w:rsidRPr="006E59C8" w:rsidRDefault="00703023">
      <w:pPr>
        <w:pStyle w:val="Liststycke"/>
        <w:numPr>
          <w:ilvl w:val="0"/>
          <w:numId w:val="23"/>
        </w:numPr>
        <w:jc w:val="both"/>
        <w:rPr>
          <w:lang w:val="en-GB"/>
        </w:rPr>
      </w:pPr>
      <w:r w:rsidRPr="006E59C8">
        <w:rPr>
          <w:lang w:val="en-GB"/>
        </w:rPr>
        <w:t xml:space="preserve">CIS-vägledningsdokument nr 5: </w:t>
      </w:r>
      <w:r w:rsidRPr="006E59C8">
        <w:rPr>
          <w:i/>
          <w:lang w:val="en-GB"/>
        </w:rPr>
        <w:t>Transitional and Coastal Waters – Typology, Reference Conditions and Classification Systems</w:t>
      </w:r>
      <w:r>
        <w:rPr>
          <w:rStyle w:val="Fotnotsreferens"/>
        </w:rPr>
        <w:footnoteReference w:id="85"/>
      </w:r>
      <w:r w:rsidRPr="006E59C8">
        <w:rPr>
          <w:lang w:val="en-GB"/>
        </w:rPr>
        <w:t>.</w:t>
      </w:r>
    </w:p>
    <w:p w:rsidR="000215C5" w:rsidRPr="006E59C8" w:rsidRDefault="00703023">
      <w:pPr>
        <w:pStyle w:val="Liststycke"/>
        <w:numPr>
          <w:ilvl w:val="0"/>
          <w:numId w:val="23"/>
        </w:numPr>
        <w:spacing w:after="0"/>
        <w:ind w:left="714" w:hanging="357"/>
        <w:jc w:val="both"/>
        <w:rPr>
          <w:lang w:val="en-GB"/>
        </w:rPr>
      </w:pPr>
      <w:r w:rsidRPr="006E59C8">
        <w:rPr>
          <w:lang w:val="en-GB"/>
        </w:rPr>
        <w:t xml:space="preserve">CIS-vägledningsdokument nr 10: </w:t>
      </w:r>
      <w:r w:rsidRPr="006E59C8">
        <w:rPr>
          <w:i/>
          <w:lang w:val="en-GB"/>
        </w:rPr>
        <w:t>Rivers and Lakes – Typology, Reference Conditions and Classification Systems</w:t>
      </w:r>
      <w:r>
        <w:rPr>
          <w:rStyle w:val="Fotnotsreferens"/>
        </w:rPr>
        <w:footnoteReference w:id="86"/>
      </w:r>
      <w:r w:rsidRPr="006E59C8">
        <w:rPr>
          <w:lang w:val="en-GB"/>
        </w:rPr>
        <w:t>.</w:t>
      </w:r>
    </w:p>
    <w:p w:rsidR="000215C5" w:rsidRPr="006E59C8" w:rsidRDefault="00703023">
      <w:pPr>
        <w:numPr>
          <w:ilvl w:val="0"/>
          <w:numId w:val="24"/>
        </w:numPr>
        <w:jc w:val="both"/>
        <w:rPr>
          <w:szCs w:val="24"/>
          <w:lang w:val="en-GB"/>
        </w:rPr>
      </w:pPr>
      <w:r w:rsidRPr="006E59C8">
        <w:rPr>
          <w:lang w:val="en-GB"/>
        </w:rPr>
        <w:t xml:space="preserve">CIS-vägledningsdokument nr 13: </w:t>
      </w:r>
      <w:r w:rsidRPr="006E59C8">
        <w:rPr>
          <w:i/>
          <w:lang w:val="en-GB"/>
        </w:rPr>
        <w:t>Overall Approach to the Classification of Ecological Status and Ecological Potential</w:t>
      </w:r>
      <w:r>
        <w:rPr>
          <w:rStyle w:val="Fotnotsreferens"/>
        </w:rPr>
        <w:footnoteReference w:id="87"/>
      </w:r>
      <w:r w:rsidRPr="006E59C8">
        <w:rPr>
          <w:lang w:val="en-GB"/>
        </w:rPr>
        <w:t>.</w:t>
      </w:r>
    </w:p>
    <w:p w:rsidR="000215C5" w:rsidRDefault="00703023">
      <w:pPr>
        <w:pStyle w:val="Rubrik2"/>
        <w:jc w:val="both"/>
      </w:pPr>
      <w:bookmarkStart w:id="361" w:name="_Toc400669524"/>
      <w:bookmarkStart w:id="362" w:name="_Toc400669990"/>
      <w:bookmarkStart w:id="363" w:name="_Toc400670328"/>
      <w:bookmarkStart w:id="364" w:name="_Toc400670662"/>
      <w:bookmarkStart w:id="365" w:name="_Toc400670970"/>
      <w:bookmarkStart w:id="366" w:name="_Toc400671274"/>
      <w:bookmarkStart w:id="367" w:name="_Toc400671579"/>
      <w:bookmarkStart w:id="368" w:name="_Toc400671873"/>
      <w:bookmarkStart w:id="369" w:name="_Toc400714708"/>
      <w:bookmarkStart w:id="370" w:name="_Toc400714935"/>
      <w:bookmarkStart w:id="371" w:name="_Toc400715159"/>
      <w:bookmarkStart w:id="372" w:name="_Toc400715379"/>
      <w:bookmarkStart w:id="373" w:name="_Toc400715594"/>
      <w:bookmarkStart w:id="374" w:name="_Toc400715806"/>
      <w:bookmarkStart w:id="375" w:name="_Toc400716013"/>
      <w:bookmarkStart w:id="376" w:name="_Toc400716219"/>
      <w:bookmarkStart w:id="377" w:name="_Toc400716419"/>
      <w:bookmarkStart w:id="378" w:name="_Toc400716617"/>
      <w:bookmarkStart w:id="379" w:name="_Toc400716805"/>
      <w:bookmarkStart w:id="380" w:name="_Toc400716984"/>
      <w:bookmarkStart w:id="381" w:name="_Toc400717163"/>
      <w:bookmarkStart w:id="382" w:name="_Toc400717336"/>
      <w:bookmarkStart w:id="383" w:name="_Toc400717511"/>
      <w:bookmarkStart w:id="384" w:name="_Toc400717680"/>
      <w:bookmarkStart w:id="385" w:name="_Toc400717830"/>
      <w:bookmarkStart w:id="386" w:name="_Toc400717962"/>
      <w:bookmarkStart w:id="387" w:name="_Toc400720357"/>
      <w:bookmarkStart w:id="388" w:name="_Toc375220085"/>
      <w:bookmarkStart w:id="389" w:name="_Ref381351576"/>
      <w:bookmarkStart w:id="390" w:name="_Toc386464240"/>
      <w:bookmarkStart w:id="391" w:name="_Toc425522066"/>
      <w:bookmarkStart w:id="392" w:name="_Toc432666078"/>
      <w:bookmarkStart w:id="393" w:name="_Toc437520274"/>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t>Metoder för klassificering av kemisk status</w:t>
      </w:r>
      <w:bookmarkEnd w:id="388"/>
      <w:bookmarkEnd w:id="389"/>
      <w:bookmarkEnd w:id="390"/>
      <w:bookmarkEnd w:id="391"/>
      <w:bookmarkEnd w:id="392"/>
      <w:bookmarkEnd w:id="393"/>
      <w:r>
        <w:t xml:space="preserve"> </w:t>
      </w:r>
    </w:p>
    <w:p w:rsidR="000215C5" w:rsidRDefault="00703023">
      <w:pPr>
        <w:pStyle w:val="Rubrik3"/>
      </w:pPr>
      <w:bookmarkStart w:id="394" w:name="_Ref385343711"/>
      <w:bookmarkStart w:id="395" w:name="_Toc375220086"/>
      <w:r>
        <w:t>Inledning</w:t>
      </w:r>
      <w:bookmarkEnd w:id="394"/>
    </w:p>
    <w:p w:rsidR="000215C5" w:rsidRDefault="00703023">
      <w:pPr>
        <w:pStyle w:val="Text4"/>
        <w:tabs>
          <w:tab w:val="clear" w:pos="2302"/>
        </w:tabs>
        <w:ind w:left="0"/>
        <w:jc w:val="both"/>
      </w:pPr>
      <w:r>
        <w:t xml:space="preserve">Lagstiftningen om bedömning av kemisk status beskrivs i detalj i inledningen till avsnitt </w:t>
      </w:r>
      <w:r>
        <w:fldChar w:fldCharType="begin"/>
      </w:r>
      <w:r>
        <w:instrText xml:space="preserve"> REF _Ref425780962 \r \h  \* MERGEFORMAT </w:instrText>
      </w:r>
      <w:r>
        <w:fldChar w:fldCharType="separate"/>
      </w:r>
      <w:r>
        <w:t>2.5</w:t>
      </w:r>
      <w:r>
        <w:fldChar w:fldCharType="end"/>
      </w:r>
      <w:r>
        <w:t xml:space="preserve">. </w:t>
      </w:r>
    </w:p>
    <w:p w:rsidR="000215C5" w:rsidRDefault="00703023">
      <w:pPr>
        <w:pStyle w:val="Text4"/>
        <w:tabs>
          <w:tab w:val="clear" w:pos="2302"/>
        </w:tabs>
        <w:ind w:left="0"/>
        <w:jc w:val="both"/>
      </w:pPr>
      <w:r>
        <w:t>I bilaga V till vattendirektivet anges hur medlemsstaterna ska övervaka och presentera klassificering av kemisk status. Kommissionen behöver försäkra sig om att kemisk status har behandlats enligt direktivets bestämmelser och på ett konsekvent och jämförbart sätt inom EU. De normativa bestämmelserna i bilaga V är en utgångspunkt. Tolkningen och tillämpningen av dessa bestämmelser kan skilja sig åt, vilket kan leda till stora variationer mellan medlemsstaterna. Det är därför viktigt att det går att jämföra de kriterier och gränsvärden som medlemsstaterna har tillämpat.</w:t>
      </w:r>
    </w:p>
    <w:p w:rsidR="000215C5" w:rsidRDefault="00703023">
      <w:pPr>
        <w:pStyle w:val="Text4"/>
        <w:ind w:left="0"/>
        <w:jc w:val="both"/>
      </w:pPr>
      <w:r>
        <w:t>Enligt artikel 3.3 i direktiv 2008/105/EG om miljökvalitetsnormer</w:t>
      </w:r>
      <w:bookmarkStart w:id="396" w:name="_Ref428524845"/>
      <w:r>
        <w:rPr>
          <w:rStyle w:val="Fotnotsreferens"/>
        </w:rPr>
        <w:footnoteReference w:id="88"/>
      </w:r>
      <w:bookmarkEnd w:id="396"/>
      <w:r>
        <w:t xml:space="preserve"> ska förvaltningsplanerna innehålla information om trendövervakning på nivån för avrinningsdistrikt och om fastställande av blandningszoner enligt artikel 4. Om en medlemsstat har fastställt blandningszoner måste förvaltningsplanen innehålla en beskrivning av</w:t>
      </w:r>
    </w:p>
    <w:p w:rsidR="000215C5" w:rsidRDefault="00703023">
      <w:pPr>
        <w:numPr>
          <w:ilvl w:val="0"/>
          <w:numId w:val="20"/>
        </w:numPr>
        <w:jc w:val="both"/>
      </w:pPr>
      <w:r>
        <w:t>de tillvägagångssätt och metoder som använts för att definiera sådana zoner, och</w:t>
      </w:r>
    </w:p>
    <w:p w:rsidR="000215C5" w:rsidRDefault="00703023">
      <w:pPr>
        <w:numPr>
          <w:ilvl w:val="0"/>
          <w:numId w:val="20"/>
        </w:numPr>
        <w:jc w:val="both"/>
      </w:pPr>
      <w:r>
        <w:t>åtgärder för att minska blandningszonernas omfattning i framtiden.</w:t>
      </w:r>
    </w:p>
    <w:p w:rsidR="000215C5" w:rsidRDefault="00703023">
      <w:pPr>
        <w:pStyle w:val="Rubrik3"/>
      </w:pPr>
      <w:r>
        <w:t>Hur kommer kommissionen och Europeiska miljöbyrån att använda den rapporterade informationen?</w:t>
      </w:r>
    </w:p>
    <w:p w:rsidR="000215C5" w:rsidRDefault="00703023">
      <w:pPr>
        <w:spacing w:after="120"/>
        <w:jc w:val="both"/>
      </w:pPr>
      <w:r>
        <w:t>Kommissionen kommer att använda den information som rapporteras av medlemsstaterna för att fastställa om medlemsstaterna har genomfört kraven i vattendirektivet och MKN-direktivet på ett korrekt sätt när det gäller tillämpningen av miljökvalitetsnormer på prioriterade ämnen, trendövervakning och genomförandet av bestämmelser om blandningszoner. Statistiska tabeller över de huvudsakliga metoder som använts kommer att tas fram.</w:t>
      </w:r>
    </w:p>
    <w:p w:rsidR="000215C5" w:rsidRDefault="00703023">
      <w:pPr>
        <w:spacing w:after="120"/>
        <w:jc w:val="both"/>
      </w:pPr>
      <w:r>
        <w:t>På EU-nivå kommer statistik och information att lämnas till Europaparlamentet. Allmänheten kommer att få tillgång till informationen via Wise.</w:t>
      </w:r>
    </w:p>
    <w:p w:rsidR="000215C5" w:rsidRDefault="00703023">
      <w:pPr>
        <w:pStyle w:val="Rubrik3"/>
      </w:pPr>
      <w:r>
        <w:t>Innehåll i rapporteringen 2016</w:t>
      </w:r>
      <w:bookmarkEnd w:id="395"/>
      <w:r>
        <w:t xml:space="preserve"> </w:t>
      </w:r>
    </w:p>
    <w:p w:rsidR="000215C5" w:rsidRDefault="00703023">
      <w:pPr>
        <w:pStyle w:val="Rubrik4"/>
      </w:pPr>
      <w:r>
        <w:t>Skiss över mallarna</w:t>
      </w:r>
    </w:p>
    <w:p w:rsidR="000215C5" w:rsidRDefault="00703023">
      <w:pPr>
        <w:jc w:val="both"/>
      </w:pPr>
      <w:r>
        <w:t>Se bilaga 10.5.</w:t>
      </w:r>
    </w:p>
    <w:p w:rsidR="000215C5" w:rsidRDefault="00703023">
      <w:pPr>
        <w:pStyle w:val="Rubrik4"/>
      </w:pPr>
      <w:bookmarkStart w:id="397" w:name="_Ref382302008"/>
      <w:r>
        <w:t>Information och uppgifter som ska rapporteras med hjälp av mallarna</w:t>
      </w:r>
      <w:bookmarkEnd w:id="397"/>
    </w:p>
    <w:p w:rsidR="000215C5" w:rsidRDefault="00703023">
      <w:pPr>
        <w:jc w:val="both"/>
      </w:pPr>
      <w:r>
        <w:t>Lämna information om alla normer som använts för bedömningen av kemisk status för samtliga ämnen. Denna del av mallen kommer att hänvisa till värdena i direktiv 2008/105/EG</w:t>
      </w:r>
      <w:r>
        <w:rPr>
          <w:vertAlign w:val="superscript"/>
        </w:rPr>
        <w:fldChar w:fldCharType="begin"/>
      </w:r>
      <w:r>
        <w:rPr>
          <w:vertAlign w:val="superscript"/>
        </w:rPr>
        <w:instrText xml:space="preserve"> NOTEREF _Ref428524845 \h  \* MERGEFORMAT </w:instrText>
      </w:r>
      <w:r>
        <w:rPr>
          <w:vertAlign w:val="superscript"/>
        </w:rPr>
      </w:r>
      <w:r>
        <w:rPr>
          <w:vertAlign w:val="superscript"/>
        </w:rPr>
        <w:fldChar w:fldCharType="separate"/>
      </w:r>
      <w:r>
        <w:rPr>
          <w:vertAlign w:val="superscript"/>
        </w:rPr>
        <w:t>87</w:t>
      </w:r>
      <w:r>
        <w:rPr>
          <w:vertAlign w:val="superscript"/>
        </w:rPr>
        <w:fldChar w:fldCharType="end"/>
      </w:r>
      <w:r>
        <w:t xml:space="preserve"> i dess lydelse i kraft den 13 januari 2009, utom för AA-EQS för naftalen i vatten i övergångszoner och kustvatten, där värdet i det direktiv som är i kraft sedan den 14 september 2013</w:t>
      </w:r>
      <w:r>
        <w:rPr>
          <w:rStyle w:val="Fotnotsreferens"/>
        </w:rPr>
        <w:footnoteReference w:id="89"/>
      </w:r>
      <w:r>
        <w:t xml:space="preserve"> kommer att tillämpas.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0215C5">
        <w:tc>
          <w:tcPr>
            <w:tcW w:w="9850" w:type="dxa"/>
            <w:shd w:val="clear" w:color="auto" w:fill="auto"/>
          </w:tcPr>
          <w:p w:rsidR="000215C5" w:rsidRDefault="00703023">
            <w:pPr>
              <w:spacing w:after="120"/>
              <w:jc w:val="both"/>
              <w:rPr>
                <w:b/>
                <w:szCs w:val="24"/>
              </w:rPr>
            </w:pPr>
            <w:r>
              <w:rPr>
                <w:b/>
              </w:rPr>
              <w:t>Mall: SWMET (fortsättning)</w:t>
            </w:r>
          </w:p>
        </w:tc>
      </w:tr>
      <w:tr w:rsidR="000215C5">
        <w:tc>
          <w:tcPr>
            <w:tcW w:w="9850" w:type="dxa"/>
            <w:shd w:val="clear" w:color="auto" w:fill="auto"/>
          </w:tcPr>
          <w:p w:rsidR="000215C5" w:rsidRDefault="00703023">
            <w:pPr>
              <w:spacing w:after="120"/>
              <w:jc w:val="both"/>
              <w:rPr>
                <w:b/>
                <w:i/>
                <w:szCs w:val="24"/>
              </w:rPr>
            </w:pPr>
            <w:r>
              <w:rPr>
                <w:b/>
                <w:i/>
              </w:rPr>
              <w:t>Class SWPrioritySubstance</w:t>
            </w:r>
          </w:p>
          <w:p w:rsidR="000215C5" w:rsidRDefault="00703023">
            <w:pPr>
              <w:spacing w:after="120"/>
              <w:jc w:val="both"/>
              <w:rPr>
                <w:i/>
                <w:szCs w:val="24"/>
              </w:rPr>
            </w:pPr>
            <w:r>
              <w:rPr>
                <w:b/>
                <w:i/>
              </w:rPr>
              <w:t>Egenskaper</w:t>
            </w:r>
            <w:r>
              <w:rPr>
                <w:i/>
              </w:rPr>
              <w:t>: maxOccurs = unbounded minOccurs = 1</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psCode</w:t>
            </w:r>
          </w:p>
          <w:p w:rsidR="000215C5" w:rsidRDefault="00703023">
            <w:pPr>
              <w:spacing w:after="120"/>
              <w:jc w:val="both"/>
              <w:rPr>
                <w:szCs w:val="24"/>
              </w:rPr>
            </w:pPr>
            <w:r>
              <w:rPr>
                <w:b/>
              </w:rPr>
              <w:t>Fälttyp/alternativ:</w:t>
            </w:r>
            <w:r>
              <w:t xml:space="preserve"> PS_Enum (se bilaga 8d)</w:t>
            </w:r>
          </w:p>
          <w:p w:rsidR="000215C5" w:rsidRDefault="00703023">
            <w:pPr>
              <w:spacing w:after="120"/>
              <w:jc w:val="both"/>
              <w:rPr>
                <w:szCs w:val="24"/>
              </w:rPr>
            </w:pPr>
            <w:r>
              <w:rPr>
                <w:b/>
              </w:rPr>
              <w:t xml:space="preserve">Egenskaper: </w:t>
            </w:r>
            <w:r>
              <w:t xml:space="preserve">maxOccurs = 1 minOccurs = 1 </w:t>
            </w:r>
          </w:p>
          <w:p w:rsidR="000215C5" w:rsidRDefault="00703023">
            <w:pPr>
              <w:spacing w:after="120"/>
              <w:jc w:val="both"/>
              <w:rPr>
                <w:szCs w:val="24"/>
              </w:rPr>
            </w:pPr>
            <w:r>
              <w:rPr>
                <w:b/>
              </w:rPr>
              <w:t>Vägledning om hur man fyller i mallposten</w:t>
            </w:r>
            <w:r>
              <w:t xml:space="preserve">: Krävs. En post per prioriterat ämne. Rapportera informationen i var och en av följande mallposter för varje prioriterat ämne. </w:t>
            </w:r>
          </w:p>
          <w:p w:rsidR="000215C5" w:rsidRDefault="00703023">
            <w:pPr>
              <w:spacing w:after="120"/>
              <w:jc w:val="both"/>
              <w:rPr>
                <w:szCs w:val="24"/>
              </w:rPr>
            </w:pPr>
            <w:r>
              <w:rPr>
                <w:b/>
              </w:rPr>
              <w:t xml:space="preserve">Kvalitetskontroller: </w:t>
            </w:r>
            <w:r>
              <w:t>Intern kontroll: Det ska finnas minst en post per prioriterat ämne (utom för aldrin, dieldrin, endrin, isodrin och totala PAH, som inte behöver rapporteras här – i stället ska aldrin+dieldrin+endrin+isodrin och individuella PAH rapporteras enligt bilaga 1 till MKN-direktivet).</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psStatusAssessment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det prioriterade ämnet har använts i bedömningen av kemisk status.</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psStandardsUsed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för varje prioriterat ämne om de enda normer som tillämpas är alla relevanta normer i direktiv 2008/105/EG i dess lydelse i kraft den 13 januari 2009, förutom för AA-EQS för naftalen i vatten i övergångszoner och kustvatten, där normen i det direktiv som är i kraft sedan den 14 september 2013 kommer att tillämpas. Svara ”No” om alternativa eller ytterligare normer (för samma matris eller en annan matris, för vissa vattenkategorier) används för det ämnet. Svara ”Yes” om alla normer och inga andra normer än normerna i MKN-direktivet används.</w:t>
            </w:r>
          </w:p>
          <w:p w:rsidR="000215C5" w:rsidRDefault="00703023">
            <w:pPr>
              <w:spacing w:after="120"/>
              <w:jc w:val="both"/>
              <w:rPr>
                <w:szCs w:val="24"/>
              </w:rPr>
            </w:pPr>
            <w:r>
              <w:t xml:space="preserve">Om alternativa och/eller ytterligare normer används för ett visst ämne ska medlemsstaterna rapportera samtliga normer som används för det prioriterade ämnet genom att använda mallposterna nedan. </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psMatrix</w:t>
            </w:r>
          </w:p>
          <w:p w:rsidR="000215C5" w:rsidRDefault="00703023">
            <w:pPr>
              <w:spacing w:after="120"/>
              <w:jc w:val="both"/>
              <w:rPr>
                <w:szCs w:val="24"/>
              </w:rPr>
            </w:pPr>
            <w:r>
              <w:rPr>
                <w:b/>
              </w:rPr>
              <w:t xml:space="preserve">Fälttyp/alternativ: </w:t>
            </w:r>
            <w:r>
              <w:t>Matrix_Enum:</w:t>
            </w:r>
          </w:p>
          <w:p w:rsidR="000215C5" w:rsidRDefault="00703023">
            <w:pPr>
              <w:spacing w:after="120"/>
              <w:jc w:val="both"/>
            </w:pPr>
            <w:r>
              <w:t>Water</w:t>
            </w:r>
          </w:p>
          <w:p w:rsidR="000215C5" w:rsidRDefault="00703023">
            <w:pPr>
              <w:spacing w:after="120"/>
              <w:jc w:val="both"/>
            </w:pPr>
            <w:r>
              <w:t>Biota</w:t>
            </w:r>
          </w:p>
          <w:p w:rsidR="000215C5" w:rsidRDefault="00703023">
            <w:pPr>
              <w:spacing w:after="120"/>
              <w:jc w:val="both"/>
            </w:pPr>
            <w:r>
              <w:t>Biota - fish</w:t>
            </w:r>
          </w:p>
          <w:p w:rsidR="000215C5" w:rsidRDefault="00703023">
            <w:pPr>
              <w:spacing w:after="120"/>
              <w:jc w:val="both"/>
            </w:pPr>
            <w:r>
              <w:t>Biota - other</w:t>
            </w:r>
          </w:p>
          <w:p w:rsidR="000215C5" w:rsidRPr="00D95552" w:rsidRDefault="00703023">
            <w:pPr>
              <w:spacing w:after="120"/>
              <w:jc w:val="both"/>
              <w:rPr>
                <w:lang w:val="it-IT"/>
              </w:rPr>
            </w:pPr>
            <w:r w:rsidRPr="00D95552">
              <w:rPr>
                <w:lang w:val="it-IT"/>
              </w:rPr>
              <w:t>Sediment</w:t>
            </w:r>
          </w:p>
          <w:p w:rsidR="000215C5" w:rsidRPr="00D95552" w:rsidRDefault="00703023">
            <w:pPr>
              <w:spacing w:after="120"/>
              <w:jc w:val="both"/>
              <w:rPr>
                <w:szCs w:val="24"/>
                <w:lang w:val="it-IT"/>
              </w:rPr>
            </w:pPr>
            <w:r w:rsidRPr="00D95552">
              <w:rPr>
                <w:lang w:val="it-IT"/>
              </w:rPr>
              <w:t>Sediment - settled sediment</w:t>
            </w:r>
          </w:p>
          <w:p w:rsidR="000215C5" w:rsidRPr="00D95552" w:rsidRDefault="00703023">
            <w:pPr>
              <w:spacing w:after="120"/>
              <w:jc w:val="both"/>
              <w:rPr>
                <w:szCs w:val="24"/>
                <w:lang w:val="it-IT"/>
              </w:rPr>
            </w:pPr>
            <w:r w:rsidRPr="00D95552">
              <w:rPr>
                <w:lang w:val="it-IT"/>
              </w:rPr>
              <w:t>Sediment - suspended sediment</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Välj den matris där normen för det prioriterade ämnet tillämpas för bedömning av kemisk status.</w:t>
            </w:r>
          </w:p>
          <w:p w:rsidR="000215C5" w:rsidRDefault="00703023">
            <w:pPr>
              <w:spacing w:after="120"/>
              <w:jc w:val="both"/>
              <w:rPr>
                <w:b/>
                <w:szCs w:val="24"/>
              </w:rPr>
            </w:pPr>
            <w:r>
              <w:rPr>
                <w:b/>
              </w:rPr>
              <w:t>Kvalitetskontroller</w:t>
            </w:r>
            <w:r>
              <w:t>: Villkorlig kontroll: rapportera om psStandardsUsed är ”No”.</w:t>
            </w:r>
          </w:p>
        </w:tc>
      </w:tr>
      <w:tr w:rsidR="000215C5">
        <w:tc>
          <w:tcPr>
            <w:tcW w:w="9850" w:type="dxa"/>
            <w:shd w:val="clear" w:color="auto" w:fill="auto"/>
          </w:tcPr>
          <w:p w:rsidR="000215C5" w:rsidRDefault="00703023">
            <w:pPr>
              <w:spacing w:after="120"/>
              <w:jc w:val="both"/>
              <w:rPr>
                <w:b/>
                <w:szCs w:val="24"/>
              </w:rPr>
            </w:pPr>
            <w:r>
              <w:rPr>
                <w:b/>
              </w:rPr>
              <w:t>Mallpost</w:t>
            </w:r>
            <w:r>
              <w:t>: psCategoryRW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Används denna norm för bedömning av kemisk status hos floder? </w:t>
            </w:r>
          </w:p>
          <w:p w:rsidR="000215C5" w:rsidRDefault="00703023">
            <w:pPr>
              <w:spacing w:after="120"/>
              <w:jc w:val="both"/>
              <w:rPr>
                <w:b/>
                <w:szCs w:val="24"/>
              </w:rPr>
            </w:pPr>
            <w:r>
              <w:rPr>
                <w:b/>
              </w:rPr>
              <w:t>Kvalitetskontroller</w:t>
            </w:r>
            <w:r>
              <w:t>: Villkorlig kontroll: rapportera om psStandardsUsed är ”No”.</w:t>
            </w:r>
          </w:p>
        </w:tc>
      </w:tr>
      <w:tr w:rsidR="000215C5">
        <w:tc>
          <w:tcPr>
            <w:tcW w:w="9850" w:type="dxa"/>
            <w:shd w:val="clear" w:color="auto" w:fill="auto"/>
          </w:tcPr>
          <w:p w:rsidR="000215C5" w:rsidRDefault="00703023">
            <w:pPr>
              <w:spacing w:after="120"/>
              <w:jc w:val="both"/>
              <w:rPr>
                <w:b/>
                <w:szCs w:val="24"/>
              </w:rPr>
            </w:pPr>
            <w:r>
              <w:rPr>
                <w:b/>
              </w:rPr>
              <w:t>Mallpost</w:t>
            </w:r>
            <w:r>
              <w:t>: psCategoryLW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Används denna norm för bedömning av kemisk status hos sjöar? </w:t>
            </w:r>
          </w:p>
          <w:p w:rsidR="000215C5" w:rsidRDefault="00703023">
            <w:pPr>
              <w:spacing w:after="120"/>
              <w:jc w:val="both"/>
              <w:rPr>
                <w:b/>
                <w:szCs w:val="24"/>
              </w:rPr>
            </w:pPr>
            <w:r>
              <w:rPr>
                <w:b/>
              </w:rPr>
              <w:t>Kvalitetskontroller</w:t>
            </w:r>
            <w:r>
              <w:t>: Villkorlig kontroll: rapportera om psStandardsUsed är ”No”.</w:t>
            </w:r>
          </w:p>
        </w:tc>
      </w:tr>
      <w:tr w:rsidR="000215C5">
        <w:tc>
          <w:tcPr>
            <w:tcW w:w="9850" w:type="dxa"/>
            <w:shd w:val="clear" w:color="auto" w:fill="auto"/>
          </w:tcPr>
          <w:p w:rsidR="000215C5" w:rsidRDefault="00703023">
            <w:pPr>
              <w:spacing w:after="120"/>
              <w:jc w:val="both"/>
              <w:rPr>
                <w:b/>
                <w:szCs w:val="24"/>
              </w:rPr>
            </w:pPr>
            <w:r>
              <w:rPr>
                <w:b/>
              </w:rPr>
              <w:t>Mallpost</w:t>
            </w:r>
            <w:r>
              <w:t>: psCategoryTW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Används denna norm för bedömning av kemisk status hos vatten i övergångszoner? </w:t>
            </w:r>
          </w:p>
          <w:p w:rsidR="000215C5" w:rsidRDefault="00703023">
            <w:pPr>
              <w:spacing w:after="120"/>
              <w:jc w:val="both"/>
              <w:rPr>
                <w:b/>
                <w:szCs w:val="24"/>
              </w:rPr>
            </w:pPr>
            <w:r>
              <w:rPr>
                <w:b/>
              </w:rPr>
              <w:t>Kvalitetskontroller</w:t>
            </w:r>
            <w:r>
              <w:t>: Villkorlig kontroll: rapportera om psStandardsUsed är ”No”.</w:t>
            </w:r>
          </w:p>
        </w:tc>
      </w:tr>
      <w:tr w:rsidR="000215C5">
        <w:tc>
          <w:tcPr>
            <w:tcW w:w="9850" w:type="dxa"/>
            <w:shd w:val="clear" w:color="auto" w:fill="auto"/>
          </w:tcPr>
          <w:p w:rsidR="000215C5" w:rsidRPr="00360D19" w:rsidRDefault="00703023">
            <w:pPr>
              <w:spacing w:after="120"/>
              <w:jc w:val="both"/>
              <w:rPr>
                <w:b/>
                <w:szCs w:val="24"/>
              </w:rPr>
            </w:pPr>
            <w:r w:rsidRPr="00360D19">
              <w:rPr>
                <w:b/>
              </w:rPr>
              <w:t>Mallpost</w:t>
            </w:r>
            <w:r w:rsidRPr="00360D19">
              <w:t>: psCategoryCW</w:t>
            </w:r>
          </w:p>
          <w:p w:rsidR="000215C5" w:rsidRPr="00360D19" w:rsidRDefault="00703023">
            <w:pPr>
              <w:spacing w:after="120"/>
              <w:jc w:val="both"/>
              <w:rPr>
                <w:szCs w:val="24"/>
              </w:rPr>
            </w:pPr>
            <w:r w:rsidRPr="00360D19">
              <w:rPr>
                <w:b/>
              </w:rPr>
              <w:t xml:space="preserve">Fälttyp/alternativ: </w:t>
            </w:r>
            <w:r w:rsidRPr="00360D19">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Används denna norm för bedömning av kemisk status hos kustvatten? </w:t>
            </w:r>
          </w:p>
          <w:p w:rsidR="000215C5" w:rsidRDefault="00703023">
            <w:pPr>
              <w:spacing w:after="120"/>
              <w:jc w:val="both"/>
              <w:rPr>
                <w:b/>
                <w:szCs w:val="24"/>
              </w:rPr>
            </w:pPr>
            <w:r>
              <w:rPr>
                <w:b/>
              </w:rPr>
              <w:t>Kvalitetskontroller</w:t>
            </w:r>
            <w:r>
              <w:t>: Villkorlig kontroll: rapportera om psStandardsUsed är ”No”.</w:t>
            </w:r>
          </w:p>
        </w:tc>
      </w:tr>
      <w:tr w:rsidR="000215C5">
        <w:tc>
          <w:tcPr>
            <w:tcW w:w="9850" w:type="dxa"/>
            <w:shd w:val="clear" w:color="auto" w:fill="auto"/>
          </w:tcPr>
          <w:p w:rsidR="000215C5" w:rsidRDefault="00703023">
            <w:pPr>
              <w:spacing w:after="120"/>
              <w:jc w:val="both"/>
              <w:rPr>
                <w:b/>
                <w:szCs w:val="24"/>
              </w:rPr>
            </w:pPr>
            <w:r>
              <w:rPr>
                <w:b/>
              </w:rPr>
              <w:t>Mallpost</w:t>
            </w:r>
            <w:r>
              <w:t>: psCategoryTeW</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Används denna norm för bedömning av kemisk status hos territorialvatten? </w:t>
            </w:r>
          </w:p>
          <w:p w:rsidR="000215C5" w:rsidRDefault="00703023">
            <w:pPr>
              <w:spacing w:after="120"/>
              <w:jc w:val="both"/>
              <w:rPr>
                <w:b/>
                <w:szCs w:val="24"/>
              </w:rPr>
            </w:pPr>
            <w:r>
              <w:rPr>
                <w:b/>
              </w:rPr>
              <w:t>Kvalitetskontroller</w:t>
            </w:r>
            <w:r>
              <w:t>: Villkorlig kontroll: rapportera om psStandardsUsed är ”No”.</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psStandardType</w:t>
            </w:r>
          </w:p>
          <w:p w:rsidR="000215C5" w:rsidRDefault="00703023">
            <w:pPr>
              <w:spacing w:after="120"/>
              <w:jc w:val="both"/>
              <w:rPr>
                <w:szCs w:val="24"/>
              </w:rPr>
            </w:pPr>
            <w:r>
              <w:rPr>
                <w:b/>
              </w:rPr>
              <w:t xml:space="preserve">Fälttyp/alternativ: </w:t>
            </w:r>
            <w:r>
              <w:t>EQStandardType_Enum:</w:t>
            </w:r>
          </w:p>
          <w:p w:rsidR="000215C5" w:rsidRPr="00D95552" w:rsidRDefault="00703023">
            <w:pPr>
              <w:spacing w:after="120"/>
              <w:jc w:val="both"/>
              <w:rPr>
                <w:szCs w:val="24"/>
                <w:lang w:val="en-GB"/>
              </w:rPr>
            </w:pPr>
            <w:r w:rsidRPr="00D95552">
              <w:rPr>
                <w:lang w:val="en-GB"/>
              </w:rPr>
              <w:t>AA-EQS</w:t>
            </w:r>
          </w:p>
          <w:p w:rsidR="000215C5" w:rsidRPr="00D95552" w:rsidRDefault="00703023">
            <w:pPr>
              <w:spacing w:after="120"/>
              <w:jc w:val="both"/>
              <w:rPr>
                <w:szCs w:val="24"/>
                <w:lang w:val="en-GB"/>
              </w:rPr>
            </w:pPr>
            <w:r w:rsidRPr="00D95552">
              <w:rPr>
                <w:lang w:val="en-GB"/>
              </w:rPr>
              <w:t>MAC-EQS</w:t>
            </w:r>
          </w:p>
          <w:p w:rsidR="000215C5" w:rsidRPr="00D95552" w:rsidRDefault="00703023">
            <w:pPr>
              <w:spacing w:after="120"/>
              <w:jc w:val="both"/>
              <w:rPr>
                <w:szCs w:val="24"/>
                <w:lang w:val="en-GB"/>
              </w:rPr>
            </w:pPr>
            <w:r w:rsidRPr="00D95552">
              <w:rPr>
                <w:lang w:val="en-GB"/>
              </w:rPr>
              <w:t>Both</w:t>
            </w:r>
          </w:p>
          <w:p w:rsidR="000215C5" w:rsidRPr="00D95552" w:rsidRDefault="00703023">
            <w:pPr>
              <w:spacing w:after="120"/>
              <w:jc w:val="both"/>
              <w:rPr>
                <w:szCs w:val="24"/>
                <w:lang w:val="en-GB"/>
              </w:rPr>
            </w:pPr>
            <w:r w:rsidRPr="00D95552">
              <w:rPr>
                <w:lang w:val="en-GB"/>
              </w:rPr>
              <w:t>Other</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Villkorligt. Välj den typ av norm som tillämpas på varje prioriterat ämne samt matris. </w:t>
            </w:r>
          </w:p>
          <w:p w:rsidR="000215C5" w:rsidRDefault="00703023">
            <w:pPr>
              <w:spacing w:after="120"/>
              <w:jc w:val="both"/>
              <w:rPr>
                <w:szCs w:val="24"/>
              </w:rPr>
            </w:pPr>
            <w:r>
              <w:t>AA-EQS = Årligt genomsnitt för miljökvalitetsnormen.</w:t>
            </w:r>
          </w:p>
          <w:p w:rsidR="000215C5" w:rsidRDefault="00703023">
            <w:pPr>
              <w:spacing w:after="120"/>
              <w:jc w:val="both"/>
              <w:rPr>
                <w:szCs w:val="24"/>
              </w:rPr>
            </w:pPr>
            <w:r>
              <w:t>MAC-EQS = Högsta tillåtna koncentration för miljökvalitetsn</w:t>
            </w:r>
            <w:r w:rsidR="0019049D">
              <w:t>ormen. ”Both” = Både AA och MAC</w:t>
            </w:r>
            <w:r w:rsidR="0019049D">
              <w:noBreakHyphen/>
            </w:r>
            <w:r>
              <w:t>EQS.</w:t>
            </w:r>
          </w:p>
          <w:p w:rsidR="000215C5" w:rsidRDefault="00703023">
            <w:pPr>
              <w:spacing w:after="120"/>
              <w:jc w:val="both"/>
              <w:rPr>
                <w:b/>
                <w:szCs w:val="24"/>
              </w:rPr>
            </w:pPr>
            <w:r>
              <w:t xml:space="preserve">Other = Annan typ av norm. </w:t>
            </w:r>
            <w:r>
              <w:rPr>
                <w:b/>
              </w:rPr>
              <w:t>Kvalitetskontroll</w:t>
            </w:r>
            <w:r>
              <w:t>: Villkorlig kontroll: rapportera om psStandardsUsed är ”No”.</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psValue</w:t>
            </w:r>
          </w:p>
          <w:p w:rsidR="000215C5" w:rsidRDefault="00703023">
            <w:pPr>
              <w:spacing w:after="120"/>
              <w:jc w:val="both"/>
              <w:rPr>
                <w:szCs w:val="24"/>
              </w:rPr>
            </w:pPr>
            <w:r>
              <w:rPr>
                <w:b/>
              </w:rPr>
              <w:t xml:space="preserve">Fälttyp/alternativ: </w:t>
            </w:r>
            <w:r>
              <w:t>String20Type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Rapportera värdet eller intervallet för den norm som tillämpats för varje kombination av prioriterat ämne, matris, normtyp och kategori.</w:t>
            </w:r>
          </w:p>
          <w:p w:rsidR="000215C5" w:rsidRDefault="00703023">
            <w:pPr>
              <w:spacing w:after="120"/>
              <w:jc w:val="both"/>
              <w:rPr>
                <w:b/>
                <w:szCs w:val="24"/>
              </w:rPr>
            </w:pPr>
            <w:r>
              <w:rPr>
                <w:b/>
              </w:rPr>
              <w:t>Kvalitetskontroller</w:t>
            </w:r>
            <w:r>
              <w:t>: Villkorlig kontroll: rapportera om psStandardsUsed är ”No”.</w:t>
            </w:r>
          </w:p>
        </w:tc>
      </w:tr>
      <w:tr w:rsidR="000215C5">
        <w:tc>
          <w:tcPr>
            <w:tcW w:w="9850" w:type="dxa"/>
            <w:shd w:val="clear" w:color="auto" w:fill="auto"/>
          </w:tcPr>
          <w:p w:rsidR="000215C5" w:rsidRDefault="00703023">
            <w:pPr>
              <w:spacing w:after="120"/>
              <w:jc w:val="both"/>
              <w:rPr>
                <w:szCs w:val="24"/>
              </w:rPr>
            </w:pPr>
            <w:r>
              <w:rPr>
                <w:b/>
              </w:rPr>
              <w:t>Mallpost</w:t>
            </w:r>
            <w:r>
              <w:t>:</w:t>
            </w:r>
            <w:r>
              <w:rPr>
                <w:b/>
              </w:rPr>
              <w:t xml:space="preserve"> </w:t>
            </w:r>
            <w:r>
              <w:t xml:space="preserve">psUnit </w:t>
            </w:r>
          </w:p>
          <w:p w:rsidR="000215C5" w:rsidRDefault="00703023">
            <w:pPr>
              <w:spacing w:after="120"/>
              <w:jc w:val="both"/>
              <w:rPr>
                <w:szCs w:val="24"/>
              </w:rPr>
            </w:pPr>
            <w:r>
              <w:rPr>
                <w:b/>
              </w:rPr>
              <w:t xml:space="preserve">Fälttyp/alternativ: </w:t>
            </w:r>
            <w:r>
              <w:t>UnitOfMeasure_Enum (se bilaga 8f)</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Ange enheten för normen för det prioriterade ämnet. </w:t>
            </w:r>
          </w:p>
          <w:p w:rsidR="000215C5" w:rsidRDefault="00703023">
            <w:pPr>
              <w:spacing w:after="120"/>
              <w:jc w:val="both"/>
              <w:rPr>
                <w:b/>
                <w:szCs w:val="24"/>
              </w:rPr>
            </w:pPr>
            <w:r>
              <w:rPr>
                <w:b/>
              </w:rPr>
              <w:t>Kvalitetskontroller</w:t>
            </w:r>
            <w:r>
              <w:t>: Villkorlig kontroll: rapportera om psStandardsUsed är ”No”.</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psScale</w:t>
            </w:r>
          </w:p>
          <w:p w:rsidR="000215C5" w:rsidRDefault="00703023">
            <w:pPr>
              <w:spacing w:after="120"/>
              <w:jc w:val="both"/>
              <w:rPr>
                <w:szCs w:val="24"/>
              </w:rPr>
            </w:pPr>
            <w:r>
              <w:rPr>
                <w:b/>
              </w:rPr>
              <w:t xml:space="preserve">Fälttyp/alternativ: </w:t>
            </w:r>
            <w:r>
              <w:t>GeographicalScale_Enum (se bilaga 8l)</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Ange vilken nivå normen har fastställts på. </w:t>
            </w:r>
          </w:p>
          <w:p w:rsidR="000215C5" w:rsidRDefault="00703023">
            <w:pPr>
              <w:spacing w:after="120"/>
              <w:jc w:val="both"/>
              <w:rPr>
                <w:b/>
                <w:szCs w:val="24"/>
              </w:rPr>
            </w:pPr>
            <w:r>
              <w:rPr>
                <w:b/>
              </w:rPr>
              <w:t>Kvalitetskontroller</w:t>
            </w:r>
            <w:r>
              <w:t>: Villkorlig kontroll: rapportera om psStandardsUsed är ”No”.</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psAnalyticalMethod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den analytiska metod som har tillämpats uppfyller minimikraven i artikel 4.1 i direktiv 2009/90/EG</w:t>
            </w:r>
            <w:bookmarkStart w:id="398" w:name="_Ref428524947"/>
            <w:r>
              <w:rPr>
                <w:rStyle w:val="Fotnotsreferens"/>
              </w:rPr>
              <w:footnoteReference w:id="90"/>
            </w:r>
            <w:bookmarkEnd w:id="398"/>
            <w:r>
              <w:t xml:space="preserve"> för de strängaste normer som tillämpas.</w:t>
            </w:r>
          </w:p>
          <w:p w:rsidR="000215C5" w:rsidRDefault="00703023">
            <w:pPr>
              <w:spacing w:after="120"/>
              <w:jc w:val="both"/>
              <w:rPr>
                <w:szCs w:val="24"/>
              </w:rPr>
            </w:pPr>
            <w:r>
              <w:t xml:space="preserve">Se avsnitt </w:t>
            </w:r>
            <w:r>
              <w:fldChar w:fldCharType="begin"/>
            </w:r>
            <w:r>
              <w:instrText xml:space="preserve"> REF _Ref385343711 \r \h  \* MERGEFORMAT </w:instrText>
            </w:r>
            <w:r>
              <w:fldChar w:fldCharType="separate"/>
            </w:r>
            <w:r>
              <w:rPr>
                <w:szCs w:val="24"/>
              </w:rPr>
              <w:t>7.4.1</w:t>
            </w:r>
            <w:r>
              <w:fldChar w:fldCharType="end"/>
            </w:r>
            <w:r>
              <w:t xml:space="preserve"> om efterlevnad av direktiv 2009/90/EG.</w:t>
            </w:r>
          </w:p>
        </w:tc>
      </w:tr>
      <w:tr w:rsidR="000215C5">
        <w:tc>
          <w:tcPr>
            <w:tcW w:w="9850" w:type="dxa"/>
            <w:shd w:val="clear" w:color="auto" w:fill="auto"/>
          </w:tcPr>
          <w:p w:rsidR="000215C5" w:rsidRDefault="00703023">
            <w:pPr>
              <w:spacing w:after="120"/>
              <w:jc w:val="both"/>
              <w:rPr>
                <w:b/>
                <w:szCs w:val="24"/>
              </w:rPr>
            </w:pPr>
            <w:r>
              <w:rPr>
                <w:b/>
              </w:rPr>
              <w:t>Mallpost</w:t>
            </w:r>
            <w:r>
              <w:t>: psAnalyticalMethodBAT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den analytiska metoden inte uppfyller minimikraven i artikel 4.1 i direktiv </w:t>
            </w:r>
            <w:hyperlink r:id="rId20">
              <w:r>
                <w:rPr>
                  <w:rStyle w:val="KommentarerChar"/>
                </w:rPr>
                <w:t>2009/90/EG</w:t>
              </w:r>
            </w:hyperlink>
            <w:r>
              <w:rPr>
                <w:szCs w:val="24"/>
                <w:vertAlign w:val="superscript"/>
              </w:rPr>
              <w:fldChar w:fldCharType="begin"/>
            </w:r>
            <w:r>
              <w:rPr>
                <w:szCs w:val="24"/>
                <w:vertAlign w:val="superscript"/>
              </w:rPr>
              <w:instrText xml:space="preserve"> NOTEREF _Ref428524947 \h  \* MERGEFORMAT </w:instrText>
            </w:r>
            <w:r>
              <w:rPr>
                <w:szCs w:val="24"/>
                <w:vertAlign w:val="superscript"/>
              </w:rPr>
            </w:r>
            <w:r>
              <w:rPr>
                <w:szCs w:val="24"/>
                <w:vertAlign w:val="superscript"/>
              </w:rPr>
              <w:fldChar w:fldCharType="separate"/>
            </w:r>
            <w:r>
              <w:rPr>
                <w:szCs w:val="24"/>
                <w:vertAlign w:val="superscript"/>
              </w:rPr>
              <w:t>89</w:t>
            </w:r>
            <w:r>
              <w:rPr>
                <w:szCs w:val="24"/>
                <w:vertAlign w:val="superscript"/>
              </w:rPr>
              <w:fldChar w:fldCharType="end"/>
            </w:r>
            <w:r>
              <w:t>, ange om metoden uppfyller kraven i artikel 4.2 i samma direktiv för den strängaste norm som tillämpas.</w:t>
            </w:r>
          </w:p>
          <w:p w:rsidR="000215C5" w:rsidRDefault="00703023">
            <w:pPr>
              <w:spacing w:after="120"/>
              <w:jc w:val="both"/>
              <w:rPr>
                <w:b/>
                <w:szCs w:val="24"/>
              </w:rPr>
            </w:pPr>
            <w:r>
              <w:rPr>
                <w:b/>
              </w:rPr>
              <w:t>Kvalitetskontroller</w:t>
            </w:r>
            <w:r>
              <w:t>: Villkorlig kontroll: Rapportera om psAnalyticalMethod är ”No”.</w:t>
            </w:r>
          </w:p>
        </w:tc>
      </w:tr>
    </w:tbl>
    <w:p w:rsidR="000215C5" w:rsidRDefault="000215C5">
      <w:pPr>
        <w:jc w:val="both"/>
        <w:rPr>
          <w:b/>
        </w:rPr>
      </w:pPr>
    </w:p>
    <w:p w:rsidR="000215C5" w:rsidRDefault="00703023">
      <w:pPr>
        <w:jc w:val="both"/>
      </w:pPr>
      <w:r>
        <w:t>Följande klass används för att lämna information om metoden för klassificering av kemisk status på nivån för avrinningsdistrikt.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0215C5">
        <w:tc>
          <w:tcPr>
            <w:tcW w:w="9850" w:type="dxa"/>
            <w:shd w:val="clear" w:color="auto" w:fill="auto"/>
          </w:tcPr>
          <w:p w:rsidR="000215C5" w:rsidRDefault="00703023">
            <w:pPr>
              <w:spacing w:after="120"/>
              <w:jc w:val="both"/>
              <w:rPr>
                <w:b/>
                <w:szCs w:val="24"/>
              </w:rPr>
            </w:pPr>
            <w:r>
              <w:rPr>
                <w:b/>
              </w:rPr>
              <w:t>Mall: SWMET (fortsättning)</w:t>
            </w:r>
          </w:p>
        </w:tc>
      </w:tr>
      <w:tr w:rsidR="000215C5">
        <w:tc>
          <w:tcPr>
            <w:tcW w:w="9850" w:type="dxa"/>
            <w:shd w:val="clear" w:color="auto" w:fill="auto"/>
          </w:tcPr>
          <w:p w:rsidR="000215C5" w:rsidRDefault="00703023">
            <w:pPr>
              <w:spacing w:after="120"/>
              <w:jc w:val="both"/>
              <w:rPr>
                <w:b/>
                <w:i/>
                <w:szCs w:val="24"/>
              </w:rPr>
            </w:pPr>
            <w:r>
              <w:rPr>
                <w:b/>
                <w:i/>
              </w:rPr>
              <w:t>Class SWChemicalStatusClassificationRBD</w:t>
            </w:r>
          </w:p>
          <w:p w:rsidR="000215C5" w:rsidRDefault="00703023">
            <w:pPr>
              <w:spacing w:after="120"/>
              <w:jc w:val="both"/>
              <w:rPr>
                <w:i/>
                <w:szCs w:val="24"/>
              </w:rPr>
            </w:pPr>
            <w:r>
              <w:rPr>
                <w:b/>
                <w:i/>
              </w:rPr>
              <w:t>Egenskaper</w:t>
            </w:r>
            <w:r>
              <w:rPr>
                <w:i/>
              </w:rPr>
              <w:t>: maxOccurs = 1 minOccurs = 1</w:t>
            </w:r>
          </w:p>
        </w:tc>
      </w:tr>
      <w:tr w:rsidR="000215C5">
        <w:tc>
          <w:tcPr>
            <w:tcW w:w="9850" w:type="dxa"/>
            <w:shd w:val="clear" w:color="auto" w:fill="auto"/>
          </w:tcPr>
          <w:p w:rsidR="000215C5" w:rsidRDefault="00703023">
            <w:pPr>
              <w:spacing w:after="120"/>
              <w:jc w:val="both"/>
              <w:rPr>
                <w:b/>
                <w:szCs w:val="24"/>
              </w:rPr>
            </w:pPr>
            <w:r>
              <w:rPr>
                <w:b/>
              </w:rPr>
              <w:t>Mallpost</w:t>
            </w:r>
            <w:r>
              <w:t>: percentageSWBNotMonitoredChemical</w:t>
            </w:r>
          </w:p>
          <w:p w:rsidR="000215C5" w:rsidRDefault="00703023">
            <w:pPr>
              <w:spacing w:after="120"/>
              <w:jc w:val="both"/>
              <w:rPr>
                <w:szCs w:val="24"/>
              </w:rPr>
            </w:pPr>
            <w:r>
              <w:rPr>
                <w:b/>
              </w:rPr>
              <w:t xml:space="preserve">Fälttyp/alternativ: </w:t>
            </w:r>
            <w:r>
              <w:t xml:space="preserve">NumberDecimal0100Type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Rapportera den totala procentandelen ytvattenförekomster (för alla kategorier) där kemisk status inte övervakas.</w:t>
            </w:r>
          </w:p>
        </w:tc>
      </w:tr>
      <w:tr w:rsidR="000215C5">
        <w:tc>
          <w:tcPr>
            <w:tcW w:w="9850" w:type="dxa"/>
            <w:shd w:val="clear" w:color="auto" w:fill="auto"/>
          </w:tcPr>
          <w:p w:rsidR="000215C5" w:rsidRDefault="00703023">
            <w:pPr>
              <w:spacing w:after="120"/>
              <w:jc w:val="both"/>
              <w:rPr>
                <w:b/>
                <w:szCs w:val="24"/>
              </w:rPr>
            </w:pPr>
            <w:r>
              <w:rPr>
                <w:b/>
              </w:rPr>
              <w:t>Mallpost</w:t>
            </w:r>
            <w:r>
              <w:t>: approachSWBNotMonitoredChemical</w:t>
            </w:r>
          </w:p>
          <w:p w:rsidR="000215C5" w:rsidRDefault="00703023">
            <w:pPr>
              <w:spacing w:after="120"/>
              <w:jc w:val="both"/>
              <w:rPr>
                <w:szCs w:val="24"/>
              </w:rPr>
            </w:pPr>
            <w:r>
              <w:rPr>
                <w:b/>
              </w:rPr>
              <w:t xml:space="preserve">Fälttyp/alternativ: </w:t>
            </w:r>
            <w:r>
              <w:t>ApproachSWBNotMonitoredChemical_Enum:</w:t>
            </w:r>
          </w:p>
          <w:p w:rsidR="000215C5" w:rsidRPr="006E59C8" w:rsidRDefault="00703023">
            <w:pPr>
              <w:spacing w:after="120"/>
              <w:jc w:val="both"/>
              <w:rPr>
                <w:szCs w:val="24"/>
                <w:lang w:val="en-GB"/>
              </w:rPr>
            </w:pPr>
            <w:r w:rsidRPr="006E59C8">
              <w:rPr>
                <w:lang w:val="en-GB"/>
              </w:rPr>
              <w:t>Not relevant as all surface water bodies have been sufficiently monitored for chemical status</w:t>
            </w:r>
          </w:p>
          <w:p w:rsidR="000215C5" w:rsidRPr="006E59C8" w:rsidRDefault="00703023">
            <w:pPr>
              <w:spacing w:after="120"/>
              <w:jc w:val="both"/>
              <w:rPr>
                <w:szCs w:val="24"/>
                <w:lang w:val="en-GB"/>
              </w:rPr>
            </w:pPr>
            <w:r w:rsidRPr="006E59C8">
              <w:rPr>
                <w:lang w:val="en-GB"/>
              </w:rPr>
              <w:t>Surface water bodies not monitored for chemical status are reported as good status</w:t>
            </w:r>
          </w:p>
          <w:p w:rsidR="000215C5" w:rsidRPr="006E59C8" w:rsidRDefault="00703023">
            <w:pPr>
              <w:spacing w:after="120"/>
              <w:jc w:val="both"/>
              <w:rPr>
                <w:szCs w:val="24"/>
                <w:lang w:val="en-GB"/>
              </w:rPr>
            </w:pPr>
            <w:r w:rsidRPr="006E59C8">
              <w:rPr>
                <w:lang w:val="en-GB"/>
              </w:rPr>
              <w:t>Surface water bodies not monitored for chemical status are reported as unknown status</w:t>
            </w:r>
          </w:p>
          <w:p w:rsidR="000215C5" w:rsidRPr="006E59C8" w:rsidRDefault="00703023">
            <w:pPr>
              <w:spacing w:after="120"/>
              <w:jc w:val="both"/>
              <w:rPr>
                <w:szCs w:val="24"/>
                <w:lang w:val="en-GB"/>
              </w:rPr>
            </w:pPr>
            <w:r w:rsidRPr="006E59C8">
              <w:rPr>
                <w:lang w:val="en-GB"/>
              </w:rPr>
              <w:t>The status of surface water bodies not monitored for chemical status has been derived or extrapolated from monitoring available for comparable water bodies</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vilken metod som har tillämpats för att bedöma kemisk status hos ytvattenförekomster som inte har övervakats. </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approachSWBNotMonitoredChemicalReference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Om bedömningen av kemisk status hos ytvattenförekomster som inte har övervakats härleds eller extrapoleras från övervakning av andra jämförbara ytvattenförekomster, ange hänvisningar eller hyperlänkar till tekniska dokument med en beskrivning av hur bedömningen av kemisk status har utförts. Vägledning om vilka uppgifter som bör ingå i detta dokument ges i avsnitt </w:t>
            </w:r>
            <w:r>
              <w:fldChar w:fldCharType="begin"/>
            </w:r>
            <w:r>
              <w:instrText xml:space="preserve"> REF _Ref402955855 \r \h  \* MERGEFORMAT </w:instrText>
            </w:r>
            <w:r>
              <w:fldChar w:fldCharType="separate"/>
            </w:r>
            <w:r>
              <w:rPr>
                <w:szCs w:val="24"/>
              </w:rPr>
              <w:t>7.4.3.3</w:t>
            </w:r>
            <w:r>
              <w:fldChar w:fldCharType="end"/>
            </w:r>
            <w:r>
              <w:t>.</w:t>
            </w:r>
          </w:p>
          <w:p w:rsidR="000215C5" w:rsidRDefault="00703023">
            <w:pPr>
              <w:spacing w:after="120"/>
              <w:jc w:val="both"/>
              <w:rPr>
                <w:b/>
                <w:szCs w:val="24"/>
              </w:rPr>
            </w:pPr>
            <w:r>
              <w:rPr>
                <w:b/>
              </w:rPr>
              <w:t>Kvalitetskontroller</w:t>
            </w:r>
            <w:r>
              <w:t xml:space="preserve">: Villkorlig kontroll: Rapportera om approachSWBNotMonitored är ”The status of surface water bodies not monitored for chemical status has been derived or extrapolated from monitoring available for comparable water bodies” eller ”Multiple approaches used”. </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limitOfQuantification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metoden för att hantera mätningar lägre än kvantifieringsgränsen överensstämmer med artikel 5 i </w:t>
            </w:r>
            <w:hyperlink r:id="rId21">
              <w:r>
                <w:rPr>
                  <w:rStyle w:val="KommentarerChar"/>
                </w:rPr>
                <w:t>direktiv 2009/90/EG</w:t>
              </w:r>
            </w:hyperlink>
            <w:r>
              <w:t xml:space="preserve">. </w:t>
            </w:r>
          </w:p>
        </w:tc>
      </w:tr>
      <w:tr w:rsidR="000215C5">
        <w:tc>
          <w:tcPr>
            <w:tcW w:w="9850" w:type="dxa"/>
            <w:shd w:val="clear" w:color="auto" w:fill="auto"/>
          </w:tcPr>
          <w:p w:rsidR="000215C5" w:rsidRDefault="00703023">
            <w:pPr>
              <w:spacing w:after="120"/>
              <w:jc w:val="both"/>
              <w:rPr>
                <w:szCs w:val="24"/>
              </w:rPr>
            </w:pPr>
            <w:r>
              <w:rPr>
                <w:b/>
              </w:rPr>
              <w:t>Mallpost</w:t>
            </w:r>
            <w:r>
              <w:t>:</w:t>
            </w:r>
            <w:r>
              <w:rPr>
                <w:b/>
              </w:rPr>
              <w:t xml:space="preserve"> </w:t>
            </w:r>
            <w:r>
              <w:t xml:space="preserve">backgroundConcentrations </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naturliga bakgrundskoncentrationer av metaller och deras föreningar beaktas när sådana koncentrationer förhindrar att relevanta miljökvalitetsnormer uppfylls.</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backgroundConcentrationsReference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Om naturliga bakgrundskoncentrationer för metaller och deras föreningar beaktas i de fall där sådana koncentrationer är orsaken till att de relevanta miljökvalitetsnormerna inte kan uppfyllas, ange hänvisningar eller hyperlänkar till tekniska dokument som innehåller närmare information, särskilt förteckningen över berörda metaller. Vägledning om vilka uppgifter som bör ingå i detta dokument ges i avsnitt </w:t>
            </w:r>
            <w:r>
              <w:fldChar w:fldCharType="begin"/>
            </w:r>
            <w:r>
              <w:instrText xml:space="preserve"> REF _Ref402955855 \r \h  \* MERGEFORMAT </w:instrText>
            </w:r>
            <w:r>
              <w:fldChar w:fldCharType="separate"/>
            </w:r>
            <w:r>
              <w:rPr>
                <w:szCs w:val="24"/>
              </w:rPr>
              <w:t>7.4.3.3</w:t>
            </w:r>
            <w:r>
              <w:fldChar w:fldCharType="end"/>
            </w:r>
            <w:r>
              <w:t>.</w:t>
            </w:r>
          </w:p>
          <w:p w:rsidR="000215C5" w:rsidRDefault="00703023">
            <w:pPr>
              <w:spacing w:after="120"/>
              <w:jc w:val="both"/>
              <w:rPr>
                <w:b/>
                <w:szCs w:val="24"/>
              </w:rPr>
            </w:pPr>
            <w:r>
              <w:rPr>
                <w:b/>
              </w:rPr>
              <w:t>Kvalitetskontroller</w:t>
            </w:r>
            <w:r>
              <w:t>: Villkorlig kontroll: Rapportera om backgroundConcentrations är ”Yes”.</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bioavailability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hårdhet, pH, upplöst organiskt kol eller andra vattenkvalitetsparametrar som påverkar metallers biotillgänglighet beaktas i bedömningen av övervakningsresultat mot relevanta miljökvalitetsnormer.</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bioavailabilityReference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Om vattenkvalitetsparametrar som påverkar metallers biotillgänglighet beaktas i bedömningen av övervakningsresultat mot relevanta miljökvalitetsnormer, ange hänvisningar eller hyperlänkar till tekniska dokument som innehåller närmare information, särskilt förteckningen över berörda metaller. Vägledning om vilka uppgifter som bör ingå i detta dokument ges i avsnitt </w:t>
            </w:r>
            <w:r>
              <w:fldChar w:fldCharType="begin"/>
            </w:r>
            <w:r>
              <w:instrText xml:space="preserve"> REF _Ref402955855 \r \h  \* MERGEFORMAT </w:instrText>
            </w:r>
            <w:r>
              <w:fldChar w:fldCharType="separate"/>
            </w:r>
            <w:r>
              <w:rPr>
                <w:szCs w:val="24"/>
              </w:rPr>
              <w:t>7.4.3.3</w:t>
            </w:r>
            <w:r>
              <w:fldChar w:fldCharType="end"/>
            </w:r>
            <w:r>
              <w:t xml:space="preserve">. </w:t>
            </w:r>
          </w:p>
          <w:p w:rsidR="000215C5" w:rsidRDefault="00703023">
            <w:pPr>
              <w:spacing w:after="120"/>
              <w:jc w:val="both"/>
              <w:rPr>
                <w:b/>
                <w:szCs w:val="24"/>
              </w:rPr>
            </w:pPr>
            <w:r>
              <w:rPr>
                <w:b/>
              </w:rPr>
              <w:t>Kvalitetskontroller</w:t>
            </w:r>
            <w:r>
              <w:t>: Villkorlig kontroll: Rapportera om bioavailability är ”Yes”.</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longTermTrendAnalysis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rutiner finns för långsiktig trendanalys av koncentrationer av de prioriterade ämnen som anges i del A i bilaga I till MKN-direktivet (2008/105/EG)</w:t>
            </w:r>
            <w:r>
              <w:rPr>
                <w:rStyle w:val="Fotnotsreferens"/>
              </w:rPr>
              <w:footnoteReference w:id="91"/>
            </w:r>
            <w:r>
              <w:t xml:space="preserve"> som tenderar att ackumulera sig i sediment och</w:t>
            </w:r>
            <w:r w:rsidR="00C10DA5">
              <w:t>/eller biota (artikel 3.3 i MKN</w:t>
            </w:r>
            <w:r w:rsidR="00C10DA5">
              <w:noBreakHyphen/>
            </w:r>
            <w:r>
              <w:t xml:space="preserve">direktivet). </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longTermTrendAnalysisReference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Villkorlig. Om rutiner finns för långsiktig trendanalys av koncentrationer av de prioriterade ämnen som anges i del A i bilaga I till MKN-direktivet (2008/105/EG) som tenderar att ackumulera sig i sediment och</w:t>
            </w:r>
            <w:r w:rsidR="00C74BC0">
              <w:t>/eller biota (artikel 3.3 i MKN</w:t>
            </w:r>
            <w:r w:rsidR="00C74BC0">
              <w:noBreakHyphen/>
            </w:r>
            <w:r>
              <w:t xml:space="preserve">direktivet), ange hänvisningar eller hyperlänkar till tekniska dokument som innehåller närmare information, särskilt förteckningen över berörda prioriterade ämnen. Vägledning om vilka uppgifter som bör ingå i detta dokument ges i avsnitt </w:t>
            </w:r>
            <w:r>
              <w:fldChar w:fldCharType="begin"/>
            </w:r>
            <w:r>
              <w:instrText xml:space="preserve"> REF _Ref402955855 \r \h  \* MERGEFORMAT </w:instrText>
            </w:r>
            <w:r>
              <w:fldChar w:fldCharType="separate"/>
            </w:r>
            <w:r>
              <w:rPr>
                <w:szCs w:val="24"/>
              </w:rPr>
              <w:t>7.4.3.3</w:t>
            </w:r>
            <w:r>
              <w:fldChar w:fldCharType="end"/>
            </w:r>
            <w:r>
              <w:t>.</w:t>
            </w:r>
          </w:p>
          <w:p w:rsidR="000215C5" w:rsidRDefault="00703023">
            <w:pPr>
              <w:spacing w:after="120"/>
              <w:jc w:val="both"/>
              <w:rPr>
                <w:b/>
                <w:szCs w:val="24"/>
              </w:rPr>
            </w:pPr>
            <w:r>
              <w:rPr>
                <w:b/>
              </w:rPr>
              <w:t>Kvalitetskontroller</w:t>
            </w:r>
            <w:r>
              <w:t>: Villkorlig kontroll: Rapportera om longTermTrendAnalysis är ”Yes”.</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mixingZoneDesignation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blandningszoner har utsetts enligt artikel 4 i MKN-direktivet. </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mixingZoneMethodology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rStyle w:val="KommentarerChar"/>
                <w:szCs w:val="24"/>
              </w:rPr>
            </w:pPr>
            <w:r>
              <w:rPr>
                <w:b/>
              </w:rPr>
              <w:t>Vägledning om hur man fyller i mallposten</w:t>
            </w:r>
            <w:r>
              <w:t xml:space="preserve">: Villkorlig. Ange om metoden för fastställande av blandningszoner i avrinningsdistriktet/delavrinningsdistriktet följer den flerstegsmetod som anges i det </w:t>
            </w:r>
            <w:hyperlink r:id="rId22">
              <w:r>
                <w:rPr>
                  <w:rStyle w:val="KommentarerChar"/>
                </w:rPr>
                <w:t>tekniska bakgrundsdokumentet om fastställande av blandningszoner</w:t>
              </w:r>
            </w:hyperlink>
            <w:r>
              <w:rPr>
                <w:rStyle w:val="Fotnotsreferens"/>
              </w:rPr>
              <w:footnoteReference w:id="92"/>
            </w:r>
            <w:r>
              <w:rPr>
                <w:rStyle w:val="KommentarerChar"/>
              </w:rPr>
              <w:t>.</w:t>
            </w:r>
            <w:r>
              <w:t xml:space="preserve"> </w:t>
            </w:r>
          </w:p>
          <w:p w:rsidR="000215C5" w:rsidRDefault="00703023">
            <w:pPr>
              <w:spacing w:after="120"/>
              <w:jc w:val="both"/>
              <w:rPr>
                <w:b/>
                <w:szCs w:val="24"/>
              </w:rPr>
            </w:pPr>
            <w:r>
              <w:rPr>
                <w:b/>
              </w:rPr>
              <w:t>Kvalitetskontroller</w:t>
            </w:r>
            <w:r>
              <w:t>: Villkorlig kontroll: Rapportera om mixingZoneDesignation är ”Yes”.</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alternativeMixingZoneMethodologyReference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Om metoden för fastställande av blandningszoner i avrinningsdistriktet/delavrinningsdistriktet inte följer den flerstegsmetod som anges i det </w:t>
            </w:r>
            <w:hyperlink r:id="rId23">
              <w:r>
                <w:rPr>
                  <w:rStyle w:val="KommentarerChar"/>
                </w:rPr>
                <w:t>tekniska bakgrundsdokumentet om fastställande av blandningszoner</w:t>
              </w:r>
            </w:hyperlink>
            <w:r>
              <w:rPr>
                <w:rStyle w:val="KommentarerChar"/>
              </w:rPr>
              <w:t>.</w:t>
            </w:r>
            <w:r>
              <w:t xml:space="preserve">, ange hänvisningar eller hyperlänkar till tekniska dokument som beskriver den alternativa metod som tillämpats. Vägledning om vilka uppgifter som bör ingå i detta dokument ges i avsnitt </w:t>
            </w:r>
            <w:r>
              <w:fldChar w:fldCharType="begin"/>
            </w:r>
            <w:r>
              <w:instrText xml:space="preserve"> REF _Ref402955855 \r \h  \* MERGEFORMAT </w:instrText>
            </w:r>
            <w:r>
              <w:fldChar w:fldCharType="separate"/>
            </w:r>
            <w:r>
              <w:rPr>
                <w:szCs w:val="24"/>
              </w:rPr>
              <w:t>7.4.3.3</w:t>
            </w:r>
            <w:r>
              <w:fldChar w:fldCharType="end"/>
            </w:r>
            <w:r>
              <w:t>.</w:t>
            </w:r>
          </w:p>
          <w:p w:rsidR="000215C5" w:rsidRDefault="00703023">
            <w:pPr>
              <w:spacing w:after="120"/>
              <w:jc w:val="both"/>
              <w:rPr>
                <w:b/>
                <w:szCs w:val="24"/>
              </w:rPr>
            </w:pPr>
            <w:r>
              <w:rPr>
                <w:b/>
              </w:rPr>
              <w:t>Kvalitetskontroller</w:t>
            </w:r>
            <w:r>
              <w:t>: Villkorlig kontroll: Rapportera om mixingZoneMethodology är ”No”.</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mixingZoneMeasures</w:t>
            </w:r>
          </w:p>
          <w:p w:rsidR="000215C5" w:rsidRDefault="00703023">
            <w:pPr>
              <w:spacing w:after="120"/>
              <w:jc w:val="both"/>
              <w:rPr>
                <w:szCs w:val="24"/>
              </w:rPr>
            </w:pPr>
            <w:r>
              <w:rPr>
                <w:b/>
              </w:rPr>
              <w:t xml:space="preserve">Fälttyp/alternativ: </w:t>
            </w:r>
            <w:r>
              <w:t>MixingZoneMeasures_Enum:</w:t>
            </w:r>
          </w:p>
          <w:p w:rsidR="000215C5" w:rsidRDefault="00703023">
            <w:pPr>
              <w:spacing w:after="120"/>
              <w:jc w:val="both"/>
              <w:rPr>
                <w:szCs w:val="24"/>
              </w:rPr>
            </w:pPr>
            <w:r>
              <w:t>Åtgärder enligt artikel 11.3 k i vattendirektivet (2000/60/EG).</w:t>
            </w:r>
          </w:p>
          <w:p w:rsidR="000215C5" w:rsidRDefault="00703023">
            <w:pPr>
              <w:spacing w:after="120"/>
              <w:jc w:val="both"/>
              <w:rPr>
                <w:rStyle w:val="KommentarerChar"/>
                <w:szCs w:val="24"/>
              </w:rPr>
            </w:pPr>
            <w:r>
              <w:t xml:space="preserve">Granskning av tillstånd enligt vad som avses i </w:t>
            </w:r>
            <w:hyperlink r:id="rId24">
              <w:r>
                <w:rPr>
                  <w:rStyle w:val="KommentarerChar"/>
                </w:rPr>
                <w:t>direktiv 2008/1/EG</w:t>
              </w:r>
            </w:hyperlink>
            <w:r>
              <w:t>.</w:t>
            </w:r>
          </w:p>
          <w:p w:rsidR="000215C5" w:rsidRDefault="00703023">
            <w:pPr>
              <w:spacing w:after="120"/>
              <w:jc w:val="both"/>
              <w:rPr>
                <w:szCs w:val="24"/>
              </w:rPr>
            </w:pPr>
            <w:r>
              <w:t>Förhandsreglering enligt artikel 11.3 g i vattendirektivet (2000/60/EG).</w:t>
            </w:r>
          </w:p>
          <w:p w:rsidR="000215C5" w:rsidRDefault="00703023">
            <w:pPr>
              <w:spacing w:after="120"/>
              <w:jc w:val="both"/>
              <w:rPr>
                <w:szCs w:val="24"/>
              </w:rPr>
            </w:pPr>
            <w:r>
              <w:t>Övrigt</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de åtgärder som vidtagits för att minska blandningszonernas omfattning i framtiden.</w:t>
            </w:r>
          </w:p>
          <w:p w:rsidR="000215C5" w:rsidRDefault="00703023">
            <w:pPr>
              <w:spacing w:after="120"/>
              <w:jc w:val="both"/>
              <w:rPr>
                <w:b/>
                <w:szCs w:val="24"/>
              </w:rPr>
            </w:pPr>
            <w:r>
              <w:rPr>
                <w:b/>
              </w:rPr>
              <w:t>Kvalitetskontroller</w:t>
            </w:r>
            <w:r>
              <w:t>: Villkorlig kontroll: Rapportera om mixingZoneDesignation är ”Yes”.</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mixingZoneMeasuresReductionReference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Ange hänvisningar eller hyperlänkar till dokument som beskriver åtgärder för att minska blandningszonernas omfattning i framtiden. Vägledning om vilka uppgifter som bör ingå i detta dokument ges i avsnitt </w:t>
            </w:r>
            <w:r>
              <w:fldChar w:fldCharType="begin"/>
            </w:r>
            <w:r>
              <w:instrText xml:space="preserve"> REF _Ref402955855 \r \h  \* MERGEFORMAT </w:instrText>
            </w:r>
            <w:r>
              <w:fldChar w:fldCharType="separate"/>
            </w:r>
            <w:r>
              <w:rPr>
                <w:szCs w:val="24"/>
              </w:rPr>
              <w:t>7.4.3.3</w:t>
            </w:r>
            <w:r>
              <w:fldChar w:fldCharType="end"/>
            </w:r>
            <w:r>
              <w:t>.</w:t>
            </w:r>
          </w:p>
          <w:p w:rsidR="000215C5" w:rsidRDefault="00703023">
            <w:pPr>
              <w:spacing w:after="120"/>
              <w:jc w:val="both"/>
              <w:rPr>
                <w:b/>
                <w:szCs w:val="24"/>
              </w:rPr>
            </w:pPr>
            <w:r>
              <w:rPr>
                <w:b/>
              </w:rPr>
              <w:t>Kvalitetskontroller</w:t>
            </w:r>
            <w:r>
              <w:t>: Villkorlig kontroll: Rapportera om mixingZoneDesignation är ”Yes”.</w:t>
            </w:r>
          </w:p>
        </w:tc>
      </w:tr>
      <w:tr w:rsidR="000215C5">
        <w:tc>
          <w:tcPr>
            <w:tcW w:w="9850" w:type="dxa"/>
            <w:shd w:val="clear" w:color="auto" w:fill="auto"/>
          </w:tcPr>
          <w:p w:rsidR="000215C5" w:rsidRDefault="00703023">
            <w:pPr>
              <w:spacing w:after="120"/>
              <w:jc w:val="both"/>
              <w:rPr>
                <w:b/>
                <w:szCs w:val="24"/>
              </w:rPr>
            </w:pPr>
            <w:r>
              <w:rPr>
                <w:b/>
              </w:rPr>
              <w:t>Mallpost</w:t>
            </w:r>
            <w:r>
              <w:t>:</w:t>
            </w:r>
            <w:r>
              <w:rPr>
                <w:b/>
              </w:rPr>
              <w:t xml:space="preserve"> </w:t>
            </w:r>
            <w:r>
              <w:t>chemicalStatusReference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dokument som beskriver metoden för bedömning av kemisk status. Vägledning om vilka uppgifter som bör ingå i detta dokument ges i avsnitt </w:t>
            </w:r>
            <w:r>
              <w:fldChar w:fldCharType="begin"/>
            </w:r>
            <w:r>
              <w:instrText xml:space="preserve"> REF _Ref402955855 \r \h  \* MERGEFORMAT </w:instrText>
            </w:r>
            <w:r>
              <w:fldChar w:fldCharType="separate"/>
            </w:r>
            <w:r>
              <w:rPr>
                <w:szCs w:val="24"/>
              </w:rPr>
              <w:t>7.4.3.3</w:t>
            </w:r>
            <w:r>
              <w:fldChar w:fldCharType="end"/>
            </w:r>
            <w:r>
              <w:t xml:space="preserve">. </w:t>
            </w:r>
          </w:p>
        </w:tc>
      </w:tr>
    </w:tbl>
    <w:p w:rsidR="000215C5" w:rsidRDefault="000215C5">
      <w:pPr>
        <w:jc w:val="both"/>
      </w:pPr>
    </w:p>
    <w:p w:rsidR="000215C5" w:rsidRDefault="00703023">
      <w:pPr>
        <w:pStyle w:val="Rubrik4"/>
      </w:pPr>
      <w:bookmarkStart w:id="399" w:name="_Ref402955855"/>
      <w:r>
        <w:t>Vägledning om innehållet i förvaltningsplanerna för avrinningsdistrikt/bakgrundsdokument</w:t>
      </w:r>
      <w:bookmarkEnd w:id="399"/>
    </w:p>
    <w:p w:rsidR="000215C5" w:rsidRDefault="00703023">
      <w:pPr>
        <w:jc w:val="both"/>
      </w:pPr>
      <w:r>
        <w:t>Nedan ges vägledning om de uppgifter som kommissionen förväntar sig att medlemsstaterna lämnar i de relevanta kapitlen om metoder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numPr>
          <w:ilvl w:val="0"/>
          <w:numId w:val="20"/>
        </w:numPr>
        <w:jc w:val="both"/>
      </w:pPr>
      <w:r>
        <w:t>Information om eventuella betydande ändringar som gjorts av metoden eller det informationsunderlag som används för bedömningen av kemisk status sedan den första förvaltningsplanen.</w:t>
      </w:r>
    </w:p>
    <w:p w:rsidR="000215C5" w:rsidRDefault="00703023">
      <w:pPr>
        <w:numPr>
          <w:ilvl w:val="0"/>
          <w:numId w:val="20"/>
        </w:numPr>
        <w:jc w:val="both"/>
      </w:pPr>
      <w:r>
        <w:t>Information om den metod som har tillämpats för att bedöma kemisk status hos ytvattenförekomster som inte övervakas. Om status redan har härletts eller extrapolerats från övervakningsuppgifter för jämförbara ytvattenförekomster, förklara hur detta har gjorts och i hur många fall.</w:t>
      </w:r>
    </w:p>
    <w:p w:rsidR="000215C5" w:rsidRDefault="00703023">
      <w:pPr>
        <w:numPr>
          <w:ilvl w:val="0"/>
          <w:numId w:val="20"/>
        </w:numPr>
        <w:jc w:val="both"/>
      </w:pPr>
      <w:r>
        <w:t>Detaljerad information om hur mätningar som är lägre än kvantifieringsnivån behandlas, om annorlunda än i direktiv 2009/90/EG om miljökvalitetsnormer</w:t>
      </w:r>
      <w:r>
        <w:rPr>
          <w:rStyle w:val="Fotnotsreferens"/>
        </w:rPr>
        <w:footnoteReference w:id="93"/>
      </w:r>
      <w:r>
        <w:t>.</w:t>
      </w:r>
    </w:p>
    <w:p w:rsidR="000215C5" w:rsidRDefault="00703023">
      <w:pPr>
        <w:numPr>
          <w:ilvl w:val="0"/>
          <w:numId w:val="20"/>
        </w:numPr>
        <w:jc w:val="both"/>
      </w:pPr>
      <w:r>
        <w:t>Detaljerad information om metoden för att behandla naturliga bakgrundskoncentrationer.</w:t>
      </w:r>
    </w:p>
    <w:p w:rsidR="000215C5" w:rsidRDefault="00703023">
      <w:pPr>
        <w:numPr>
          <w:ilvl w:val="0"/>
          <w:numId w:val="20"/>
        </w:numPr>
        <w:jc w:val="both"/>
      </w:pPr>
      <w:r>
        <w:t>Detaljerad information om metoden för att behandla pH, lösligt organiskt kol eller andra vattenkvalitetsparametrar som påverkar metallers biotillgänglighet.</w:t>
      </w:r>
    </w:p>
    <w:p w:rsidR="000215C5" w:rsidRDefault="00703023">
      <w:pPr>
        <w:numPr>
          <w:ilvl w:val="0"/>
          <w:numId w:val="20"/>
        </w:numPr>
        <w:jc w:val="both"/>
      </w:pPr>
      <w:r>
        <w:t>Detaljerad information om metoden för långsiktig trendanalys av prioriterade ämnen.</w:t>
      </w:r>
    </w:p>
    <w:p w:rsidR="000215C5" w:rsidRDefault="00703023">
      <w:pPr>
        <w:numPr>
          <w:ilvl w:val="0"/>
          <w:numId w:val="20"/>
        </w:numPr>
        <w:jc w:val="both"/>
      </w:pPr>
      <w:r>
        <w:t>Detaljerad information om de åtgärder som ska vidtas för att minska omfattningen av blandningszoner.</w:t>
      </w:r>
    </w:p>
    <w:p w:rsidR="000215C5" w:rsidRDefault="00703023">
      <w:pPr>
        <w:numPr>
          <w:ilvl w:val="0"/>
          <w:numId w:val="20"/>
        </w:numPr>
        <w:jc w:val="both"/>
      </w:pPr>
      <w:r>
        <w:t>Detaljerad metod för fastställande av blandningszoner.</w:t>
      </w:r>
    </w:p>
    <w:p w:rsidR="000215C5" w:rsidRDefault="00703023">
      <w:pPr>
        <w:pStyle w:val="Rubrik2"/>
        <w:jc w:val="both"/>
      </w:pPr>
      <w:bookmarkStart w:id="400" w:name="_Toc400669529"/>
      <w:bookmarkStart w:id="401" w:name="_Toc400669995"/>
      <w:bookmarkStart w:id="402" w:name="_Toc400670333"/>
      <w:bookmarkStart w:id="403" w:name="_Toc400670667"/>
      <w:bookmarkStart w:id="404" w:name="_Toc400670975"/>
      <w:bookmarkStart w:id="405" w:name="_Toc400671279"/>
      <w:bookmarkStart w:id="406" w:name="_Toc400671584"/>
      <w:bookmarkStart w:id="407" w:name="_Toc400671878"/>
      <w:bookmarkStart w:id="408" w:name="_Toc400714713"/>
      <w:bookmarkStart w:id="409" w:name="_Toc400714940"/>
      <w:bookmarkStart w:id="410" w:name="_Toc400715164"/>
      <w:bookmarkStart w:id="411" w:name="_Toc400715384"/>
      <w:bookmarkStart w:id="412" w:name="_Toc400715599"/>
      <w:bookmarkStart w:id="413" w:name="_Toc400715811"/>
      <w:bookmarkStart w:id="414" w:name="_Toc400716018"/>
      <w:bookmarkStart w:id="415" w:name="_Toc400716224"/>
      <w:bookmarkStart w:id="416" w:name="_Toc400716424"/>
      <w:bookmarkStart w:id="417" w:name="_Toc400716622"/>
      <w:bookmarkStart w:id="418" w:name="_Toc400716810"/>
      <w:bookmarkStart w:id="419" w:name="_Toc400716989"/>
      <w:bookmarkStart w:id="420" w:name="_Toc400717165"/>
      <w:bookmarkStart w:id="421" w:name="_Toc400717338"/>
      <w:bookmarkStart w:id="422" w:name="_Toc400717513"/>
      <w:bookmarkStart w:id="423" w:name="_Toc400717682"/>
      <w:bookmarkStart w:id="424" w:name="_Toc400717832"/>
      <w:bookmarkStart w:id="425" w:name="_Toc400717964"/>
      <w:bookmarkStart w:id="426" w:name="_Toc400720359"/>
      <w:bookmarkStart w:id="427" w:name="_Toc375220088"/>
      <w:bookmarkStart w:id="428" w:name="_Toc386464241"/>
      <w:bookmarkStart w:id="429" w:name="_Toc425522067"/>
      <w:bookmarkStart w:id="430" w:name="_Toc432666079"/>
      <w:bookmarkStart w:id="431" w:name="_Toc437520275"/>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t>Allmänna förvaltningsmål (näringsämnen, floders kontinuitet).</w:t>
      </w:r>
      <w:bookmarkEnd w:id="427"/>
      <w:bookmarkEnd w:id="428"/>
      <w:bookmarkEnd w:id="429"/>
      <w:bookmarkEnd w:id="430"/>
      <w:bookmarkEnd w:id="431"/>
    </w:p>
    <w:p w:rsidR="000215C5" w:rsidRDefault="00703023">
      <w:pPr>
        <w:pStyle w:val="Rubrik3"/>
      </w:pPr>
      <w:r>
        <w:t>Inledning</w:t>
      </w:r>
    </w:p>
    <w:p w:rsidR="000215C5" w:rsidRDefault="00703023">
      <w:pPr>
        <w:pStyle w:val="Text3"/>
        <w:tabs>
          <w:tab w:val="clear" w:pos="2302"/>
        </w:tabs>
        <w:ind w:left="0"/>
        <w:jc w:val="both"/>
      </w:pPr>
      <w:r>
        <w:t>En del medlemsstater har fastställt förvaltningsmål för att hantera särskilda frågor. Rapporteringen om dessa mål kan ge användbar kvantitativ information om målen på nivån för avrinningsdistrikt.</w:t>
      </w:r>
    </w:p>
    <w:p w:rsidR="000215C5" w:rsidRDefault="00703023">
      <w:pPr>
        <w:pStyle w:val="Text3"/>
        <w:tabs>
          <w:tab w:val="clear" w:pos="2302"/>
        </w:tabs>
        <w:ind w:left="0"/>
        <w:jc w:val="both"/>
      </w:pPr>
      <w:r>
        <w:t>Endast medlemsstater som har fastställt övergripande förvaltningsmål ska lämna denna information.</w:t>
      </w:r>
    </w:p>
    <w:p w:rsidR="000215C5" w:rsidRDefault="00703023">
      <w:pPr>
        <w:pStyle w:val="Rubrik3"/>
      </w:pPr>
      <w:bookmarkStart w:id="432" w:name="_Toc375220090"/>
      <w:r>
        <w:t>Innehåll i rapporteringen 2016</w:t>
      </w:r>
      <w:bookmarkEnd w:id="432"/>
    </w:p>
    <w:p w:rsidR="000215C5" w:rsidRDefault="00703023">
      <w:pPr>
        <w:pStyle w:val="Rubrik4"/>
      </w:pPr>
      <w:r>
        <w:t>Skiss över mallarna</w:t>
      </w:r>
    </w:p>
    <w:p w:rsidR="000215C5" w:rsidRDefault="00703023">
      <w:pPr>
        <w:jc w:val="both"/>
      </w:pPr>
      <w:r>
        <w:t>Se bilaga 10.5.</w:t>
      </w:r>
    </w:p>
    <w:p w:rsidR="000215C5" w:rsidRDefault="00703023">
      <w:pPr>
        <w:pStyle w:val="Rubrik4"/>
      </w:pPr>
      <w:r>
        <w:t>Information som ska rapporteras med hjälp av mallarna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0215C5">
        <w:tc>
          <w:tcPr>
            <w:tcW w:w="9850" w:type="dxa"/>
            <w:shd w:val="clear" w:color="auto" w:fill="auto"/>
          </w:tcPr>
          <w:p w:rsidR="000215C5" w:rsidRDefault="00703023">
            <w:pPr>
              <w:spacing w:after="120"/>
              <w:jc w:val="both"/>
              <w:rPr>
                <w:b/>
              </w:rPr>
            </w:pPr>
            <w:r>
              <w:rPr>
                <w:b/>
              </w:rPr>
              <w:t>Mall: SWMET (fortsättning)</w:t>
            </w:r>
          </w:p>
        </w:tc>
      </w:tr>
      <w:tr w:rsidR="000215C5">
        <w:tc>
          <w:tcPr>
            <w:tcW w:w="9850" w:type="dxa"/>
            <w:shd w:val="clear" w:color="auto" w:fill="auto"/>
          </w:tcPr>
          <w:p w:rsidR="000215C5" w:rsidRDefault="00703023">
            <w:pPr>
              <w:spacing w:after="120"/>
              <w:jc w:val="both"/>
              <w:rPr>
                <w:b/>
                <w:i/>
              </w:rPr>
            </w:pPr>
            <w:r>
              <w:rPr>
                <w:b/>
                <w:i/>
              </w:rPr>
              <w:t>Class SWManagementObjectives</w:t>
            </w:r>
          </w:p>
          <w:p w:rsidR="000215C5" w:rsidRDefault="00703023">
            <w:pPr>
              <w:spacing w:after="120"/>
              <w:jc w:val="both"/>
              <w:rPr>
                <w:i/>
              </w:rPr>
            </w:pPr>
            <w:r>
              <w:rPr>
                <w:b/>
                <w:i/>
              </w:rPr>
              <w:t xml:space="preserve">Egenskaper: </w:t>
            </w:r>
            <w:r>
              <w:rPr>
                <w:i/>
              </w:rPr>
              <w:t>maxOccurs = 1 minOccurs = 1</w:t>
            </w:r>
          </w:p>
        </w:tc>
      </w:tr>
      <w:tr w:rsidR="000215C5">
        <w:tc>
          <w:tcPr>
            <w:tcW w:w="9850" w:type="dxa"/>
            <w:shd w:val="clear" w:color="auto" w:fill="auto"/>
          </w:tcPr>
          <w:p w:rsidR="000215C5" w:rsidRDefault="00703023">
            <w:pPr>
              <w:spacing w:after="120"/>
              <w:jc w:val="both"/>
              <w:rPr>
                <w:b/>
              </w:rPr>
            </w:pPr>
            <w:r>
              <w:rPr>
                <w:b/>
              </w:rPr>
              <w:t>Mallpost</w:t>
            </w:r>
            <w:r>
              <w:t>:</w:t>
            </w:r>
            <w:r>
              <w:rPr>
                <w:b/>
              </w:rPr>
              <w:t xml:space="preserve"> </w:t>
            </w:r>
            <w:r>
              <w:t>managementObjectivesNutrients</w:t>
            </w:r>
          </w:p>
          <w:p w:rsidR="000215C5" w:rsidRDefault="00703023">
            <w:pPr>
              <w:spacing w:after="120"/>
              <w:jc w:val="both"/>
            </w:pPr>
            <w:r>
              <w:rPr>
                <w:b/>
              </w:rPr>
              <w:t xml:space="preserve">Fälttyp/alternativ: </w:t>
            </w:r>
            <w:r>
              <w:t>YesNoCode_Enum: Yes, No</w:t>
            </w:r>
          </w:p>
          <w:p w:rsidR="000215C5" w:rsidRDefault="00703023">
            <w:pPr>
              <w:spacing w:after="120"/>
              <w:jc w:val="both"/>
            </w:pPr>
            <w:r>
              <w:rPr>
                <w:b/>
              </w:rPr>
              <w:t xml:space="preserve">Egenskaper: </w:t>
            </w:r>
            <w:r>
              <w:t>maxOccurs = 1 minOccurs = 1</w:t>
            </w:r>
          </w:p>
          <w:p w:rsidR="000215C5" w:rsidRDefault="00703023">
            <w:pPr>
              <w:spacing w:after="120"/>
              <w:jc w:val="both"/>
            </w:pPr>
            <w:r>
              <w:rPr>
                <w:b/>
              </w:rPr>
              <w:t>Vägledning om hur man fyller i mallposten</w:t>
            </w:r>
            <w:r>
              <w:t>: Krävs. Ange om allmänna förvaltningsmål har fastställts för förorening av näringsämnen.</w:t>
            </w:r>
          </w:p>
        </w:tc>
      </w:tr>
      <w:tr w:rsidR="000215C5">
        <w:tc>
          <w:tcPr>
            <w:tcW w:w="9850" w:type="dxa"/>
            <w:shd w:val="clear" w:color="auto" w:fill="auto"/>
          </w:tcPr>
          <w:p w:rsidR="000215C5" w:rsidRDefault="00703023">
            <w:pPr>
              <w:spacing w:after="120"/>
              <w:jc w:val="both"/>
              <w:rPr>
                <w:b/>
              </w:rPr>
            </w:pPr>
            <w:r>
              <w:rPr>
                <w:b/>
              </w:rPr>
              <w:t>Mallpost</w:t>
            </w:r>
            <w:r>
              <w:t>:</w:t>
            </w:r>
            <w:r>
              <w:rPr>
                <w:b/>
              </w:rPr>
              <w:t xml:space="preserve"> </w:t>
            </w:r>
            <w:r>
              <w:t>managementObjectivesNutrientsQuantitativeN</w:t>
            </w:r>
          </w:p>
          <w:p w:rsidR="000215C5" w:rsidRDefault="00703023">
            <w:pPr>
              <w:spacing w:after="120"/>
              <w:jc w:val="both"/>
            </w:pPr>
            <w:r>
              <w:rPr>
                <w:b/>
              </w:rPr>
              <w:t xml:space="preserve">Fälttyp/alternativ: </w:t>
            </w:r>
            <w:r>
              <w:t>YesNoCode_Enum: Yes, No</w:t>
            </w:r>
          </w:p>
          <w:p w:rsidR="000215C5" w:rsidRDefault="00703023">
            <w:pPr>
              <w:spacing w:after="120"/>
              <w:jc w:val="both"/>
            </w:pPr>
            <w:r>
              <w:rPr>
                <w:b/>
              </w:rPr>
              <w:t xml:space="preserve">Egenskaper: </w:t>
            </w:r>
            <w:r>
              <w:t>maxOccurs = 1 minOccurs = 0</w:t>
            </w:r>
          </w:p>
          <w:p w:rsidR="000215C5" w:rsidRDefault="00703023">
            <w:pPr>
              <w:spacing w:after="120"/>
              <w:jc w:val="both"/>
            </w:pPr>
            <w:r>
              <w:rPr>
                <w:b/>
              </w:rPr>
              <w:t>Vägledning om hur man fyller i mallposten</w:t>
            </w:r>
            <w:r>
              <w:t>: Villkorlig. Ange om kvantitativa mål har fastställts för minskning av kvävebelastning.</w:t>
            </w:r>
          </w:p>
          <w:p w:rsidR="000215C5" w:rsidRDefault="00703023">
            <w:pPr>
              <w:spacing w:after="120"/>
              <w:jc w:val="both"/>
              <w:rPr>
                <w:b/>
              </w:rPr>
            </w:pPr>
            <w:r>
              <w:rPr>
                <w:b/>
              </w:rPr>
              <w:t>Kvalitetskontroller</w:t>
            </w:r>
            <w:r>
              <w:t>: Villkorlig kontroll: Rapportera om managementObjectivesNutrients är ”Yes”.</w:t>
            </w:r>
          </w:p>
        </w:tc>
      </w:tr>
      <w:tr w:rsidR="000215C5">
        <w:tc>
          <w:tcPr>
            <w:tcW w:w="9850" w:type="dxa"/>
            <w:shd w:val="clear" w:color="auto" w:fill="auto"/>
          </w:tcPr>
          <w:p w:rsidR="000215C5" w:rsidRDefault="00703023">
            <w:pPr>
              <w:spacing w:after="120"/>
              <w:jc w:val="both"/>
              <w:rPr>
                <w:b/>
              </w:rPr>
            </w:pPr>
            <w:r>
              <w:rPr>
                <w:b/>
              </w:rPr>
              <w:t>Mallpost</w:t>
            </w:r>
            <w:r>
              <w:t>:</w:t>
            </w:r>
            <w:r>
              <w:rPr>
                <w:b/>
              </w:rPr>
              <w:t xml:space="preserve"> </w:t>
            </w:r>
            <w:r>
              <w:t>managementObjectivesNutrientsQuantitativeP</w:t>
            </w:r>
          </w:p>
          <w:p w:rsidR="000215C5" w:rsidRDefault="00703023">
            <w:pPr>
              <w:spacing w:after="120"/>
              <w:jc w:val="both"/>
            </w:pPr>
            <w:r>
              <w:rPr>
                <w:b/>
              </w:rPr>
              <w:t xml:space="preserve">Fälttyp/alternativ: </w:t>
            </w:r>
            <w:r>
              <w:t>YesNoCode_Enum: Yes, No</w:t>
            </w:r>
          </w:p>
          <w:p w:rsidR="000215C5" w:rsidRDefault="00703023">
            <w:pPr>
              <w:spacing w:after="120"/>
              <w:jc w:val="both"/>
            </w:pPr>
            <w:r>
              <w:rPr>
                <w:b/>
              </w:rPr>
              <w:t xml:space="preserve">Egenskaper: </w:t>
            </w:r>
            <w:r>
              <w:t>maxOccurs = 1 minOccurs = 0</w:t>
            </w:r>
          </w:p>
          <w:p w:rsidR="000215C5" w:rsidRDefault="00703023">
            <w:pPr>
              <w:spacing w:after="120"/>
              <w:jc w:val="both"/>
            </w:pPr>
            <w:r>
              <w:rPr>
                <w:b/>
              </w:rPr>
              <w:t>Vägledning om hur man fyller i mallposten</w:t>
            </w:r>
            <w:r>
              <w:t>: Villkorlig. Ange om kvantitativa mål har fastställts för minskning av fosforbelastning.</w:t>
            </w:r>
          </w:p>
          <w:p w:rsidR="000215C5" w:rsidRDefault="00703023">
            <w:pPr>
              <w:spacing w:after="120"/>
              <w:jc w:val="both"/>
              <w:rPr>
                <w:b/>
              </w:rPr>
            </w:pPr>
            <w:r>
              <w:rPr>
                <w:b/>
              </w:rPr>
              <w:t>Kvalitetskontroller</w:t>
            </w:r>
            <w:r>
              <w:t>: Villkorlig kontroll: Rapportera om managementObjectivesNutrients är ”Yes”.</w:t>
            </w:r>
          </w:p>
        </w:tc>
      </w:tr>
      <w:tr w:rsidR="000215C5">
        <w:tc>
          <w:tcPr>
            <w:tcW w:w="9850" w:type="dxa"/>
            <w:shd w:val="clear" w:color="auto" w:fill="auto"/>
          </w:tcPr>
          <w:p w:rsidR="000215C5" w:rsidRDefault="00703023">
            <w:pPr>
              <w:spacing w:after="120"/>
              <w:jc w:val="both"/>
              <w:rPr>
                <w:b/>
              </w:rPr>
            </w:pPr>
            <w:r>
              <w:rPr>
                <w:b/>
              </w:rPr>
              <w:t>Mallpost</w:t>
            </w:r>
            <w:r>
              <w:t>:</w:t>
            </w:r>
            <w:r>
              <w:rPr>
                <w:b/>
              </w:rPr>
              <w:t xml:space="preserve"> </w:t>
            </w:r>
            <w:r>
              <w:t>managementObjectivesContinuity</w:t>
            </w:r>
          </w:p>
          <w:p w:rsidR="000215C5" w:rsidRDefault="00703023">
            <w:pPr>
              <w:spacing w:after="120"/>
              <w:jc w:val="both"/>
            </w:pPr>
            <w:r>
              <w:rPr>
                <w:b/>
              </w:rPr>
              <w:t xml:space="preserve">Fälttyp/alternativ: </w:t>
            </w:r>
            <w:r>
              <w:t>YesNoCode_Enum: Yes, No</w:t>
            </w:r>
          </w:p>
          <w:p w:rsidR="000215C5" w:rsidRDefault="00703023">
            <w:pPr>
              <w:spacing w:after="120"/>
              <w:jc w:val="both"/>
            </w:pPr>
            <w:r>
              <w:rPr>
                <w:b/>
              </w:rPr>
              <w:t xml:space="preserve">Egenskaper: </w:t>
            </w:r>
            <w:r>
              <w:t>maxOccurs = 1 minOccurs = 1</w:t>
            </w:r>
          </w:p>
          <w:p w:rsidR="000215C5" w:rsidRDefault="00703023">
            <w:pPr>
              <w:spacing w:after="120"/>
              <w:jc w:val="both"/>
            </w:pPr>
            <w:r>
              <w:rPr>
                <w:b/>
              </w:rPr>
              <w:t>Vägledning om hur man fyller i mallposten</w:t>
            </w:r>
            <w:r>
              <w:t>: Krävs. Ange om allmänna förvaltningsmål har fastställts för floders kontinuitet.</w:t>
            </w:r>
          </w:p>
        </w:tc>
      </w:tr>
      <w:tr w:rsidR="000215C5">
        <w:tc>
          <w:tcPr>
            <w:tcW w:w="9850" w:type="dxa"/>
            <w:shd w:val="clear" w:color="auto" w:fill="auto"/>
          </w:tcPr>
          <w:p w:rsidR="000215C5" w:rsidRDefault="00703023">
            <w:pPr>
              <w:spacing w:after="120"/>
              <w:jc w:val="both"/>
              <w:rPr>
                <w:b/>
              </w:rPr>
            </w:pPr>
            <w:r>
              <w:rPr>
                <w:b/>
              </w:rPr>
              <w:t>Mallpost</w:t>
            </w:r>
            <w:r>
              <w:t>:</w:t>
            </w:r>
            <w:r>
              <w:rPr>
                <w:b/>
              </w:rPr>
              <w:t xml:space="preserve"> </w:t>
            </w:r>
            <w:r>
              <w:t>managementObjectivesContinuityQuantitative</w:t>
            </w:r>
          </w:p>
          <w:p w:rsidR="000215C5" w:rsidRDefault="00703023">
            <w:pPr>
              <w:spacing w:after="120"/>
              <w:jc w:val="both"/>
            </w:pPr>
            <w:r>
              <w:rPr>
                <w:b/>
              </w:rPr>
              <w:t xml:space="preserve">Fälttyp/alternativ: </w:t>
            </w:r>
            <w:r>
              <w:t>YesNoCode_Enum: Yes, No</w:t>
            </w:r>
          </w:p>
          <w:p w:rsidR="000215C5" w:rsidRDefault="00703023">
            <w:pPr>
              <w:spacing w:after="120"/>
              <w:jc w:val="both"/>
            </w:pPr>
            <w:r>
              <w:rPr>
                <w:b/>
              </w:rPr>
              <w:t xml:space="preserve">Egenskaper: </w:t>
            </w:r>
            <w:r>
              <w:t>maxOccurs = 1 minOccurs = 0</w:t>
            </w:r>
          </w:p>
          <w:p w:rsidR="000215C5" w:rsidRDefault="00703023">
            <w:pPr>
              <w:spacing w:after="120"/>
              <w:jc w:val="both"/>
            </w:pPr>
            <w:r>
              <w:rPr>
                <w:b/>
              </w:rPr>
              <w:t>Vägledning om hur man fyller i mallposten</w:t>
            </w:r>
            <w:r>
              <w:t>: Villkorlig. Ange om kvantitativa mål har fastställts för floders kontinuitet (t.ex. kilometer sammanbundna floder, antal hinder som måste göras framkomliga osv.).</w:t>
            </w:r>
          </w:p>
          <w:p w:rsidR="000215C5" w:rsidRDefault="00703023">
            <w:pPr>
              <w:spacing w:after="120"/>
              <w:jc w:val="both"/>
              <w:rPr>
                <w:b/>
              </w:rPr>
            </w:pPr>
            <w:r>
              <w:rPr>
                <w:b/>
              </w:rPr>
              <w:t>Kvalitetskontroller</w:t>
            </w:r>
            <w:r>
              <w:t>: Villkorlig kontroll: Rapportera om managementObjectivesContinuity är ”Yes”.</w:t>
            </w:r>
          </w:p>
        </w:tc>
      </w:tr>
      <w:tr w:rsidR="000215C5">
        <w:tc>
          <w:tcPr>
            <w:tcW w:w="9850" w:type="dxa"/>
            <w:shd w:val="clear" w:color="auto" w:fill="auto"/>
          </w:tcPr>
          <w:p w:rsidR="000215C5" w:rsidRDefault="00703023">
            <w:pPr>
              <w:spacing w:after="120"/>
              <w:jc w:val="both"/>
              <w:rPr>
                <w:b/>
              </w:rPr>
            </w:pPr>
            <w:r>
              <w:rPr>
                <w:b/>
              </w:rPr>
              <w:t>Mallpost</w:t>
            </w:r>
            <w:r>
              <w:t>:</w:t>
            </w:r>
            <w:r>
              <w:rPr>
                <w:b/>
              </w:rPr>
              <w:t xml:space="preserve"> </w:t>
            </w:r>
            <w:r>
              <w:t>managementObjectivesReference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Ange hänvisningar till de dokument och avsnitt som innehåller relevant information om förvaltningsmålen. Vägledning om vilka uppgifter som bör ingå i detta dokument ges i avsnitt </w:t>
            </w:r>
            <w:r>
              <w:fldChar w:fldCharType="begin"/>
            </w:r>
            <w:r>
              <w:instrText xml:space="preserve"> REF _Ref402956425 \r \h  \* MERGEFORMAT </w:instrText>
            </w:r>
            <w:r>
              <w:fldChar w:fldCharType="separate"/>
            </w:r>
            <w:r>
              <w:rPr>
                <w:szCs w:val="24"/>
              </w:rPr>
              <w:t>7.5.2.3</w:t>
            </w:r>
            <w:r>
              <w:fldChar w:fldCharType="end"/>
            </w:r>
            <w:r>
              <w:t>.</w:t>
            </w:r>
          </w:p>
          <w:p w:rsidR="000215C5" w:rsidRDefault="00703023">
            <w:pPr>
              <w:spacing w:after="120"/>
              <w:jc w:val="both"/>
            </w:pPr>
            <w:r>
              <w:rPr>
                <w:b/>
              </w:rPr>
              <w:t>Kvalitetskontroller</w:t>
            </w:r>
            <w:r>
              <w:t>: Villkorlig kontroll: Rapportera om managementObjectivesContinuity eller managementObjectivesNutrients är ”Yes”.</w:t>
            </w:r>
          </w:p>
        </w:tc>
      </w:tr>
      <w:tr w:rsidR="000215C5">
        <w:tc>
          <w:tcPr>
            <w:tcW w:w="9850" w:type="dxa"/>
            <w:shd w:val="clear" w:color="auto" w:fill="auto"/>
          </w:tcPr>
          <w:p w:rsidR="000215C5" w:rsidRDefault="00703023">
            <w:pPr>
              <w:spacing w:after="120"/>
              <w:jc w:val="both"/>
              <w:rPr>
                <w:b/>
              </w:rPr>
            </w:pPr>
            <w:r>
              <w:rPr>
                <w:b/>
              </w:rPr>
              <w:t>Mallpost</w:t>
            </w:r>
            <w:r>
              <w:t>:</w:t>
            </w:r>
            <w:r>
              <w:rPr>
                <w:b/>
              </w:rPr>
              <w:t xml:space="preserve"> </w:t>
            </w:r>
            <w:r>
              <w:t>waterResourcePlans</w:t>
            </w:r>
          </w:p>
          <w:p w:rsidR="000215C5" w:rsidRDefault="00703023">
            <w:pPr>
              <w:spacing w:after="120"/>
              <w:jc w:val="both"/>
            </w:pPr>
            <w:r>
              <w:rPr>
                <w:b/>
              </w:rPr>
              <w:t xml:space="preserve">Fälttyp/alternativ: </w:t>
            </w:r>
            <w:r>
              <w:t>YesNoRBMPCode_Union_Enum: Yes, No, RBMP</w:t>
            </w:r>
          </w:p>
          <w:p w:rsidR="000215C5" w:rsidRDefault="00703023">
            <w:pPr>
              <w:spacing w:after="120"/>
              <w:jc w:val="both"/>
            </w:pPr>
            <w:r>
              <w:rPr>
                <w:b/>
              </w:rPr>
              <w:t xml:space="preserve">Egenskaper: </w:t>
            </w:r>
            <w:r>
              <w:t>maxOccurs = 1 minOccurs = 1</w:t>
            </w:r>
          </w:p>
          <w:p w:rsidR="000215C5" w:rsidRDefault="00703023">
            <w:pPr>
              <w:spacing w:after="120"/>
              <w:jc w:val="both"/>
            </w:pPr>
            <w:r>
              <w:rPr>
                <w:b/>
              </w:rPr>
              <w:t>Vägledning om hur man fyller i mallposten</w:t>
            </w:r>
            <w:r>
              <w:t xml:space="preserve">: Krävs. Ange om separata planer för vattenresurser har utformats för uttag och e-flöden eller om denna punkt finns med i förvaltningsplanen. </w:t>
            </w:r>
          </w:p>
        </w:tc>
      </w:tr>
      <w:tr w:rsidR="000215C5">
        <w:tc>
          <w:tcPr>
            <w:tcW w:w="9850" w:type="dxa"/>
            <w:shd w:val="clear" w:color="auto" w:fill="auto"/>
          </w:tcPr>
          <w:p w:rsidR="000215C5" w:rsidRDefault="00703023">
            <w:pPr>
              <w:spacing w:after="120"/>
              <w:jc w:val="both"/>
              <w:rPr>
                <w:b/>
              </w:rPr>
            </w:pPr>
            <w:r>
              <w:rPr>
                <w:b/>
              </w:rPr>
              <w:t>Mallpost</w:t>
            </w:r>
            <w:r>
              <w:t>:</w:t>
            </w:r>
            <w:r>
              <w:rPr>
                <w:b/>
              </w:rPr>
              <w:t xml:space="preserve"> </w:t>
            </w:r>
            <w:r>
              <w:t>waterResourcePlansReference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pPr>
            <w:r>
              <w:rPr>
                <w:b/>
              </w:rPr>
              <w:t xml:space="preserve">Egenskaper: </w:t>
            </w:r>
            <w:r>
              <w:t>maxOccurs = unbounded minOccurs = 0</w:t>
            </w:r>
          </w:p>
          <w:p w:rsidR="000215C5" w:rsidRDefault="00703023">
            <w:pPr>
              <w:spacing w:after="120"/>
              <w:jc w:val="both"/>
            </w:pPr>
            <w:r>
              <w:rPr>
                <w:b/>
              </w:rPr>
              <w:t>Vägledning om hur man fyller i mallposten</w:t>
            </w:r>
            <w:r>
              <w:t xml:space="preserve">: Villkorlig. Om planer för vattenresurser har utformats, ladda upp eller ange hyperlänkar till relevanta dokument. </w:t>
            </w:r>
          </w:p>
          <w:p w:rsidR="000215C5" w:rsidRDefault="00703023">
            <w:pPr>
              <w:spacing w:after="120"/>
              <w:jc w:val="both"/>
              <w:rPr>
                <w:b/>
              </w:rPr>
            </w:pPr>
            <w:r>
              <w:rPr>
                <w:b/>
              </w:rPr>
              <w:t>Kvalitetskontroller</w:t>
            </w:r>
            <w:r>
              <w:t>: Villkorlig kontroll: Rapportera om waterResourcePlans är ”Yes”.</w:t>
            </w:r>
          </w:p>
        </w:tc>
      </w:tr>
    </w:tbl>
    <w:p w:rsidR="000215C5" w:rsidRDefault="000215C5">
      <w:pPr>
        <w:jc w:val="both"/>
      </w:pPr>
    </w:p>
    <w:p w:rsidR="000215C5" w:rsidRDefault="00703023">
      <w:pPr>
        <w:pStyle w:val="Rubrik4"/>
      </w:pPr>
      <w:bookmarkStart w:id="433" w:name="_Ref402956425"/>
      <w:r>
        <w:t>Vägledning om innehållet i förvaltningsplanerna för avrinningsdistrikt/bakgrundsdokument</w:t>
      </w:r>
      <w:bookmarkEnd w:id="433"/>
    </w:p>
    <w:p w:rsidR="000215C5" w:rsidRDefault="00703023">
      <w:pPr>
        <w:jc w:val="both"/>
      </w:pPr>
      <w:r>
        <w:t>Nedan ges vägledning om de uppgifter som kommissionen förväntar sig att medlemsstaterna lämnar i de relevanta kapitlen i förvaltningsplanerna eller bakgrundsdokumenten om förvaltningsmål har fastställts.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numPr>
          <w:ilvl w:val="0"/>
          <w:numId w:val="26"/>
        </w:numPr>
        <w:jc w:val="both"/>
      </w:pPr>
      <w:r>
        <w:t>För näringsämnesbelastning, ange nuvarande näringsämnesbelastning, målet avseende näringsämnesbelastning för varje avrinningsdistrikt/delavrinningsdistrikt och den minskade belastning som krävs för de berörda grupperna av ytvattenförekomster.</w:t>
      </w:r>
    </w:p>
    <w:p w:rsidR="000215C5" w:rsidRDefault="00703023">
      <w:pPr>
        <w:numPr>
          <w:ilvl w:val="0"/>
          <w:numId w:val="26"/>
        </w:numPr>
        <w:jc w:val="both"/>
      </w:pPr>
      <w:r>
        <w:t>För kontinuitet, ange nuvarande status för varje delavrinningsdistrikts kontinuitet (ja, nej, delvis). Denna information ska lämnas för åren 2015, 2021 och 2027 samt för det måldatum då delavrinningsdistriktet ska vara förbunden med flodnätet.</w:t>
      </w:r>
    </w:p>
    <w:p w:rsidR="000215C5" w:rsidRDefault="00703023">
      <w:pPr>
        <w:jc w:val="both"/>
      </w:pPr>
      <w:r>
        <w:t>Medlemsstaterna får också ta med uppgifter om andra förvaltningsmål som har fastställts för andra parametrar.</w:t>
      </w:r>
    </w:p>
    <w:p w:rsidR="000215C5" w:rsidRDefault="00703023">
      <w:pPr>
        <w:pStyle w:val="Rubrik2"/>
        <w:jc w:val="both"/>
      </w:pPr>
      <w:bookmarkStart w:id="434" w:name="_Toc425522068"/>
      <w:bookmarkStart w:id="435" w:name="_Toc432666080"/>
      <w:bookmarkStart w:id="436" w:name="_Toc437520276"/>
      <w:r>
        <w:t>Definition av betydande påverkan och effekter</w:t>
      </w:r>
      <w:bookmarkEnd w:id="434"/>
      <w:bookmarkEnd w:id="435"/>
      <w:bookmarkEnd w:id="436"/>
    </w:p>
    <w:p w:rsidR="000215C5" w:rsidRDefault="00703023">
      <w:pPr>
        <w:pStyle w:val="Rubrik3"/>
      </w:pPr>
      <w:bookmarkStart w:id="437" w:name="_Toc375220092"/>
      <w:r>
        <w:t>Inledning</w:t>
      </w:r>
    </w:p>
    <w:p w:rsidR="000215C5" w:rsidRDefault="00703023">
      <w:pPr>
        <w:pStyle w:val="Text4"/>
        <w:tabs>
          <w:tab w:val="clear" w:pos="2302"/>
        </w:tabs>
        <w:ind w:left="0"/>
        <w:jc w:val="both"/>
      </w:pPr>
      <w:r>
        <w:t>En viktig aspekt av karakteriseringen av ytvattenförekomster är bedömningen av risken för att ytvattenförekomsten inte uppnår vattendirektivets mål (2015) om inte lämpliga åtgärder vidtas. Resultaten av riskbedömningen ligger till grund för övervakningen av ytvattenförekomster samt klassificering av status. Det är mycket viktigt att de metoder som används för riskbedömningen är ändamålsenliga, dvs. att det är möjligt att kartlägga och kvantifiera all betydande påverkan inom avrinningsdistriktet och hur de eventuellt kan påverka ytvattenförekomsternas status (CIS</w:t>
      </w:r>
      <w:r w:rsidR="005100D0">
        <w:noBreakHyphen/>
      </w:r>
      <w:r>
        <w:t>vägledningsdokument nr 3</w:t>
      </w:r>
      <w:r>
        <w:rPr>
          <w:rStyle w:val="Fotnotsreferens"/>
        </w:rPr>
        <w:footnoteReference w:id="94"/>
      </w:r>
      <w:r>
        <w:t>). Om så inte är fallet kan kostsamma åtgärder riktas på fel sätt och det oväntade kan inträffa att målen inte uppfylls.</w:t>
      </w:r>
    </w:p>
    <w:p w:rsidR="000215C5" w:rsidRDefault="00703023">
      <w:pPr>
        <w:pStyle w:val="Rubrik3"/>
      </w:pPr>
      <w:r>
        <w:t>Hur kommer kommissionen och Europeiska miljöbyrån att använda den rapporterade informationen?</w:t>
      </w:r>
    </w:p>
    <w:p w:rsidR="000215C5" w:rsidRDefault="00703023">
      <w:pPr>
        <w:jc w:val="both"/>
      </w:pPr>
      <w:r>
        <w:t>Kommissionen kommer att använda denna information för att försäkra sig om att analysen av påverkan och åtgärder har utförts enligt vattendirektivets bestämmelser och på ett konsekvent och jämförbart sätt inom EU.</w:t>
      </w:r>
    </w:p>
    <w:p w:rsidR="000215C5" w:rsidRDefault="00703023">
      <w:pPr>
        <w:jc w:val="both"/>
      </w:pPr>
      <w:r>
        <w:t>Förutom efterlevnadsbedömningen kommer en serie resultat att tas fram för att identifiera de vanligaste verktygen för bedömningen av påverkan och effekter i syfte att främja bästa praxis.</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3"/>
      </w:pPr>
      <w:r>
        <w:t>Innehåll i rapporteringen 2016</w:t>
      </w:r>
      <w:bookmarkEnd w:id="437"/>
      <w:r>
        <w:t xml:space="preserve"> </w:t>
      </w:r>
    </w:p>
    <w:p w:rsidR="000215C5" w:rsidRDefault="00703023">
      <w:pPr>
        <w:pStyle w:val="Rubrik4"/>
      </w:pPr>
      <w:r>
        <w:t>Skiss över mallarna</w:t>
      </w:r>
    </w:p>
    <w:p w:rsidR="000215C5" w:rsidRDefault="00703023">
      <w:pPr>
        <w:jc w:val="both"/>
      </w:pPr>
      <w:r>
        <w:t>Se bilaga 10.5.</w:t>
      </w:r>
    </w:p>
    <w:p w:rsidR="000215C5" w:rsidRDefault="00703023">
      <w:pPr>
        <w:pStyle w:val="Rubrik4"/>
      </w:pPr>
      <w:r>
        <w:t>Information och uppgifter som ska rapporteras med hjälp av mallarna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SWMET (fortsättning)</w:t>
            </w:r>
          </w:p>
        </w:tc>
      </w:tr>
      <w:tr w:rsidR="000215C5">
        <w:tc>
          <w:tcPr>
            <w:tcW w:w="9853" w:type="dxa"/>
            <w:shd w:val="clear" w:color="auto" w:fill="auto"/>
          </w:tcPr>
          <w:p w:rsidR="000215C5" w:rsidRDefault="00703023">
            <w:pPr>
              <w:spacing w:after="120"/>
              <w:jc w:val="both"/>
              <w:rPr>
                <w:b/>
                <w:i/>
                <w:szCs w:val="24"/>
              </w:rPr>
            </w:pPr>
            <w:r>
              <w:rPr>
                <w:b/>
                <w:i/>
              </w:rPr>
              <w:t>Class SWPressures</w:t>
            </w:r>
          </w:p>
          <w:p w:rsidR="000215C5" w:rsidRDefault="00703023">
            <w:pPr>
              <w:spacing w:after="120"/>
              <w:jc w:val="both"/>
              <w:rPr>
                <w:i/>
                <w:szCs w:val="24"/>
              </w:rPr>
            </w:pPr>
            <w:r>
              <w:rPr>
                <w:b/>
                <w:i/>
              </w:rPr>
              <w:t>Egenskaper</w:t>
            </w:r>
            <w:r>
              <w:rPr>
                <w:i/>
              </w:rPr>
              <w:t>: maxOccurs = 1 minOccurs = 1</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swPressuresNotAssessed</w:t>
            </w:r>
          </w:p>
          <w:p w:rsidR="000215C5" w:rsidRDefault="00703023">
            <w:pPr>
              <w:spacing w:after="120"/>
              <w:jc w:val="both"/>
              <w:rPr>
                <w:szCs w:val="24"/>
              </w:rPr>
            </w:pPr>
            <w:r>
              <w:rPr>
                <w:b/>
              </w:rPr>
              <w:t xml:space="preserve">Fälttyp/alternativ: </w:t>
            </w:r>
            <w:r>
              <w:t>SignificantPressureType_Enum (se bilaga 1a)</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Välj de typer av påverkan från uppräkningslistan som inte har bedömts (dvs. typer av påverkan som inte har beaktats eftersom de inte ansågs viktiga för avrinningsdistriktet, ingen information tillgänglig eller andra skäl). Om alla typer av påverkan har bedömts, ange ”Not applicable”. Alternativet ”No significant pressure” är inte giltigt.</w:t>
            </w:r>
          </w:p>
        </w:tc>
      </w:tr>
      <w:tr w:rsidR="000215C5">
        <w:tc>
          <w:tcPr>
            <w:tcW w:w="9853" w:type="dxa"/>
            <w:shd w:val="clear" w:color="auto" w:fill="auto"/>
          </w:tcPr>
          <w:p w:rsidR="000215C5" w:rsidRDefault="00703023">
            <w:pPr>
              <w:spacing w:after="120"/>
              <w:jc w:val="both"/>
              <w:rPr>
                <w:b/>
                <w:szCs w:val="24"/>
              </w:rPr>
            </w:pPr>
            <w:r>
              <w:rPr>
                <w:b/>
              </w:rPr>
              <w:t>Mallpost</w:t>
            </w:r>
            <w:r>
              <w:t>: swSignificantPressurePointSourceTools</w:t>
            </w:r>
          </w:p>
          <w:p w:rsidR="000215C5" w:rsidRDefault="00703023">
            <w:pPr>
              <w:spacing w:after="120"/>
              <w:jc w:val="both"/>
              <w:rPr>
                <w:szCs w:val="24"/>
              </w:rPr>
            </w:pPr>
            <w:r>
              <w:rPr>
                <w:b/>
              </w:rPr>
              <w:t xml:space="preserve">Fälttyp/alternativ: </w:t>
            </w:r>
            <w:r>
              <w:t xml:space="preserve">SignificantPressureTools_Enum: </w:t>
            </w:r>
          </w:p>
          <w:p w:rsidR="000215C5" w:rsidRDefault="00703023">
            <w:pPr>
              <w:spacing w:after="120"/>
              <w:jc w:val="both"/>
              <w:rPr>
                <w:szCs w:val="24"/>
              </w:rPr>
            </w:pPr>
            <w: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Rapportera de verktyg som har använts för att fastställa betydande påverkan från punktkällorna. Numeriska verktyg omfattar modelleringsverktyg.</w:t>
            </w:r>
          </w:p>
        </w:tc>
      </w:tr>
      <w:tr w:rsidR="000215C5">
        <w:tc>
          <w:tcPr>
            <w:tcW w:w="9853" w:type="dxa"/>
            <w:shd w:val="clear" w:color="auto" w:fill="auto"/>
          </w:tcPr>
          <w:p w:rsidR="000215C5" w:rsidRDefault="00703023">
            <w:pPr>
              <w:spacing w:after="120"/>
              <w:jc w:val="both"/>
              <w:rPr>
                <w:b/>
                <w:szCs w:val="24"/>
              </w:rPr>
            </w:pPr>
            <w:r>
              <w:rPr>
                <w:b/>
              </w:rPr>
              <w:t>Mallpost</w:t>
            </w:r>
            <w:r>
              <w:t>: swSignificantPressureDiffuseSourceTools</w:t>
            </w:r>
          </w:p>
          <w:p w:rsidR="000215C5" w:rsidRDefault="00703023">
            <w:pPr>
              <w:spacing w:after="120"/>
              <w:jc w:val="both"/>
              <w:rPr>
                <w:szCs w:val="24"/>
              </w:rPr>
            </w:pPr>
            <w:r>
              <w:rPr>
                <w:b/>
              </w:rPr>
              <w:t xml:space="preserve">Fälttyp/alternativ: </w:t>
            </w:r>
            <w:r>
              <w:t>SignificantPressureTools_Enum:</w:t>
            </w:r>
          </w:p>
          <w:p w:rsidR="000215C5" w:rsidRDefault="00703023">
            <w:pPr>
              <w:spacing w:after="120"/>
              <w:jc w:val="both"/>
              <w:rPr>
                <w:szCs w:val="24"/>
              </w:rPr>
            </w:pPr>
            <w: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Rapportera de verktyg som har använts för att fastställa betydande påverkan från diffusa källor. Numeriska verktyg omfattar modelleringsverktyg.</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swSignificantPressureWaterAbstractionTools</w:t>
            </w:r>
          </w:p>
          <w:p w:rsidR="000215C5" w:rsidRDefault="00703023">
            <w:pPr>
              <w:spacing w:after="120"/>
              <w:jc w:val="both"/>
              <w:rPr>
                <w:szCs w:val="24"/>
              </w:rPr>
            </w:pPr>
            <w:r>
              <w:rPr>
                <w:b/>
              </w:rPr>
              <w:t xml:space="preserve">Fälttyp/alternativ: </w:t>
            </w:r>
            <w:r>
              <w:t>SignificantPressureTools_Enum:</w:t>
            </w:r>
          </w:p>
          <w:p w:rsidR="000215C5" w:rsidRPr="00FD78F1" w:rsidRDefault="00703023">
            <w:pPr>
              <w:spacing w:after="120"/>
              <w:jc w:val="both"/>
              <w:rPr>
                <w:szCs w:val="24"/>
                <w:lang w:val="en-GB"/>
              </w:rPr>
            </w:pPr>
            <w:r w:rsidRPr="00FD78F1">
              <w:rPr>
                <w:lang w:val="en-GB"/>
              </w:rP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Pr="00FD78F1" w:rsidRDefault="00703023">
            <w:pPr>
              <w:spacing w:after="120"/>
              <w:jc w:val="both"/>
              <w:rPr>
                <w:szCs w:val="24"/>
                <w:lang w:val="en-GB"/>
              </w:rPr>
            </w:pPr>
            <w:r w:rsidRPr="00FD78F1">
              <w:rPr>
                <w:b/>
                <w:lang w:val="en-GB"/>
              </w:rPr>
              <w:t xml:space="preserve">Egenskaper: </w:t>
            </w:r>
            <w:r w:rsidRPr="00FD78F1">
              <w:rPr>
                <w:lang w:val="en-GB"/>
              </w:rPr>
              <w:t>maxOccurs = 1 minOccurs = 1</w:t>
            </w:r>
          </w:p>
          <w:p w:rsidR="000215C5" w:rsidRDefault="00703023">
            <w:pPr>
              <w:spacing w:after="120"/>
              <w:jc w:val="both"/>
              <w:rPr>
                <w:szCs w:val="24"/>
              </w:rPr>
            </w:pPr>
            <w:r>
              <w:rPr>
                <w:b/>
              </w:rPr>
              <w:t>Vägledning om hur man fyller i mallposten</w:t>
            </w:r>
            <w:r>
              <w:t>: Krävs. Rapportera de verktyg som har använts för att fastställa betydande påverkan till följd av vattenuttag. Numeriska verktyg omfattar modelleringsverktyg.</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swSignificantPressureWaterFlowTools</w:t>
            </w:r>
          </w:p>
          <w:p w:rsidR="000215C5" w:rsidRDefault="00703023">
            <w:pPr>
              <w:spacing w:after="120"/>
              <w:jc w:val="both"/>
              <w:rPr>
                <w:szCs w:val="24"/>
              </w:rPr>
            </w:pPr>
            <w:r>
              <w:rPr>
                <w:b/>
              </w:rPr>
              <w:t xml:space="preserve">Fälttyp/alternativ: </w:t>
            </w:r>
            <w:r>
              <w:t>SignificantPressureTools_Enum:</w:t>
            </w:r>
          </w:p>
          <w:p w:rsidR="000215C5" w:rsidRPr="00FD78F1" w:rsidRDefault="00703023">
            <w:pPr>
              <w:spacing w:after="120"/>
              <w:jc w:val="both"/>
              <w:rPr>
                <w:szCs w:val="24"/>
                <w:lang w:val="en-GB"/>
              </w:rPr>
            </w:pPr>
            <w:r w:rsidRPr="00FD78F1">
              <w:rPr>
                <w:lang w:val="en-GB"/>
              </w:rP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Pr="00FD78F1" w:rsidRDefault="00703023">
            <w:pPr>
              <w:spacing w:after="120"/>
              <w:jc w:val="both"/>
              <w:rPr>
                <w:szCs w:val="24"/>
                <w:lang w:val="en-GB"/>
              </w:rPr>
            </w:pPr>
            <w:r w:rsidRPr="00FD78F1">
              <w:rPr>
                <w:b/>
                <w:lang w:val="en-GB"/>
              </w:rPr>
              <w:t xml:space="preserve">Egenskaper: </w:t>
            </w:r>
            <w:r w:rsidRPr="00FD78F1">
              <w:rPr>
                <w:lang w:val="en-GB"/>
              </w:rPr>
              <w:t>maxOccurs = 1 minOccurs = 1</w:t>
            </w:r>
          </w:p>
          <w:p w:rsidR="000215C5" w:rsidRDefault="00703023">
            <w:pPr>
              <w:spacing w:after="120"/>
              <w:jc w:val="both"/>
              <w:rPr>
                <w:szCs w:val="24"/>
              </w:rPr>
            </w:pPr>
            <w:r>
              <w:rPr>
                <w:b/>
              </w:rPr>
              <w:t>Vägledning om hur man fyller i mallposten</w:t>
            </w:r>
            <w:r>
              <w:t>: Krävs. Rapportera de verktyg som har använts för att fastställa betydande påverkan till följd av reglering av vattenflödet samt morfologiska ändringar. Numeriska verktyg omfattar modelleringsverktyg.</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 xml:space="preserve">swSignificantPressureOtherSourceTools </w:t>
            </w:r>
          </w:p>
          <w:p w:rsidR="000215C5" w:rsidRDefault="00703023">
            <w:pPr>
              <w:spacing w:after="120"/>
              <w:jc w:val="both"/>
              <w:rPr>
                <w:szCs w:val="24"/>
              </w:rPr>
            </w:pPr>
            <w:r>
              <w:rPr>
                <w:b/>
              </w:rPr>
              <w:t xml:space="preserve">Fälttyp/alternativ: </w:t>
            </w:r>
            <w:r>
              <w:t>SignificantPressureTools_Enum:</w:t>
            </w:r>
          </w:p>
          <w:p w:rsidR="000215C5" w:rsidRPr="00FD78F1" w:rsidRDefault="00703023">
            <w:pPr>
              <w:spacing w:after="120"/>
              <w:jc w:val="both"/>
              <w:rPr>
                <w:szCs w:val="24"/>
                <w:lang w:val="en-GB"/>
              </w:rPr>
            </w:pPr>
            <w:r w:rsidRPr="00FD78F1">
              <w:rPr>
                <w:lang w:val="en-GB"/>
              </w:rP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Pr="00FD78F1" w:rsidRDefault="00703023">
            <w:pPr>
              <w:spacing w:after="120"/>
              <w:jc w:val="both"/>
              <w:rPr>
                <w:szCs w:val="24"/>
                <w:lang w:val="en-GB"/>
              </w:rPr>
            </w:pPr>
            <w:r w:rsidRPr="00FD78F1">
              <w:rPr>
                <w:b/>
                <w:lang w:val="en-GB"/>
              </w:rPr>
              <w:t xml:space="preserve">Egenskaper: </w:t>
            </w:r>
            <w:r w:rsidRPr="00FD78F1">
              <w:rPr>
                <w:lang w:val="en-GB"/>
              </w:rPr>
              <w:t>maxOccurs = 1 minOccurs = 1</w:t>
            </w:r>
          </w:p>
          <w:p w:rsidR="000215C5" w:rsidRDefault="00703023">
            <w:pPr>
              <w:spacing w:after="120"/>
              <w:jc w:val="both"/>
              <w:rPr>
                <w:szCs w:val="24"/>
              </w:rPr>
            </w:pPr>
            <w:r>
              <w:rPr>
                <w:b/>
              </w:rPr>
              <w:t>Vägledning om hur man fyller i mallposten</w:t>
            </w:r>
            <w:r>
              <w:t xml:space="preserve">: Krävs. Rapportera de verktyg som har använts för att fastställa betydande påverkan från andra källor. Numeriska verktyg omfattar modelleringsverktyg.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swSignificanceDefinition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betydelsen har definierats i form av gränsvärden.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swSignificanceLinkFailure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definitionen av betydelse är kopplad till eventuellt ej uppnådda mål. </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 xml:space="preserve">swPressuresReference </w:t>
            </w:r>
          </w:p>
          <w:p w:rsidR="000215C5" w:rsidRDefault="00703023">
            <w:pPr>
              <w:spacing w:after="120"/>
              <w:jc w:val="both"/>
              <w:rPr>
                <w:szCs w:val="24"/>
              </w:rPr>
            </w:pPr>
            <w:r>
              <w:rPr>
                <w:b/>
              </w:rPr>
              <w:t>Fälttyp/alternativ:</w:t>
            </w:r>
            <w:r>
              <w:t xml:space="preserve"> ReferenceType (se bilaga 9)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Vägledning om hur man fyller i mallposten</w:t>
            </w:r>
            <w:r>
              <w:t xml:space="preserve">: Krävs. Ange hänvisningar eller hyperlänkar till dokument och avsnitt som innehåller annan relevant information om typer av påverkan. Vägledning om vilka uppgifter som bör ingå i detta dokument ges i avsnitt </w:t>
            </w:r>
            <w:r>
              <w:fldChar w:fldCharType="begin"/>
            </w:r>
            <w:r>
              <w:instrText xml:space="preserve"> REF _Ref402956593 \r \h  \* MERGEFORMAT </w:instrText>
            </w:r>
            <w:r>
              <w:fldChar w:fldCharType="separate"/>
            </w:r>
            <w:r>
              <w:rPr>
                <w:szCs w:val="24"/>
              </w:rPr>
              <w:t>7.6.3.3</w:t>
            </w:r>
            <w:r>
              <w:fldChar w:fldCharType="end"/>
            </w:r>
            <w:r>
              <w:t>.</w:t>
            </w:r>
            <w:r>
              <w:rPr>
                <w:b/>
              </w:rPr>
              <w:t xml:space="preserve"> </w:t>
            </w:r>
          </w:p>
        </w:tc>
      </w:tr>
    </w:tbl>
    <w:p w:rsidR="000215C5" w:rsidRDefault="000215C5">
      <w:pPr>
        <w:jc w:val="both"/>
      </w:pPr>
    </w:p>
    <w:p w:rsidR="000215C5" w:rsidRDefault="00703023">
      <w:pPr>
        <w:pStyle w:val="Rubrik4"/>
      </w:pPr>
      <w:bookmarkStart w:id="438" w:name="_Ref402956593"/>
      <w:r>
        <w:t>Vägledning om innehållet i förvaltningsplanerna för avrinningsdistrikt/bakgrundsdokument</w:t>
      </w:r>
      <w:bookmarkEnd w:id="438"/>
    </w:p>
    <w:p w:rsidR="000215C5" w:rsidRDefault="00703023">
      <w:pPr>
        <w:jc w:val="both"/>
      </w:pPr>
      <w:r>
        <w:t>Nedan ges vägledning om de uppgifter som kommissionen förväntar sig att medlemsstaterna lämnar i de relevanta kapitlen om påverkan och effekter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pPr>
      <w:r>
        <w:t>Under SWPressuresReference, ange hänvisningar till förvaltningsplanen/bakgrundsdokument där följande information finns:</w:t>
      </w:r>
    </w:p>
    <w:p w:rsidR="000215C5" w:rsidRDefault="00703023">
      <w:pPr>
        <w:numPr>
          <w:ilvl w:val="0"/>
          <w:numId w:val="34"/>
        </w:numPr>
        <w:jc w:val="both"/>
      </w:pPr>
      <w:r>
        <w:t>Ta med en förklaring om eventuella större ändringar av kriterierna för fastställandet av påverkan sedan den första förvaltningsplanen, såsom nya typer av påverkan (t.ex. invasiva främmande arter) eller påverkan som inte rapporteras (t.ex. diffus förorening till följd av kvicksilverförorening). Lämna även en förklaring till ändringarna i den metod eller de kriterier (t.ex. gränsvärden) som används för bedömningen av betydande påverkan eller effekter.</w:t>
      </w:r>
    </w:p>
    <w:p w:rsidR="000215C5" w:rsidRDefault="00703023">
      <w:pPr>
        <w:numPr>
          <w:ilvl w:val="0"/>
          <w:numId w:val="21"/>
        </w:numPr>
        <w:jc w:val="both"/>
      </w:pPr>
      <w:r>
        <w:t xml:space="preserve">Lämna uppgifter om metoden för definitionen av betydande påverkan, särskilt förhållandet mellan definitionen och eventuella fastställda gränsvärden, förhållandet till riskbedömningen (dvs. om betydande påverkan innebär att ytvattenförekomsten befinner sig i riskzonen) och förhållandet till status (dvs. om betydande påverkan är förenlig med god status). </w:t>
      </w:r>
    </w:p>
    <w:p w:rsidR="000215C5" w:rsidRDefault="00703023">
      <w:pPr>
        <w:numPr>
          <w:ilvl w:val="0"/>
          <w:numId w:val="21"/>
        </w:numPr>
        <w:jc w:val="both"/>
      </w:pPr>
      <w:r>
        <w:t>Information om de verktyg som används för att fastställa betydande påverkan från</w:t>
      </w:r>
    </w:p>
    <w:p w:rsidR="000215C5" w:rsidRDefault="00703023">
      <w:pPr>
        <w:numPr>
          <w:ilvl w:val="1"/>
          <w:numId w:val="21"/>
        </w:numPr>
        <w:jc w:val="both"/>
      </w:pPr>
      <w:r>
        <w:t>punktkällor,</w:t>
      </w:r>
    </w:p>
    <w:p w:rsidR="000215C5" w:rsidRDefault="00703023">
      <w:pPr>
        <w:numPr>
          <w:ilvl w:val="1"/>
          <w:numId w:val="21"/>
        </w:numPr>
        <w:jc w:val="both"/>
      </w:pPr>
      <w:r>
        <w:t>diffusa källor,</w:t>
      </w:r>
    </w:p>
    <w:p w:rsidR="000215C5" w:rsidRDefault="00703023">
      <w:pPr>
        <w:numPr>
          <w:ilvl w:val="1"/>
          <w:numId w:val="21"/>
        </w:numPr>
        <w:jc w:val="both"/>
      </w:pPr>
      <w:r>
        <w:t>uttag,</w:t>
      </w:r>
    </w:p>
    <w:p w:rsidR="000215C5" w:rsidRDefault="00703023">
      <w:pPr>
        <w:numPr>
          <w:ilvl w:val="1"/>
          <w:numId w:val="21"/>
        </w:numPr>
        <w:jc w:val="both"/>
      </w:pPr>
      <w:r>
        <w:t>reglering av vattenflöde och morfologiska förändringar,</w:t>
      </w:r>
    </w:p>
    <w:p w:rsidR="000215C5" w:rsidRDefault="00703023">
      <w:pPr>
        <w:numPr>
          <w:ilvl w:val="1"/>
          <w:numId w:val="21"/>
        </w:numPr>
        <w:jc w:val="both"/>
      </w:pPr>
      <w:r>
        <w:t>andra källor.</w:t>
      </w:r>
    </w:p>
    <w:p w:rsidR="000215C5" w:rsidRDefault="00703023">
      <w:pPr>
        <w:numPr>
          <w:ilvl w:val="0"/>
          <w:numId w:val="21"/>
        </w:numPr>
        <w:jc w:val="both"/>
      </w:pPr>
      <w:r>
        <w:t>Ange varför vissa typer av påverkan inte har tagits med i analysen av påverkan och effekter (i förekommande fall).</w:t>
      </w:r>
    </w:p>
    <w:p w:rsidR="000215C5" w:rsidRDefault="00703023">
      <w:pPr>
        <w:numPr>
          <w:ilvl w:val="0"/>
          <w:numId w:val="21"/>
        </w:numPr>
        <w:jc w:val="both"/>
      </w:pPr>
      <w:r>
        <w:t>Uppgifter om de gränsvärden som använts för att fastställa om påverkan eller effekter är betydande.</w:t>
      </w:r>
    </w:p>
    <w:p w:rsidR="000215C5" w:rsidRDefault="00703023">
      <w:pPr>
        <w:numPr>
          <w:ilvl w:val="0"/>
          <w:numId w:val="21"/>
        </w:numPr>
        <w:jc w:val="both"/>
      </w:pPr>
      <w:r>
        <w:t>Om gränsvärden inte har använts, hur har detta fastställts?</w:t>
      </w:r>
    </w:p>
    <w:p w:rsidR="000215C5" w:rsidRDefault="00703023">
      <w:pPr>
        <w:pStyle w:val="Rubrik2"/>
        <w:jc w:val="both"/>
      </w:pPr>
      <w:bookmarkStart w:id="439" w:name="_Toc400669533"/>
      <w:bookmarkStart w:id="440" w:name="_Toc400669999"/>
      <w:bookmarkStart w:id="441" w:name="_Toc400670337"/>
      <w:bookmarkStart w:id="442" w:name="_Toc400670671"/>
      <w:bookmarkStart w:id="443" w:name="_Toc400670979"/>
      <w:bookmarkStart w:id="444" w:name="_Toc400671283"/>
      <w:bookmarkStart w:id="445" w:name="_Toc400671588"/>
      <w:bookmarkStart w:id="446" w:name="_Toc400671882"/>
      <w:bookmarkStart w:id="447" w:name="_Toc400714717"/>
      <w:bookmarkStart w:id="448" w:name="_Toc400714944"/>
      <w:bookmarkStart w:id="449" w:name="_Toc400715168"/>
      <w:bookmarkStart w:id="450" w:name="_Toc400715388"/>
      <w:bookmarkStart w:id="451" w:name="_Toc400715603"/>
      <w:bookmarkStart w:id="452" w:name="_Toc400715815"/>
      <w:bookmarkStart w:id="453" w:name="_Toc400716022"/>
      <w:bookmarkStart w:id="454" w:name="_Toc400716228"/>
      <w:bookmarkStart w:id="455" w:name="_Toc400716428"/>
      <w:bookmarkStart w:id="456" w:name="_Toc400716626"/>
      <w:bookmarkStart w:id="457" w:name="_Toc400716814"/>
      <w:bookmarkStart w:id="458" w:name="_Toc400716993"/>
      <w:bookmarkStart w:id="459" w:name="_Toc400717169"/>
      <w:bookmarkStart w:id="460" w:name="_Toc400717340"/>
      <w:bookmarkStart w:id="461" w:name="_Toc400717515"/>
      <w:bookmarkStart w:id="462" w:name="_Toc400717684"/>
      <w:bookmarkStart w:id="463" w:name="_Toc400717834"/>
      <w:bookmarkStart w:id="464" w:name="_Toc400717966"/>
      <w:bookmarkStart w:id="465" w:name="_Toc400720361"/>
      <w:bookmarkStart w:id="466" w:name="_Toc400669534"/>
      <w:bookmarkStart w:id="467" w:name="_Toc400670000"/>
      <w:bookmarkStart w:id="468" w:name="_Toc400670338"/>
      <w:bookmarkStart w:id="469" w:name="_Toc400670672"/>
      <w:bookmarkStart w:id="470" w:name="_Toc400670980"/>
      <w:bookmarkStart w:id="471" w:name="_Toc400671284"/>
      <w:bookmarkStart w:id="472" w:name="_Toc400671589"/>
      <w:bookmarkStart w:id="473" w:name="_Toc400671883"/>
      <w:bookmarkStart w:id="474" w:name="_Toc400714718"/>
      <w:bookmarkStart w:id="475" w:name="_Toc400714945"/>
      <w:bookmarkStart w:id="476" w:name="_Toc400715169"/>
      <w:bookmarkStart w:id="477" w:name="_Toc400715389"/>
      <w:bookmarkStart w:id="478" w:name="_Toc400715604"/>
      <w:bookmarkStart w:id="479" w:name="_Toc400715816"/>
      <w:bookmarkStart w:id="480" w:name="_Toc400716023"/>
      <w:bookmarkStart w:id="481" w:name="_Toc400716229"/>
      <w:bookmarkStart w:id="482" w:name="_Toc400716429"/>
      <w:bookmarkStart w:id="483" w:name="_Toc400716627"/>
      <w:bookmarkStart w:id="484" w:name="_Toc400716815"/>
      <w:bookmarkStart w:id="485" w:name="_Toc400716994"/>
      <w:bookmarkStart w:id="486" w:name="_Toc400717170"/>
      <w:bookmarkStart w:id="487" w:name="_Toc400717341"/>
      <w:bookmarkStart w:id="488" w:name="_Toc400717516"/>
      <w:bookmarkStart w:id="489" w:name="_Toc400717685"/>
      <w:bookmarkStart w:id="490" w:name="_Toc400717835"/>
      <w:bookmarkStart w:id="491" w:name="_Toc400717967"/>
      <w:bookmarkStart w:id="492" w:name="_Toc400720362"/>
      <w:bookmarkStart w:id="493" w:name="_Toc375220094"/>
      <w:bookmarkStart w:id="494" w:name="_Toc386464243"/>
      <w:bookmarkStart w:id="495" w:name="_Toc425522069"/>
      <w:bookmarkStart w:id="496" w:name="_Toc432666081"/>
      <w:bookmarkStart w:id="497" w:name="_Toc437520277"/>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t>Metoder för undantag</w:t>
      </w:r>
      <w:bookmarkEnd w:id="493"/>
      <w:bookmarkEnd w:id="494"/>
      <w:bookmarkEnd w:id="495"/>
      <w:bookmarkEnd w:id="496"/>
      <w:bookmarkEnd w:id="497"/>
    </w:p>
    <w:p w:rsidR="000215C5" w:rsidRDefault="00703023">
      <w:pPr>
        <w:pStyle w:val="Rubrik3"/>
      </w:pPr>
      <w:r>
        <w:t>Inledning</w:t>
      </w:r>
    </w:p>
    <w:p w:rsidR="000215C5" w:rsidRDefault="00703023">
      <w:pPr>
        <w:pStyle w:val="Text4"/>
        <w:tabs>
          <w:tab w:val="clear" w:pos="2302"/>
        </w:tabs>
        <w:ind w:left="0"/>
        <w:jc w:val="both"/>
      </w:pPr>
      <w:r>
        <w:t>Vattendirektivets miljömål anges i artikel 4, som inriktas på långsiktig hållbar vattenförvaltning. I artikel 4.1 fastställs det allmänna mål för god status (eller potential för konstgjorda vattenförekomster eller kraftigt modifierade vattenförekomster) som ska uppnås för alla ytvattenförekomster till 2015 samt principen om att förebygga fortsatt försämrad status.</w:t>
      </w:r>
    </w:p>
    <w:p w:rsidR="000215C5" w:rsidRDefault="00703023">
      <w:pPr>
        <w:pStyle w:val="Text4"/>
        <w:tabs>
          <w:tab w:val="clear" w:pos="2302"/>
        </w:tabs>
        <w:ind w:left="0"/>
        <w:jc w:val="both"/>
      </w:pPr>
      <w:r>
        <w:t>Det finns ett antal undantag från det allmänna målet som är möjliga under vissa förhållanden. Enligt artikel 4.4 får tidsfristen förlängas till efter 2015, enligt artikel 4.5 får mindre stränga mål ställas upp, artikel 4.6 tillåter en tillfällig försämring av vattenförekomsters status, och i artikel 4.7 anges villkoren för när försämrad status eller underlåtande att uppnå vissa av vattendirektivets miljömål får tillåtas för nya modifikationer i vattenförekomsternas fysiska karakteristika samt försämring från hög till god status när detta är en följd av nya hållbara mänskliga utvecklingsverksamheter.</w:t>
      </w:r>
    </w:p>
    <w:p w:rsidR="000215C5" w:rsidRDefault="00703023">
      <w:pPr>
        <w:pStyle w:val="Text4"/>
        <w:tabs>
          <w:tab w:val="clear" w:pos="2302"/>
        </w:tabs>
        <w:ind w:left="0"/>
        <w:jc w:val="both"/>
      </w:pPr>
      <w:r>
        <w:t>Vattendirektivet utgör den allmänna ramen för undantag, men det finns utrymme för skillnader i tolkning och genomförande. Redan när direktivet började genomföras stod det klart att tillämpningen av undantag måste förklaras närmare och reglerna förtydligas. Dessa förtydliganden återfinns i CIS-vägledningsdokument nr 20 om undantag</w:t>
      </w:r>
      <w:r>
        <w:rPr>
          <w:rStyle w:val="Fotnotsreferens"/>
        </w:rPr>
        <w:footnoteReference w:id="95"/>
      </w:r>
      <w:r>
        <w:t>, som har utvecklats under flera års tid.</w:t>
      </w:r>
    </w:p>
    <w:p w:rsidR="000215C5" w:rsidRDefault="00703023">
      <w:pPr>
        <w:pStyle w:val="Rubrik3"/>
      </w:pPr>
      <w:r>
        <w:t>Hur kommer kommissionen och Europeiska miljöbyrån att använda den rapporterade informationen?</w:t>
      </w:r>
    </w:p>
    <w:p w:rsidR="000215C5" w:rsidRDefault="00703023">
      <w:pPr>
        <w:jc w:val="both"/>
      </w:pPr>
      <w:r>
        <w:t xml:space="preserve">Kommissionen kommer att använda den information som lämnas för att avgöra om den metod som används för att motivera undantag är hållfast och överensstämmer med vattendirektivets krav. </w:t>
      </w:r>
    </w:p>
    <w:p w:rsidR="000215C5" w:rsidRDefault="00703023">
      <w:pPr>
        <w:jc w:val="both"/>
      </w:pPr>
      <w:r>
        <w:t>Förutom efterlevnadsbedömningen kommer en serie resultat att tas fram för att identifiera de vanligaste verktygen för bedömningen av påverkan och effekter i syfte att främja bästa praxis.</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3"/>
      </w:pPr>
      <w:r>
        <w:t>Innehåll i rapporteringen 2016</w:t>
      </w:r>
    </w:p>
    <w:p w:rsidR="000215C5" w:rsidRDefault="00703023">
      <w:pPr>
        <w:pStyle w:val="Rubrik4"/>
      </w:pPr>
      <w:r>
        <w:t>Skiss över mallarna</w:t>
      </w:r>
    </w:p>
    <w:p w:rsidR="000215C5" w:rsidRDefault="00703023">
      <w:pPr>
        <w:jc w:val="both"/>
      </w:pPr>
      <w:r>
        <w:t>Se bilaga 10.5.</w:t>
      </w:r>
    </w:p>
    <w:p w:rsidR="000215C5" w:rsidRDefault="00703023">
      <w:pPr>
        <w:pStyle w:val="Rubrik4"/>
      </w:pPr>
      <w:r>
        <w:t>Information och uppgifter som ska rapporteras med hjälp av mallarna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SWMET (fortsättning)</w:t>
            </w:r>
          </w:p>
        </w:tc>
      </w:tr>
      <w:tr w:rsidR="000215C5">
        <w:tc>
          <w:tcPr>
            <w:tcW w:w="9853" w:type="dxa"/>
            <w:shd w:val="clear" w:color="auto" w:fill="auto"/>
          </w:tcPr>
          <w:p w:rsidR="000215C5" w:rsidRDefault="00703023">
            <w:pPr>
              <w:spacing w:after="120"/>
              <w:jc w:val="both"/>
              <w:rPr>
                <w:b/>
                <w:i/>
                <w:szCs w:val="24"/>
              </w:rPr>
            </w:pPr>
            <w:r>
              <w:rPr>
                <w:b/>
                <w:i/>
              </w:rPr>
              <w:t>Class SWExemptions</w:t>
            </w:r>
          </w:p>
          <w:p w:rsidR="000215C5" w:rsidRDefault="00703023">
            <w:pPr>
              <w:spacing w:after="120"/>
              <w:jc w:val="both"/>
              <w:rPr>
                <w:i/>
                <w:szCs w:val="24"/>
              </w:rPr>
            </w:pPr>
            <w:r>
              <w:rPr>
                <w:b/>
                <w:i/>
              </w:rPr>
              <w:t>Egenskaper</w:t>
            </w:r>
            <w:r>
              <w:rPr>
                <w:i/>
              </w:rPr>
              <w:t>: maxOccurs = 1 minOccurs = 1</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swExemption44Impact</w:t>
            </w:r>
          </w:p>
          <w:p w:rsidR="000215C5" w:rsidRDefault="00703023">
            <w:pPr>
              <w:spacing w:after="120"/>
              <w:jc w:val="both"/>
              <w:rPr>
                <w:szCs w:val="24"/>
              </w:rPr>
            </w:pPr>
            <w:r>
              <w:rPr>
                <w:b/>
              </w:rPr>
              <w:t xml:space="preserve">Fälttyp/alternativ: </w:t>
            </w:r>
            <w:r>
              <w:t xml:space="preserve">SignificantImpactType_Enum (se bilaga 1b)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Välj de effekter från uppräkningslistan som ger upphov till tillämpning av undantag enligt artikel 4.4. Fler än en effekt kan väljas. Ange ”Not applicable” om artikel 4.4-undantag inte har tillämpats.</w:t>
            </w:r>
          </w:p>
          <w:p w:rsidR="000215C5" w:rsidRDefault="00703023">
            <w:pPr>
              <w:spacing w:after="120"/>
              <w:jc w:val="both"/>
              <w:rPr>
                <w:b/>
                <w:szCs w:val="24"/>
              </w:rPr>
            </w:pPr>
            <w:r>
              <w:t>Alternativet ”</w:t>
            </w:r>
            <w:r>
              <w:rPr>
                <w:rFonts w:ascii="Calibri" w:hAnsi="Calibri"/>
                <w:color w:val="000000"/>
                <w:sz w:val="22"/>
              </w:rPr>
              <w:t>NOSI – No significant impact</w:t>
            </w:r>
            <w:r>
              <w:t>” är inte giltigt.</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swExemption44Driver</w:t>
            </w:r>
          </w:p>
          <w:p w:rsidR="000215C5" w:rsidRDefault="00703023">
            <w:pPr>
              <w:spacing w:after="120"/>
              <w:jc w:val="both"/>
              <w:rPr>
                <w:szCs w:val="24"/>
              </w:rPr>
            </w:pPr>
            <w:r>
              <w:rPr>
                <w:b/>
              </w:rPr>
              <w:t xml:space="preserve">Fälttyp/alternativ: </w:t>
            </w:r>
            <w:r>
              <w:t>Driver_Enum (se bilaga 1c)</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Välj de drivkrafter från uppräkningslistan som ger upphov till tillämpning av undantag enligt artikel 4.4. Fler än en drivkraft kan väljas. Ange ”Exemption not applied” om artikel 4.4-undantag inte har tillämpats.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swExemption45Impact</w:t>
            </w:r>
          </w:p>
          <w:p w:rsidR="000215C5" w:rsidRDefault="00703023">
            <w:pPr>
              <w:spacing w:after="120"/>
              <w:jc w:val="both"/>
              <w:rPr>
                <w:szCs w:val="24"/>
              </w:rPr>
            </w:pPr>
            <w:r>
              <w:rPr>
                <w:b/>
              </w:rPr>
              <w:t xml:space="preserve">Fälttyp/alternativ: </w:t>
            </w:r>
            <w:r>
              <w:t>SignificantImpactType_Enum (se bilaga 1b)</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Välj de effekter från uppräkningslistan som ger upphov till tillämpning av undantag enligt artikel 4.5. Fler än en effekt kan väljas. Ange ”Not applicable” om artikel 4.5-undantag inte har tillämpats.</w:t>
            </w:r>
          </w:p>
          <w:p w:rsidR="000215C5" w:rsidRDefault="00703023">
            <w:pPr>
              <w:spacing w:after="120"/>
              <w:jc w:val="both"/>
              <w:rPr>
                <w:b/>
                <w:szCs w:val="24"/>
              </w:rPr>
            </w:pPr>
            <w:r>
              <w:t>Alternativet ”</w:t>
            </w:r>
            <w:r>
              <w:rPr>
                <w:rFonts w:ascii="Calibri" w:hAnsi="Calibri"/>
                <w:color w:val="000000"/>
                <w:sz w:val="22"/>
              </w:rPr>
              <w:t>NOSI – No significant impact</w:t>
            </w:r>
            <w:r>
              <w:t>” är inte giltigt.</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swExemption45Driver</w:t>
            </w:r>
          </w:p>
          <w:p w:rsidR="000215C5" w:rsidRDefault="00703023">
            <w:pPr>
              <w:spacing w:after="120"/>
              <w:jc w:val="both"/>
              <w:rPr>
                <w:szCs w:val="24"/>
              </w:rPr>
            </w:pPr>
            <w:r>
              <w:rPr>
                <w:b/>
              </w:rPr>
              <w:t xml:space="preserve">Fälttyp/alternativ: </w:t>
            </w:r>
            <w:r>
              <w:t>Driver_Enum (se bilaga 1c)</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Vägledning om hur man fyller i mallposten</w:t>
            </w:r>
            <w:r>
              <w:t>: Krävs. Välj de drivkrafter från uppräkningslistan som ger upphov till tillämpning av undantag enligt artikel 4.5. Fler än en drivkraft kan väljas. Ange ”Exemption not applied” om artikel 4.5-undantag inte har tillämpats.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swDisproportionateCost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oproportionerligt höga kostnader har använts som skäl till att tillämpa undantag enligt artikel 4.4 eller 4.5 för ytvattenförekomster.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swDisproportionateCostScale</w:t>
            </w:r>
          </w:p>
          <w:p w:rsidR="000215C5" w:rsidRDefault="00703023">
            <w:pPr>
              <w:spacing w:after="120"/>
              <w:jc w:val="both"/>
              <w:rPr>
                <w:szCs w:val="24"/>
              </w:rPr>
            </w:pPr>
            <w:r>
              <w:rPr>
                <w:b/>
              </w:rPr>
              <w:t xml:space="preserve">Fälttyp/alternativ: </w:t>
            </w:r>
            <w:r>
              <w:t>GeographicalScale_Enum (se bilaga 8l)</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Villkorlig. Välj den skala från uppräkningslistan vid vilken kostnadsberäkningen utfördes för att bedöma oproportionerligt höga kostnader.</w:t>
            </w:r>
          </w:p>
          <w:p w:rsidR="000215C5" w:rsidRDefault="00703023">
            <w:pPr>
              <w:spacing w:after="120"/>
              <w:jc w:val="both"/>
              <w:rPr>
                <w:b/>
                <w:szCs w:val="24"/>
              </w:rPr>
            </w:pPr>
            <w:r>
              <w:rPr>
                <w:b/>
              </w:rPr>
              <w:t>Kvalitetskontroller</w:t>
            </w:r>
            <w:r>
              <w:t>: Villkorlig kontroll: rapportera om swDisproportionateCost är ”Yes”.</w:t>
            </w:r>
          </w:p>
        </w:tc>
      </w:tr>
      <w:tr w:rsidR="000215C5">
        <w:tc>
          <w:tcPr>
            <w:tcW w:w="9853" w:type="dxa"/>
            <w:shd w:val="clear" w:color="auto" w:fill="auto"/>
          </w:tcPr>
          <w:p w:rsidR="000215C5" w:rsidRPr="00D95552" w:rsidRDefault="00703023">
            <w:pPr>
              <w:spacing w:after="120"/>
              <w:jc w:val="both"/>
              <w:rPr>
                <w:b/>
                <w:szCs w:val="24"/>
                <w:lang w:val="de-DE"/>
              </w:rPr>
            </w:pPr>
            <w:r w:rsidRPr="00D95552">
              <w:rPr>
                <w:b/>
                <w:lang w:val="de-DE"/>
              </w:rPr>
              <w:t>Mallpost</w:t>
            </w:r>
            <w:r w:rsidRPr="00D95552">
              <w:rPr>
                <w:lang w:val="de-DE"/>
              </w:rPr>
              <w:t>:</w:t>
            </w:r>
            <w:r w:rsidRPr="00D95552">
              <w:rPr>
                <w:b/>
                <w:lang w:val="de-DE"/>
              </w:rPr>
              <w:t xml:space="preserve"> </w:t>
            </w:r>
            <w:r w:rsidRPr="00D95552">
              <w:rPr>
                <w:lang w:val="de-DE"/>
              </w:rPr>
              <w:t>swDisproportionateCostAnalysis</w:t>
            </w:r>
          </w:p>
          <w:p w:rsidR="000215C5" w:rsidRPr="00D95552" w:rsidRDefault="00703023">
            <w:pPr>
              <w:spacing w:after="120"/>
              <w:jc w:val="both"/>
              <w:rPr>
                <w:szCs w:val="24"/>
                <w:lang w:val="de-DE"/>
              </w:rPr>
            </w:pPr>
            <w:r w:rsidRPr="00D95552">
              <w:rPr>
                <w:b/>
                <w:lang w:val="de-DE"/>
              </w:rPr>
              <w:t xml:space="preserve">Fälttyp/alternativ: </w:t>
            </w:r>
            <w:r w:rsidRPr="00D95552">
              <w:rPr>
                <w:lang w:val="de-DE"/>
              </w:rPr>
              <w:t>DisproportionateCostAnalysis_Enum:</w:t>
            </w:r>
          </w:p>
          <w:p w:rsidR="000215C5" w:rsidRPr="00D95552" w:rsidRDefault="00703023">
            <w:pPr>
              <w:spacing w:after="120"/>
              <w:jc w:val="both"/>
              <w:rPr>
                <w:szCs w:val="24"/>
                <w:lang w:val="en-GB"/>
              </w:rPr>
            </w:pPr>
            <w:r w:rsidRPr="00D95552">
              <w:rPr>
                <w:lang w:val="en-GB"/>
              </w:rPr>
              <w:t>Cost-benefit analysis</w:t>
            </w:r>
          </w:p>
          <w:p w:rsidR="000215C5" w:rsidRPr="00FD78F1" w:rsidRDefault="00703023">
            <w:pPr>
              <w:spacing w:after="120"/>
              <w:jc w:val="both"/>
              <w:rPr>
                <w:szCs w:val="24"/>
                <w:lang w:val="en-GB"/>
              </w:rPr>
            </w:pPr>
            <w:r w:rsidRPr="00FD78F1">
              <w:rPr>
                <w:lang w:val="en-GB"/>
              </w:rPr>
              <w:t>Benefits assessment</w:t>
            </w:r>
          </w:p>
          <w:p w:rsidR="000215C5" w:rsidRPr="00FD78F1" w:rsidRDefault="00703023">
            <w:pPr>
              <w:spacing w:after="120"/>
              <w:jc w:val="both"/>
              <w:rPr>
                <w:szCs w:val="24"/>
                <w:lang w:val="en-GB"/>
              </w:rPr>
            </w:pPr>
            <w:r w:rsidRPr="00FD78F1">
              <w:rPr>
                <w:lang w:val="en-GB"/>
              </w:rPr>
              <w:t>Assessment of the consequences of non-action</w:t>
            </w:r>
          </w:p>
          <w:p w:rsidR="000215C5" w:rsidRPr="00FD78F1" w:rsidRDefault="00703023">
            <w:pPr>
              <w:spacing w:after="120"/>
              <w:jc w:val="both"/>
              <w:rPr>
                <w:szCs w:val="24"/>
                <w:lang w:val="en-GB"/>
              </w:rPr>
            </w:pPr>
            <w:r w:rsidRPr="00FD78F1">
              <w:rPr>
                <w:lang w:val="en-GB"/>
              </w:rPr>
              <w:t>Distribution of costs</w:t>
            </w:r>
          </w:p>
          <w:p w:rsidR="000215C5" w:rsidRPr="00FD78F1" w:rsidRDefault="00703023">
            <w:pPr>
              <w:spacing w:after="120"/>
              <w:jc w:val="both"/>
              <w:rPr>
                <w:szCs w:val="24"/>
                <w:lang w:val="en-GB"/>
              </w:rPr>
            </w:pPr>
            <w:r w:rsidRPr="00FD78F1">
              <w:rPr>
                <w:lang w:val="en-GB"/>
              </w:rPr>
              <w:t>Social and sectoral impacts</w:t>
            </w:r>
          </w:p>
          <w:p w:rsidR="000215C5" w:rsidRPr="00FD78F1" w:rsidRDefault="00703023">
            <w:pPr>
              <w:spacing w:after="120"/>
              <w:jc w:val="both"/>
              <w:rPr>
                <w:szCs w:val="24"/>
                <w:lang w:val="en-GB"/>
              </w:rPr>
            </w:pPr>
            <w:r w:rsidRPr="00FD78F1">
              <w:rPr>
                <w:lang w:val="en-GB"/>
              </w:rPr>
              <w:t>Affordability</w:t>
            </w:r>
          </w:p>
          <w:p w:rsidR="000215C5" w:rsidRPr="00FD78F1" w:rsidRDefault="00703023">
            <w:pPr>
              <w:spacing w:after="120"/>
              <w:jc w:val="both"/>
              <w:rPr>
                <w:szCs w:val="24"/>
                <w:lang w:val="en-GB"/>
              </w:rPr>
            </w:pPr>
            <w:r w:rsidRPr="00FD78F1">
              <w:rPr>
                <w:lang w:val="en-GB"/>
              </w:rPr>
              <w:t>Cost-effectiveness analysis</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b/>
                <w:lang w:val="en-GB"/>
              </w:rPr>
              <w:t xml:space="preserve">Egenskaper: </w:t>
            </w:r>
            <w:r w:rsidRPr="00FD78F1">
              <w:rPr>
                <w:lang w:val="en-GB"/>
              </w:rPr>
              <w:t>maxOccurs = unbounded minOccurs = 1</w:t>
            </w:r>
          </w:p>
          <w:p w:rsidR="000215C5" w:rsidRDefault="00703023">
            <w:pPr>
              <w:spacing w:after="120"/>
              <w:jc w:val="both"/>
              <w:rPr>
                <w:szCs w:val="24"/>
              </w:rPr>
            </w:pPr>
            <w:r>
              <w:rPr>
                <w:b/>
              </w:rPr>
              <w:t>Vägledning om hur man fyller i mallposten</w:t>
            </w:r>
            <w:r>
              <w:t xml:space="preserve">: Villkorlig. Välj de analysverktyg från uppräkningslistan som används för att bedöma oproportionerliga kostnader. Fler än ett analysverktyg kan väljas. </w:t>
            </w:r>
          </w:p>
          <w:p w:rsidR="000215C5" w:rsidRDefault="00703023">
            <w:pPr>
              <w:spacing w:after="120"/>
              <w:jc w:val="both"/>
              <w:rPr>
                <w:b/>
                <w:szCs w:val="24"/>
              </w:rPr>
            </w:pPr>
            <w:r>
              <w:rPr>
                <w:b/>
              </w:rPr>
              <w:t>Kvalitetskontroller</w:t>
            </w:r>
            <w:r>
              <w:t>: Villkorlig kontroll: rapportera om swDisproportionateCost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swDisproportionateCostAlternativeFinancing</w:t>
            </w:r>
          </w:p>
          <w:p w:rsidR="000215C5" w:rsidRDefault="00703023">
            <w:pPr>
              <w:spacing w:after="120"/>
              <w:jc w:val="both"/>
              <w:rPr>
                <w:szCs w:val="24"/>
              </w:rPr>
            </w:pPr>
            <w:r>
              <w:rPr>
                <w:b/>
              </w:rPr>
              <w:t xml:space="preserve">Fälttyp/alternativ: </w:t>
            </w:r>
            <w:r>
              <w:t>DisproportionateCostAlternativeFinancing_Enum:</w:t>
            </w:r>
          </w:p>
          <w:p w:rsidR="000215C5" w:rsidRPr="00D95552" w:rsidRDefault="00703023">
            <w:pPr>
              <w:spacing w:after="120"/>
              <w:jc w:val="both"/>
              <w:rPr>
                <w:szCs w:val="24"/>
                <w:lang w:val="en-GB"/>
              </w:rPr>
            </w:pPr>
            <w:r w:rsidRPr="00D95552">
              <w:rPr>
                <w:lang w:val="en-GB"/>
              </w:rPr>
              <w:t>Distribution of costs among polluters and users</w:t>
            </w:r>
          </w:p>
          <w:p w:rsidR="000215C5" w:rsidRPr="00FD78F1" w:rsidRDefault="00703023">
            <w:pPr>
              <w:spacing w:after="120"/>
              <w:jc w:val="both"/>
              <w:rPr>
                <w:szCs w:val="24"/>
                <w:lang w:val="en-GB"/>
              </w:rPr>
            </w:pPr>
            <w:r w:rsidRPr="00FD78F1">
              <w:rPr>
                <w:lang w:val="en-GB"/>
              </w:rPr>
              <w:t>Use of public budget (national level)</w:t>
            </w:r>
          </w:p>
          <w:p w:rsidR="000215C5" w:rsidRPr="00FD78F1" w:rsidRDefault="00703023">
            <w:pPr>
              <w:spacing w:after="120"/>
              <w:jc w:val="both"/>
              <w:rPr>
                <w:szCs w:val="24"/>
                <w:lang w:val="en-GB"/>
              </w:rPr>
            </w:pPr>
            <w:r w:rsidRPr="00FD78F1">
              <w:rPr>
                <w:lang w:val="en-GB"/>
              </w:rPr>
              <w:t>Use of public budget (regional level)</w:t>
            </w:r>
          </w:p>
          <w:p w:rsidR="000215C5" w:rsidRPr="00FD78F1" w:rsidRDefault="00703023">
            <w:pPr>
              <w:spacing w:after="120"/>
              <w:jc w:val="both"/>
              <w:rPr>
                <w:szCs w:val="24"/>
                <w:lang w:val="en-GB"/>
              </w:rPr>
            </w:pPr>
            <w:r w:rsidRPr="00FD78F1">
              <w:rPr>
                <w:lang w:val="en-GB"/>
              </w:rPr>
              <w:t>Use of public budget (local level)</w:t>
            </w:r>
          </w:p>
          <w:p w:rsidR="000215C5" w:rsidRPr="00FD78F1" w:rsidRDefault="00703023">
            <w:pPr>
              <w:spacing w:after="120"/>
              <w:jc w:val="both"/>
              <w:rPr>
                <w:szCs w:val="24"/>
                <w:lang w:val="en-GB"/>
              </w:rPr>
            </w:pPr>
            <w:r w:rsidRPr="00FD78F1">
              <w:rPr>
                <w:lang w:val="en-GB"/>
              </w:rPr>
              <w:t>Private investment</w:t>
            </w:r>
          </w:p>
          <w:p w:rsidR="000215C5" w:rsidRPr="00FD78F1" w:rsidRDefault="00703023">
            <w:pPr>
              <w:spacing w:after="120"/>
              <w:jc w:val="both"/>
              <w:rPr>
                <w:szCs w:val="24"/>
                <w:lang w:val="en-GB"/>
              </w:rPr>
            </w:pPr>
            <w:r w:rsidRPr="00FD78F1">
              <w:rPr>
                <w:lang w:val="en-GB"/>
              </w:rPr>
              <w:t>EU funds</w:t>
            </w:r>
          </w:p>
          <w:p w:rsidR="000215C5" w:rsidRPr="00FD78F1" w:rsidRDefault="00703023">
            <w:pPr>
              <w:spacing w:after="120"/>
              <w:jc w:val="both"/>
              <w:rPr>
                <w:szCs w:val="24"/>
                <w:lang w:val="en-GB"/>
              </w:rPr>
            </w:pPr>
            <w:r w:rsidRPr="00FD78F1">
              <w:rPr>
                <w:lang w:val="en-GB"/>
              </w:rPr>
              <w:t>International funds</w:t>
            </w:r>
          </w:p>
          <w:p w:rsidR="000215C5" w:rsidRPr="00D95552" w:rsidRDefault="00703023">
            <w:pPr>
              <w:spacing w:after="120"/>
              <w:jc w:val="both"/>
              <w:rPr>
                <w:szCs w:val="24"/>
              </w:rPr>
            </w:pPr>
            <w:r w:rsidRPr="00D95552">
              <w:t>Other</w:t>
            </w:r>
          </w:p>
          <w:p w:rsidR="000215C5" w:rsidRPr="00D95552" w:rsidRDefault="00703023">
            <w:pPr>
              <w:spacing w:after="120"/>
              <w:jc w:val="both"/>
              <w:rPr>
                <w:szCs w:val="24"/>
              </w:rPr>
            </w:pPr>
            <w:r w:rsidRPr="00D95552">
              <w:rPr>
                <w:b/>
              </w:rPr>
              <w:t xml:space="preserve">Egenskaper: </w:t>
            </w:r>
            <w:r w:rsidRPr="00D95552">
              <w:t>maxOccurs = unbounded minOccurs = 1</w:t>
            </w:r>
          </w:p>
          <w:p w:rsidR="000215C5" w:rsidRDefault="00703023">
            <w:pPr>
              <w:spacing w:after="120"/>
              <w:jc w:val="both"/>
              <w:rPr>
                <w:szCs w:val="24"/>
              </w:rPr>
            </w:pPr>
            <w:r>
              <w:rPr>
                <w:b/>
              </w:rPr>
              <w:t>Vägledning om hur man fyller i mallposten</w:t>
            </w:r>
            <w:r>
              <w:t xml:space="preserve">: Villkorlig. Välj de alternativa finansieringsmöjligheter från uppräkningslistan som har övervägts för att kompensera för oproportionerligt höga kostnader. Fler än en finansieringsmöjlighet kan väljas. </w:t>
            </w:r>
          </w:p>
          <w:p w:rsidR="000215C5" w:rsidRDefault="00703023">
            <w:pPr>
              <w:spacing w:after="120"/>
              <w:jc w:val="both"/>
              <w:rPr>
                <w:b/>
                <w:szCs w:val="24"/>
              </w:rPr>
            </w:pPr>
            <w:r>
              <w:rPr>
                <w:b/>
              </w:rPr>
              <w:t>Kvalitetskontroller</w:t>
            </w:r>
            <w:r>
              <w:t>: Villkorlig kontroll: rapportera om swDisproportionateCost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swDisproportionateCostOtherEULegislation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Villkorlig. Ange om kostnaden för de grundläggande åtgärder som anges i artikel 11.3 a i vattendirektivet uttryckligen har undantagits från bedömningen av oproportionerliga kostnader.</w:t>
            </w:r>
          </w:p>
          <w:p w:rsidR="000215C5" w:rsidRDefault="00703023">
            <w:pPr>
              <w:spacing w:after="120"/>
              <w:jc w:val="both"/>
              <w:rPr>
                <w:b/>
                <w:szCs w:val="24"/>
              </w:rPr>
            </w:pPr>
            <w:r>
              <w:rPr>
                <w:b/>
              </w:rPr>
              <w:t>Kvalitetskontroller</w:t>
            </w:r>
            <w:r>
              <w:t>: Villkorlig kontroll: rapportera om swDisproportionateCost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swTechnicalInfeasibility</w:t>
            </w:r>
          </w:p>
          <w:p w:rsidR="000215C5" w:rsidRDefault="00703023">
            <w:pPr>
              <w:spacing w:after="120"/>
              <w:jc w:val="both"/>
              <w:rPr>
                <w:szCs w:val="24"/>
              </w:rPr>
            </w:pPr>
            <w:r>
              <w:rPr>
                <w:b/>
              </w:rPr>
              <w:t xml:space="preserve">Fälttyp/alternativ: </w:t>
            </w:r>
            <w:r>
              <w:t>TechnicalInfeasibility_Enum:</w:t>
            </w:r>
          </w:p>
          <w:p w:rsidR="000215C5" w:rsidRPr="00FD78F1" w:rsidRDefault="00703023">
            <w:pPr>
              <w:spacing w:after="120"/>
              <w:jc w:val="both"/>
              <w:rPr>
                <w:szCs w:val="24"/>
                <w:lang w:val="en-GB"/>
              </w:rPr>
            </w:pPr>
            <w:r w:rsidRPr="00FD78F1">
              <w:rPr>
                <w:lang w:val="en-GB"/>
              </w:rPr>
              <w:t>No technical solution is available</w:t>
            </w:r>
          </w:p>
          <w:p w:rsidR="000215C5" w:rsidRPr="00FD78F1" w:rsidRDefault="00703023">
            <w:pPr>
              <w:spacing w:after="120"/>
              <w:jc w:val="both"/>
              <w:rPr>
                <w:szCs w:val="24"/>
                <w:lang w:val="en-GB"/>
              </w:rPr>
            </w:pPr>
            <w:r w:rsidRPr="00FD78F1">
              <w:rPr>
                <w:lang w:val="en-GB"/>
              </w:rPr>
              <w:t>It takes longer to fix the problem than there is time available</w:t>
            </w:r>
          </w:p>
          <w:p w:rsidR="000215C5" w:rsidRPr="00FD78F1" w:rsidRDefault="00703023">
            <w:pPr>
              <w:spacing w:after="120"/>
              <w:jc w:val="both"/>
              <w:rPr>
                <w:szCs w:val="24"/>
                <w:lang w:val="en-GB"/>
              </w:rPr>
            </w:pPr>
            <w:r w:rsidRPr="00FD78F1">
              <w:rPr>
                <w:lang w:val="en-GB"/>
              </w:rPr>
              <w:t>There is no information on the cause of the problem so the solution cannot be identified</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lang w:val="en-GB"/>
              </w:rPr>
              <w:t xml:space="preserve">Technical infeasibility has not been used as a reason for exemption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hur ”teknisk omöjlighet” har tolkats i samband med tillämpningen av undantag för ytvattenförekomster.</w:t>
            </w:r>
          </w:p>
          <w:p w:rsidR="000215C5" w:rsidRDefault="00703023">
            <w:pPr>
              <w:spacing w:after="120"/>
              <w:jc w:val="both"/>
              <w:rPr>
                <w:szCs w:val="24"/>
              </w:rPr>
            </w:pPr>
            <w:r>
              <w:rPr>
                <w:b/>
              </w:rPr>
              <w:t>Kvalitetskontroller</w:t>
            </w:r>
            <w:r>
              <w:t>: Intern kontroll: alternativet ”Technical infeasibility has not been used as a reason for exemption” går inte att kombinera med andra alternativ.</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swNaturalConditions</w:t>
            </w:r>
          </w:p>
          <w:p w:rsidR="000215C5" w:rsidRDefault="00703023">
            <w:pPr>
              <w:spacing w:after="120"/>
              <w:jc w:val="both"/>
              <w:rPr>
                <w:szCs w:val="24"/>
              </w:rPr>
            </w:pPr>
            <w:r>
              <w:rPr>
                <w:b/>
              </w:rPr>
              <w:t xml:space="preserve">Fälttyp/alternativ: </w:t>
            </w:r>
            <w:r>
              <w:t>SWNaturalConditions_Enum:</w:t>
            </w:r>
          </w:p>
          <w:p w:rsidR="000215C5" w:rsidRPr="00FD78F1" w:rsidRDefault="00703023">
            <w:pPr>
              <w:spacing w:after="120"/>
              <w:jc w:val="both"/>
              <w:rPr>
                <w:szCs w:val="24"/>
                <w:lang w:val="en-GB"/>
              </w:rPr>
            </w:pPr>
            <w:r w:rsidRPr="00FD78F1">
              <w:rPr>
                <w:lang w:val="en-GB"/>
              </w:rPr>
              <w:t>Re-establishment of flora and fauna</w:t>
            </w:r>
          </w:p>
          <w:p w:rsidR="000215C5" w:rsidRPr="00FD78F1" w:rsidRDefault="00703023">
            <w:pPr>
              <w:spacing w:after="120"/>
              <w:jc w:val="both"/>
              <w:rPr>
                <w:szCs w:val="24"/>
                <w:lang w:val="en-GB"/>
              </w:rPr>
            </w:pPr>
            <w:r w:rsidRPr="00FD78F1">
              <w:rPr>
                <w:lang w:val="en-GB"/>
              </w:rPr>
              <w:t>Natural hydrogeological conditions</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lang w:val="en-GB"/>
              </w:rPr>
              <w:t xml:space="preserve">Natural condition has not been used as a reason for exemption for surface water bodies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de faktorer som har övervägts i beslutet att naturliga förhållanden kräver ett undantag enligt artikel 4.4 eller 4.5.</w:t>
            </w:r>
          </w:p>
          <w:p w:rsidR="000215C5" w:rsidRDefault="00703023">
            <w:pPr>
              <w:spacing w:after="120"/>
              <w:jc w:val="both"/>
              <w:rPr>
                <w:b/>
                <w:szCs w:val="24"/>
              </w:rPr>
            </w:pPr>
            <w:r>
              <w:rPr>
                <w:b/>
              </w:rPr>
              <w:t>Kvalitetskontroller</w:t>
            </w:r>
            <w:r>
              <w:t>: Intern kontroll: alternativet ”Natural condition has not been used as a reason for exemption for surface water bodies” går inte att kombinera med andra alternativ.</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swExemption46</w:t>
            </w:r>
          </w:p>
          <w:p w:rsidR="000215C5" w:rsidRDefault="00703023">
            <w:pPr>
              <w:spacing w:after="120"/>
              <w:jc w:val="both"/>
              <w:rPr>
                <w:szCs w:val="24"/>
              </w:rPr>
            </w:pPr>
            <w:r>
              <w:rPr>
                <w:b/>
              </w:rPr>
              <w:t xml:space="preserve">Fälttyp/alternativ: </w:t>
            </w:r>
            <w:r>
              <w:t>Exemption46_Enum</w:t>
            </w:r>
          </w:p>
          <w:p w:rsidR="000215C5" w:rsidRDefault="00703023">
            <w:pPr>
              <w:spacing w:after="120"/>
              <w:jc w:val="both"/>
              <w:rPr>
                <w:szCs w:val="24"/>
              </w:rPr>
            </w:pPr>
            <w:r>
              <w:t>Yes (accidents)</w:t>
            </w:r>
          </w:p>
          <w:p w:rsidR="000215C5" w:rsidRPr="00FD78F1" w:rsidRDefault="00703023">
            <w:pPr>
              <w:spacing w:after="120"/>
              <w:jc w:val="both"/>
              <w:rPr>
                <w:szCs w:val="24"/>
                <w:lang w:val="en-GB"/>
              </w:rPr>
            </w:pPr>
            <w:r w:rsidRPr="00FD78F1">
              <w:rPr>
                <w:lang w:val="en-GB"/>
              </w:rPr>
              <w:t>Yes (extreme floods)</w:t>
            </w:r>
          </w:p>
          <w:p w:rsidR="000215C5" w:rsidRPr="00FD78F1" w:rsidRDefault="00703023">
            <w:pPr>
              <w:spacing w:after="120"/>
              <w:jc w:val="both"/>
              <w:rPr>
                <w:szCs w:val="24"/>
                <w:lang w:val="en-GB"/>
              </w:rPr>
            </w:pPr>
            <w:r w:rsidRPr="00FD78F1">
              <w:rPr>
                <w:lang w:val="en-GB"/>
              </w:rPr>
              <w:t>Yes (prolonged droughts)</w:t>
            </w:r>
          </w:p>
          <w:p w:rsidR="000215C5" w:rsidRPr="00FD78F1" w:rsidRDefault="00703023">
            <w:pPr>
              <w:spacing w:after="120"/>
              <w:jc w:val="both"/>
              <w:rPr>
                <w:szCs w:val="24"/>
                <w:lang w:val="en-GB"/>
              </w:rPr>
            </w:pPr>
            <w:r w:rsidRPr="00FD78F1">
              <w:rPr>
                <w:lang w:val="en-GB"/>
              </w:rPr>
              <w:t>Article 4(6) has not been applied</w:t>
            </w:r>
          </w:p>
          <w:p w:rsidR="000215C5" w:rsidRPr="00CB7B77" w:rsidRDefault="00703023">
            <w:pPr>
              <w:spacing w:after="120"/>
              <w:jc w:val="both"/>
              <w:rPr>
                <w:szCs w:val="24"/>
                <w:lang w:val="en-GB"/>
              </w:rPr>
            </w:pPr>
            <w:r w:rsidRPr="00CB7B77">
              <w:rPr>
                <w:b/>
                <w:lang w:val="en-GB"/>
              </w:rPr>
              <w:t xml:space="preserve">Egenskaper: </w:t>
            </w:r>
            <w:r w:rsidRPr="00CB7B77">
              <w:rPr>
                <w:lang w:val="en-GB"/>
              </w:rPr>
              <w:t>maxOccurs = unbounded minOccurs = 1</w:t>
            </w:r>
          </w:p>
          <w:p w:rsidR="000215C5" w:rsidRDefault="00703023">
            <w:pPr>
              <w:spacing w:after="120"/>
              <w:jc w:val="both"/>
              <w:rPr>
                <w:szCs w:val="24"/>
              </w:rPr>
            </w:pPr>
            <w:r>
              <w:rPr>
                <w:b/>
              </w:rPr>
              <w:t>Vägledning om hur man fyller i mallposten</w:t>
            </w:r>
            <w:r>
              <w:t>: Krävs. Ange om artikel 4.6 har tillämpats och i så fall av vilket skäl.</w:t>
            </w:r>
          </w:p>
          <w:p w:rsidR="000215C5" w:rsidRDefault="00703023">
            <w:pPr>
              <w:spacing w:after="120"/>
              <w:jc w:val="both"/>
              <w:rPr>
                <w:b/>
                <w:szCs w:val="24"/>
              </w:rPr>
            </w:pPr>
            <w:r>
              <w:rPr>
                <w:b/>
              </w:rPr>
              <w:t>Kvalitetskontroller</w:t>
            </w:r>
            <w:r>
              <w:t>: Intern kontroll: alternativet ”Article 4(6) has not been applied” går inte att kombinera med andra alternativ.</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swExemption47</w:t>
            </w:r>
          </w:p>
          <w:p w:rsidR="000215C5" w:rsidRDefault="00703023">
            <w:pPr>
              <w:spacing w:after="120"/>
              <w:jc w:val="both"/>
              <w:rPr>
                <w:szCs w:val="24"/>
              </w:rPr>
            </w:pPr>
            <w:r>
              <w:rPr>
                <w:b/>
              </w:rPr>
              <w:t xml:space="preserve">Fälttyp/alternativ: </w:t>
            </w:r>
            <w:r>
              <w:t>Exemption47_Enum:</w:t>
            </w:r>
          </w:p>
          <w:p w:rsidR="000215C5" w:rsidRDefault="00703023">
            <w:pPr>
              <w:spacing w:after="120"/>
              <w:jc w:val="both"/>
              <w:rPr>
                <w:szCs w:val="24"/>
              </w:rPr>
            </w:pPr>
            <w:r>
              <w:t>Hydropower plants</w:t>
            </w:r>
          </w:p>
          <w:p w:rsidR="000215C5" w:rsidRPr="00FD78F1" w:rsidRDefault="00703023">
            <w:pPr>
              <w:spacing w:after="120"/>
              <w:jc w:val="both"/>
              <w:rPr>
                <w:szCs w:val="24"/>
                <w:lang w:val="en-GB"/>
              </w:rPr>
            </w:pPr>
            <w:r w:rsidRPr="00FD78F1">
              <w:rPr>
                <w:lang w:val="en-GB"/>
              </w:rPr>
              <w:t>Flood protection schemes</w:t>
            </w:r>
          </w:p>
          <w:p w:rsidR="000215C5" w:rsidRPr="00FD78F1" w:rsidRDefault="00703023">
            <w:pPr>
              <w:spacing w:after="120"/>
              <w:jc w:val="both"/>
              <w:rPr>
                <w:szCs w:val="24"/>
                <w:lang w:val="en-GB"/>
              </w:rPr>
            </w:pPr>
            <w:r w:rsidRPr="00FD78F1">
              <w:rPr>
                <w:lang w:val="en-GB"/>
              </w:rPr>
              <w:t>Navigation projects</w:t>
            </w:r>
          </w:p>
          <w:p w:rsidR="000215C5" w:rsidRPr="00FD78F1" w:rsidRDefault="00703023">
            <w:pPr>
              <w:spacing w:after="120"/>
              <w:jc w:val="both"/>
              <w:rPr>
                <w:szCs w:val="24"/>
                <w:lang w:val="en-GB"/>
              </w:rPr>
            </w:pPr>
            <w:r w:rsidRPr="00FD78F1">
              <w:rPr>
                <w:lang w:val="en-GB"/>
              </w:rPr>
              <w:t>Impoundment for drinking water supply</w:t>
            </w:r>
          </w:p>
          <w:p w:rsidR="000215C5" w:rsidRPr="00FD78F1" w:rsidRDefault="00703023">
            <w:pPr>
              <w:spacing w:after="120"/>
              <w:jc w:val="both"/>
              <w:rPr>
                <w:szCs w:val="24"/>
                <w:lang w:val="en-GB"/>
              </w:rPr>
            </w:pPr>
            <w:r w:rsidRPr="00FD78F1">
              <w:rPr>
                <w:lang w:val="en-GB"/>
              </w:rPr>
              <w:t>Mining project</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lang w:val="en-GB"/>
              </w:rPr>
              <w:t>Article 4(7) has not been applied</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Välj de modifikationer från uppräkningslistan som har gett upphov till tillämpning av undantag enligt artikel 4.7. Fler än en modifikation kan väljas. </w:t>
            </w:r>
          </w:p>
          <w:p w:rsidR="000215C5" w:rsidRDefault="00703023">
            <w:pPr>
              <w:spacing w:after="120"/>
              <w:jc w:val="both"/>
              <w:rPr>
                <w:b/>
                <w:szCs w:val="24"/>
              </w:rPr>
            </w:pPr>
            <w:r>
              <w:rPr>
                <w:b/>
              </w:rPr>
              <w:t>Kvalitetskontroller</w:t>
            </w:r>
            <w:r>
              <w:t>: Intern kontroll: alternativet ”Article 4(7) has not been applied” går inte att kombinera med andra alternativ.</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swExemptionsTransboundary</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tillämpningen av undantag har samordnats i ett gränsöverskridande sammanhang. Ange ”Not applicable” om avrinningsdistriktet inte är internationellt. </w:t>
            </w:r>
          </w:p>
        </w:tc>
      </w:tr>
      <w:tr w:rsidR="000215C5">
        <w:tc>
          <w:tcPr>
            <w:tcW w:w="9853" w:type="dxa"/>
            <w:shd w:val="clear" w:color="auto" w:fill="auto"/>
          </w:tcPr>
          <w:p w:rsidR="000215C5" w:rsidRDefault="00703023">
            <w:pPr>
              <w:spacing w:after="120"/>
              <w:jc w:val="both"/>
              <w:rPr>
                <w:szCs w:val="24"/>
              </w:rPr>
            </w:pPr>
            <w:r>
              <w:rPr>
                <w:b/>
              </w:rPr>
              <w:t>Mallpost</w:t>
            </w:r>
            <w:r>
              <w:t xml:space="preserve">: swExemptionsReference </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relevanta dokument och avsnitt som innehåller specifik information om tillämpning av undantag för ytvattenförekomster. Vägledning om vilka uppgifter som bör ingå i detta dokument ges i avsnitt </w:t>
            </w:r>
            <w:r>
              <w:fldChar w:fldCharType="begin"/>
            </w:r>
            <w:r>
              <w:instrText xml:space="preserve"> REF _Ref402957173 \r \h  \* MERGEFORMAT </w:instrText>
            </w:r>
            <w:r>
              <w:fldChar w:fldCharType="separate"/>
            </w:r>
            <w:r>
              <w:rPr>
                <w:szCs w:val="24"/>
              </w:rPr>
              <w:t>7.7.3.3</w:t>
            </w:r>
            <w:r>
              <w:fldChar w:fldCharType="end"/>
            </w:r>
            <w:r>
              <w:t xml:space="preserve">. </w:t>
            </w:r>
          </w:p>
        </w:tc>
      </w:tr>
      <w:tr w:rsidR="000215C5">
        <w:tc>
          <w:tcPr>
            <w:tcW w:w="9853" w:type="dxa"/>
            <w:shd w:val="clear" w:color="auto" w:fill="auto"/>
          </w:tcPr>
          <w:p w:rsidR="000215C5" w:rsidRDefault="00703023">
            <w:pPr>
              <w:spacing w:after="120"/>
              <w:jc w:val="both"/>
              <w:rPr>
                <w:b/>
                <w:szCs w:val="24"/>
              </w:rPr>
            </w:pPr>
            <w:r>
              <w:rPr>
                <w:b/>
              </w:rPr>
              <w:t>Mallpost</w:t>
            </w:r>
            <w:r>
              <w:t>: driversSWExemptionsReference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relevanta dokument och avsnitt som innehåller information om drivkrafter som ger upphov till undantag för ytvattenförekomster. Vägledning om vilka uppgifter som bör ingå i detta dokument ges i avsnitt </w:t>
            </w:r>
            <w:r>
              <w:fldChar w:fldCharType="begin"/>
            </w:r>
            <w:r>
              <w:instrText xml:space="preserve"> REF _Ref402957173 \r \h  \* MERGEFORMAT </w:instrText>
            </w:r>
            <w:r>
              <w:fldChar w:fldCharType="separate"/>
            </w:r>
            <w:r>
              <w:rPr>
                <w:szCs w:val="24"/>
              </w:rPr>
              <w:t>7.7.3.3</w:t>
            </w:r>
            <w:r>
              <w:fldChar w:fldCharType="end"/>
            </w:r>
            <w:r>
              <w:t xml:space="preserve">. </w:t>
            </w:r>
          </w:p>
        </w:tc>
      </w:tr>
    </w:tbl>
    <w:p w:rsidR="000215C5" w:rsidRDefault="000215C5">
      <w:pPr>
        <w:jc w:val="both"/>
      </w:pPr>
    </w:p>
    <w:p w:rsidR="000215C5" w:rsidRDefault="00703023">
      <w:pPr>
        <w:pStyle w:val="Rubrik4"/>
      </w:pPr>
      <w:bookmarkStart w:id="498" w:name="_Ref402957173"/>
      <w:r>
        <w:t>Vägledning om innehållet i förvaltningsplanerna för avrinningsdistrikt/bakgrundsdokument</w:t>
      </w:r>
      <w:bookmarkEnd w:id="498"/>
    </w:p>
    <w:p w:rsidR="000215C5" w:rsidRDefault="00703023">
      <w:pPr>
        <w:jc w:val="both"/>
      </w:pPr>
      <w:r>
        <w:t>Nedan ges vägledning om de uppgifter som kommissionen förväntar sig att medlemsstaterna lämnar i de relevanta kapitlen om undantag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numPr>
          <w:ilvl w:val="0"/>
          <w:numId w:val="22"/>
        </w:numPr>
        <w:jc w:val="both"/>
      </w:pPr>
      <w:r>
        <w:t>Analysverktyg som användes i bedömningen av oproportionerliga kostnader.</w:t>
      </w:r>
    </w:p>
    <w:p w:rsidR="000215C5" w:rsidRDefault="00703023">
      <w:pPr>
        <w:numPr>
          <w:ilvl w:val="0"/>
          <w:numId w:val="39"/>
        </w:numPr>
        <w:jc w:val="both"/>
      </w:pPr>
      <w:r>
        <w:t>Alternativa finansieringsmöjligheter som övervägts för att kompensera för oproportionerligt höga kostnader samt skäl till att dessa möjligheter inte utnyttjats.</w:t>
      </w:r>
    </w:p>
    <w:p w:rsidR="000215C5" w:rsidRDefault="00703023">
      <w:pPr>
        <w:numPr>
          <w:ilvl w:val="0"/>
          <w:numId w:val="22"/>
        </w:numPr>
        <w:jc w:val="both"/>
      </w:pPr>
      <w:r>
        <w:t>Om kostnaden för de grundläggande åtgärder har undantagits från bedömningen av oproportionerliga kostnader.</w:t>
      </w:r>
    </w:p>
    <w:p w:rsidR="000215C5" w:rsidRDefault="00703023">
      <w:pPr>
        <w:numPr>
          <w:ilvl w:val="0"/>
          <w:numId w:val="22"/>
        </w:numPr>
        <w:jc w:val="both"/>
      </w:pPr>
      <w:r>
        <w:t>Definition av teknisk omöjlighet.</w:t>
      </w:r>
    </w:p>
    <w:p w:rsidR="000215C5" w:rsidRDefault="00703023">
      <w:pPr>
        <w:numPr>
          <w:ilvl w:val="0"/>
          <w:numId w:val="22"/>
        </w:numPr>
        <w:jc w:val="both"/>
      </w:pPr>
      <w:r>
        <w:t>De faktorer som har övervägts i beslutet att naturliga förhållanden kräver ett undantag enligt artikel 4.4 och/eller 4.5.</w:t>
      </w:r>
    </w:p>
    <w:p w:rsidR="000215C5" w:rsidRDefault="00703023">
      <w:pPr>
        <w:numPr>
          <w:ilvl w:val="0"/>
          <w:numId w:val="22"/>
        </w:numPr>
        <w:jc w:val="both"/>
      </w:pPr>
      <w:r>
        <w:t>Om artikel 4.6 tillämpas:</w:t>
      </w:r>
    </w:p>
    <w:p w:rsidR="000215C5" w:rsidRDefault="00703023">
      <w:pPr>
        <w:numPr>
          <w:ilvl w:val="1"/>
          <w:numId w:val="22"/>
        </w:numPr>
        <w:jc w:val="both"/>
      </w:pPr>
      <w:r>
        <w:t>Beskrivning av de förhållanden under vilka omständigheter som inte rimligen kunde ha förutsätts får anges, inklusive använda indikatorer.</w:t>
      </w:r>
    </w:p>
    <w:p w:rsidR="000215C5" w:rsidRDefault="00703023">
      <w:pPr>
        <w:numPr>
          <w:ilvl w:val="1"/>
          <w:numId w:val="22"/>
        </w:numPr>
        <w:jc w:val="both"/>
      </w:pPr>
      <w:r>
        <w:t>Beskrivning av de fall där artikel 4.6 har tillämpats, skäl, vid vilken indikatornivå omständigheterna blir exceptionella, påverkade ytvattenförekomster och effekternas omfattning, åtgärder som vidtagits för att återställa de påverkade ytvattenförekomsterna samt effekterna av sådana åtgärder.</w:t>
      </w:r>
    </w:p>
    <w:p w:rsidR="000215C5" w:rsidRDefault="00703023">
      <w:pPr>
        <w:numPr>
          <w:ilvl w:val="0"/>
          <w:numId w:val="22"/>
        </w:numPr>
        <w:jc w:val="both"/>
      </w:pPr>
      <w:r>
        <w:t>För varje fall där artikel 4.7 tillämpas, motivera och förklara skälen till projektet och uppfyllandet av villkoren enligt artikel 4.7, inklusive följande:</w:t>
      </w:r>
    </w:p>
    <w:p w:rsidR="000215C5" w:rsidRDefault="00703023">
      <w:pPr>
        <w:numPr>
          <w:ilvl w:val="1"/>
          <w:numId w:val="22"/>
        </w:numPr>
        <w:jc w:val="both"/>
      </w:pPr>
      <w:r>
        <w:t>Uppgifter om hur projektet har bedömts när det gäller försämrad status eller underlåtande att uppnå vattendirektivets miljömål, baserat på kvalitetsfaktorer.</w:t>
      </w:r>
    </w:p>
    <w:p w:rsidR="000215C5" w:rsidRDefault="00703023">
      <w:pPr>
        <w:numPr>
          <w:ilvl w:val="1"/>
          <w:numId w:val="22"/>
        </w:numPr>
        <w:jc w:val="both"/>
      </w:pPr>
      <w:r>
        <w:t>Hur bedömningen av kumulativa effekter har beaktats i samband med tillämpningen av artikel 4.7.</w:t>
      </w:r>
    </w:p>
    <w:p w:rsidR="000215C5" w:rsidRDefault="00703023">
      <w:pPr>
        <w:numPr>
          <w:ilvl w:val="1"/>
          <w:numId w:val="22"/>
        </w:numPr>
        <w:jc w:val="both"/>
      </w:pPr>
      <w:r>
        <w:t>De lindrande åtgärder som har införts i samband med tillämpningen av artikel 4.7.</w:t>
      </w:r>
    </w:p>
    <w:p w:rsidR="000215C5" w:rsidRDefault="00703023">
      <w:pPr>
        <w:numPr>
          <w:ilvl w:val="1"/>
          <w:numId w:val="22"/>
        </w:numPr>
        <w:jc w:val="both"/>
      </w:pPr>
      <w:r>
        <w:t>Metoden för att bedöma trängande behov som är av allmänt intresse i samband med tillämpningen av artikel 4.7.</w:t>
      </w:r>
    </w:p>
    <w:p w:rsidR="000215C5" w:rsidRDefault="00703023">
      <w:pPr>
        <w:numPr>
          <w:ilvl w:val="1"/>
          <w:numId w:val="22"/>
        </w:numPr>
        <w:jc w:val="both"/>
      </w:pPr>
      <w:r>
        <w:t>Metoden för att bedöma fördelarna med tillämpningen av artikel 4.7.</w:t>
      </w:r>
    </w:p>
    <w:p w:rsidR="000215C5" w:rsidRDefault="00703023">
      <w:pPr>
        <w:numPr>
          <w:ilvl w:val="1"/>
          <w:numId w:val="22"/>
        </w:numPr>
        <w:jc w:val="both"/>
      </w:pPr>
      <w:r>
        <w:t>Uppgifter om de bättre alternativ för miljön som har beaktats i samband med tillämpningen av artikel 4.7.</w:t>
      </w:r>
    </w:p>
    <w:p w:rsidR="000215C5" w:rsidRDefault="00703023">
      <w:pPr>
        <w:numPr>
          <w:ilvl w:val="0"/>
          <w:numId w:val="22"/>
        </w:numPr>
        <w:jc w:val="both"/>
      </w:pPr>
      <w:r>
        <w:t>Uppgifter om gränsöverskridande samordning i samband med tillämpningen av undantag.</w:t>
      </w:r>
    </w:p>
    <w:p w:rsidR="000215C5" w:rsidRDefault="00703023">
      <w:pPr>
        <w:jc w:val="both"/>
        <w:rPr>
          <w:b/>
        </w:rPr>
      </w:pPr>
      <w:r>
        <w:rPr>
          <w:b/>
        </w:rPr>
        <w:t>Drivkrafter och effekter som ger upphov till undantag</w:t>
      </w:r>
    </w:p>
    <w:p w:rsidR="000215C5" w:rsidRDefault="00703023">
      <w:pPr>
        <w:numPr>
          <w:ilvl w:val="0"/>
          <w:numId w:val="22"/>
        </w:numPr>
        <w:jc w:val="both"/>
        <w:rPr>
          <w:szCs w:val="24"/>
        </w:rPr>
      </w:pPr>
      <w:r>
        <w:t>Ta med följande tabell om drivkrafter och effekter som ger upphov till undantag från god status i förvaltningsplanen eller bakgrundsdokumenten. Fälten ska innehålla antalet ytvattenförekomster för vilka ett undantag av någon typ har tillämpats som är relevant för varje drivkraft och effekt. Fler än en kombination av drivkrafter och effekter kan leda till att ytvattenförekomster omfattas av undantag. När de rapporterade värdena summeras förväntas de därför inte motsvara det totala antalet undantagna ytvattenförekomster. Denna tabell bör helst tas fram för varje kategori av ytvattenförekomst (åtskillnad bör åtminstone göras mellan kustvatten och övriga kategorier av ytvattenförekomster).</w:t>
      </w:r>
    </w:p>
    <w:p w:rsidR="000215C5" w:rsidRDefault="00703023">
      <w:pPr>
        <w:ind w:left="360"/>
        <w:jc w:val="both"/>
        <w:rPr>
          <w:szCs w:val="24"/>
        </w:rPr>
      </w:pPr>
      <w:r>
        <w:br w:type="column"/>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720"/>
        <w:gridCol w:w="810"/>
        <w:gridCol w:w="612"/>
        <w:gridCol w:w="567"/>
        <w:gridCol w:w="709"/>
        <w:gridCol w:w="820"/>
        <w:gridCol w:w="739"/>
        <w:gridCol w:w="621"/>
        <w:gridCol w:w="797"/>
        <w:gridCol w:w="709"/>
        <w:gridCol w:w="850"/>
        <w:gridCol w:w="709"/>
      </w:tblGrid>
      <w:tr w:rsidR="000215C5" w:rsidTr="004961F3">
        <w:trPr>
          <w:tblHeader/>
        </w:trPr>
        <w:tc>
          <w:tcPr>
            <w:tcW w:w="1368" w:type="dxa"/>
            <w:shd w:val="clear" w:color="auto" w:fill="auto"/>
          </w:tcPr>
          <w:p w:rsidR="000215C5" w:rsidRDefault="00703023">
            <w:pPr>
              <w:spacing w:after="0"/>
              <w:jc w:val="both"/>
              <w:rPr>
                <w:b/>
                <w:sz w:val="16"/>
              </w:rPr>
            </w:pPr>
            <w:r>
              <w:rPr>
                <w:b/>
                <w:sz w:val="16"/>
              </w:rPr>
              <w:t>Drivkraft/effekt</w:t>
            </w:r>
          </w:p>
        </w:tc>
        <w:tc>
          <w:tcPr>
            <w:tcW w:w="720" w:type="dxa"/>
          </w:tcPr>
          <w:p w:rsidR="000215C5" w:rsidRPr="004961F3" w:rsidRDefault="00703023">
            <w:pPr>
              <w:spacing w:after="0"/>
              <w:jc w:val="both"/>
              <w:rPr>
                <w:sz w:val="12"/>
              </w:rPr>
            </w:pPr>
            <w:r w:rsidRPr="004961F3">
              <w:rPr>
                <w:sz w:val="12"/>
              </w:rPr>
              <w:t>Jordbruk</w:t>
            </w:r>
          </w:p>
        </w:tc>
        <w:tc>
          <w:tcPr>
            <w:tcW w:w="810" w:type="dxa"/>
          </w:tcPr>
          <w:p w:rsidR="000215C5" w:rsidRPr="004961F3" w:rsidRDefault="00703023">
            <w:pPr>
              <w:spacing w:after="0"/>
              <w:jc w:val="both"/>
              <w:rPr>
                <w:sz w:val="12"/>
              </w:rPr>
            </w:pPr>
            <w:r w:rsidRPr="004961F3">
              <w:rPr>
                <w:sz w:val="12"/>
              </w:rPr>
              <w:t>Klimat</w:t>
            </w:r>
            <w:r w:rsidR="004961F3" w:rsidRPr="004961F3">
              <w:rPr>
                <w:sz w:val="12"/>
              </w:rPr>
              <w:t>-</w:t>
            </w:r>
            <w:r w:rsidRPr="004961F3">
              <w:rPr>
                <w:sz w:val="12"/>
              </w:rPr>
              <w:t>förändring</w:t>
            </w:r>
          </w:p>
        </w:tc>
        <w:tc>
          <w:tcPr>
            <w:tcW w:w="612" w:type="dxa"/>
          </w:tcPr>
          <w:p w:rsidR="000215C5" w:rsidRPr="004961F3" w:rsidRDefault="00703023">
            <w:pPr>
              <w:spacing w:after="0"/>
              <w:jc w:val="both"/>
              <w:rPr>
                <w:sz w:val="12"/>
              </w:rPr>
            </w:pPr>
            <w:r w:rsidRPr="004961F3">
              <w:rPr>
                <w:sz w:val="12"/>
              </w:rPr>
              <w:t>Energi/vatten</w:t>
            </w:r>
            <w:r w:rsidR="004961F3" w:rsidRPr="004961F3">
              <w:rPr>
                <w:sz w:val="12"/>
              </w:rPr>
              <w:t>-</w:t>
            </w:r>
            <w:r w:rsidRPr="004961F3">
              <w:rPr>
                <w:sz w:val="12"/>
              </w:rPr>
              <w:t>kraft</w:t>
            </w:r>
          </w:p>
        </w:tc>
        <w:tc>
          <w:tcPr>
            <w:tcW w:w="567" w:type="dxa"/>
          </w:tcPr>
          <w:p w:rsidR="000215C5" w:rsidRPr="004961F3" w:rsidRDefault="00703023">
            <w:pPr>
              <w:spacing w:after="0"/>
              <w:jc w:val="both"/>
              <w:rPr>
                <w:sz w:val="12"/>
              </w:rPr>
            </w:pPr>
            <w:r w:rsidRPr="004961F3">
              <w:rPr>
                <w:sz w:val="12"/>
              </w:rPr>
              <w:t>Energi/annat än vatten</w:t>
            </w:r>
            <w:r w:rsidR="004961F3" w:rsidRPr="004961F3">
              <w:rPr>
                <w:sz w:val="12"/>
              </w:rPr>
              <w:t>-</w:t>
            </w:r>
            <w:r w:rsidRPr="004961F3">
              <w:rPr>
                <w:sz w:val="12"/>
              </w:rPr>
              <w:t>kraft</w:t>
            </w:r>
          </w:p>
        </w:tc>
        <w:tc>
          <w:tcPr>
            <w:tcW w:w="709" w:type="dxa"/>
          </w:tcPr>
          <w:p w:rsidR="000215C5" w:rsidRPr="004961F3" w:rsidRDefault="00703023">
            <w:pPr>
              <w:spacing w:after="0"/>
              <w:jc w:val="both"/>
              <w:rPr>
                <w:sz w:val="12"/>
              </w:rPr>
            </w:pPr>
            <w:r w:rsidRPr="004961F3">
              <w:rPr>
                <w:sz w:val="12"/>
              </w:rPr>
              <w:t>Fiske och vatten</w:t>
            </w:r>
            <w:r w:rsidR="004961F3" w:rsidRPr="004961F3">
              <w:rPr>
                <w:sz w:val="12"/>
              </w:rPr>
              <w:t>-</w:t>
            </w:r>
            <w:r w:rsidRPr="004961F3">
              <w:rPr>
                <w:sz w:val="12"/>
              </w:rPr>
              <w:t>bruk</w:t>
            </w:r>
          </w:p>
        </w:tc>
        <w:tc>
          <w:tcPr>
            <w:tcW w:w="820" w:type="dxa"/>
          </w:tcPr>
          <w:p w:rsidR="000215C5" w:rsidRPr="004961F3" w:rsidRDefault="00703023">
            <w:pPr>
              <w:spacing w:after="0"/>
              <w:jc w:val="both"/>
              <w:rPr>
                <w:sz w:val="12"/>
              </w:rPr>
            </w:pPr>
            <w:r w:rsidRPr="004961F3">
              <w:rPr>
                <w:sz w:val="12"/>
              </w:rPr>
              <w:t>Skydd mot över</w:t>
            </w:r>
            <w:r w:rsidR="004961F3" w:rsidRPr="004961F3">
              <w:rPr>
                <w:sz w:val="12"/>
              </w:rPr>
              <w:t>-</w:t>
            </w:r>
            <w:r w:rsidRPr="004961F3">
              <w:rPr>
                <w:sz w:val="12"/>
              </w:rPr>
              <w:t>svämningar</w:t>
            </w:r>
          </w:p>
        </w:tc>
        <w:tc>
          <w:tcPr>
            <w:tcW w:w="739" w:type="dxa"/>
          </w:tcPr>
          <w:p w:rsidR="000215C5" w:rsidRPr="004961F3" w:rsidRDefault="00703023">
            <w:pPr>
              <w:spacing w:after="0"/>
              <w:jc w:val="both"/>
              <w:rPr>
                <w:sz w:val="12"/>
              </w:rPr>
            </w:pPr>
            <w:r w:rsidRPr="004961F3">
              <w:rPr>
                <w:sz w:val="12"/>
              </w:rPr>
              <w:t>Skogsbruk</w:t>
            </w:r>
          </w:p>
        </w:tc>
        <w:tc>
          <w:tcPr>
            <w:tcW w:w="621" w:type="dxa"/>
          </w:tcPr>
          <w:p w:rsidR="000215C5" w:rsidRPr="004961F3" w:rsidRDefault="00703023">
            <w:pPr>
              <w:spacing w:after="0"/>
              <w:jc w:val="both"/>
              <w:rPr>
                <w:sz w:val="12"/>
              </w:rPr>
            </w:pPr>
            <w:r w:rsidRPr="004961F3">
              <w:rPr>
                <w:sz w:val="12"/>
              </w:rPr>
              <w:t>Industri</w:t>
            </w:r>
          </w:p>
        </w:tc>
        <w:tc>
          <w:tcPr>
            <w:tcW w:w="797" w:type="dxa"/>
          </w:tcPr>
          <w:p w:rsidR="000215C5" w:rsidRPr="004961F3" w:rsidRDefault="00703023">
            <w:pPr>
              <w:spacing w:after="0"/>
              <w:jc w:val="both"/>
              <w:rPr>
                <w:sz w:val="12"/>
              </w:rPr>
            </w:pPr>
            <w:r w:rsidRPr="004961F3">
              <w:rPr>
                <w:sz w:val="12"/>
              </w:rPr>
              <w:t>Turism och rekreation</w:t>
            </w:r>
          </w:p>
        </w:tc>
        <w:tc>
          <w:tcPr>
            <w:tcW w:w="709" w:type="dxa"/>
          </w:tcPr>
          <w:p w:rsidR="000215C5" w:rsidRPr="004961F3" w:rsidRDefault="00703023">
            <w:pPr>
              <w:spacing w:after="0"/>
              <w:jc w:val="both"/>
              <w:rPr>
                <w:sz w:val="12"/>
              </w:rPr>
            </w:pPr>
            <w:r w:rsidRPr="004961F3">
              <w:rPr>
                <w:sz w:val="12"/>
              </w:rPr>
              <w:t>Transport</w:t>
            </w:r>
          </w:p>
        </w:tc>
        <w:tc>
          <w:tcPr>
            <w:tcW w:w="850" w:type="dxa"/>
          </w:tcPr>
          <w:p w:rsidR="000215C5" w:rsidRPr="004961F3" w:rsidRDefault="00703023">
            <w:pPr>
              <w:spacing w:after="0"/>
              <w:jc w:val="both"/>
              <w:rPr>
                <w:sz w:val="12"/>
                <w:szCs w:val="12"/>
              </w:rPr>
            </w:pPr>
            <w:r w:rsidRPr="004961F3">
              <w:rPr>
                <w:sz w:val="12"/>
              </w:rPr>
              <w:t>Stads</w:t>
            </w:r>
            <w:r w:rsidR="004961F3" w:rsidRPr="004961F3">
              <w:rPr>
                <w:sz w:val="12"/>
              </w:rPr>
              <w:t>-</w:t>
            </w:r>
            <w:r w:rsidRPr="004961F3">
              <w:rPr>
                <w:sz w:val="12"/>
              </w:rPr>
              <w:t>utveckling</w:t>
            </w:r>
          </w:p>
        </w:tc>
        <w:tc>
          <w:tcPr>
            <w:tcW w:w="709" w:type="dxa"/>
          </w:tcPr>
          <w:p w:rsidR="004961F3" w:rsidRPr="004961F3" w:rsidRDefault="00703023">
            <w:pPr>
              <w:spacing w:after="0"/>
              <w:jc w:val="both"/>
              <w:rPr>
                <w:sz w:val="12"/>
              </w:rPr>
            </w:pPr>
            <w:r w:rsidRPr="004961F3">
              <w:rPr>
                <w:sz w:val="12"/>
              </w:rPr>
              <w:t>Okänt/</w:t>
            </w:r>
          </w:p>
          <w:p w:rsidR="000215C5" w:rsidRPr="004961F3" w:rsidRDefault="00703023">
            <w:pPr>
              <w:spacing w:after="0"/>
              <w:jc w:val="both"/>
              <w:rPr>
                <w:sz w:val="12"/>
                <w:szCs w:val="12"/>
              </w:rPr>
            </w:pPr>
            <w:r w:rsidRPr="004961F3">
              <w:rPr>
                <w:sz w:val="12"/>
              </w:rPr>
              <w:t>annat</w:t>
            </w:r>
          </w:p>
        </w:tc>
      </w:tr>
      <w:tr w:rsidR="000215C5" w:rsidTr="004961F3">
        <w:tc>
          <w:tcPr>
            <w:tcW w:w="1368" w:type="dxa"/>
            <w:shd w:val="clear" w:color="auto" w:fill="auto"/>
          </w:tcPr>
          <w:p w:rsidR="000215C5" w:rsidRDefault="00703023">
            <w:pPr>
              <w:spacing w:after="0"/>
              <w:jc w:val="both"/>
              <w:rPr>
                <w:sz w:val="16"/>
              </w:rPr>
            </w:pPr>
            <w:r>
              <w:rPr>
                <w:sz w:val="16"/>
              </w:rPr>
              <w:t>N 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c>
          <w:tcPr>
            <w:tcW w:w="1368" w:type="dxa"/>
            <w:shd w:val="clear" w:color="auto" w:fill="auto"/>
          </w:tcPr>
          <w:p w:rsidR="000215C5" w:rsidRDefault="00703023">
            <w:pPr>
              <w:spacing w:after="0"/>
              <w:jc w:val="both"/>
              <w:rPr>
                <w:sz w:val="16"/>
              </w:rPr>
            </w:pPr>
            <w:r>
              <w:rPr>
                <w:sz w:val="16"/>
              </w:rPr>
              <w:t>P 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c>
          <w:tcPr>
            <w:tcW w:w="1368" w:type="dxa"/>
            <w:shd w:val="clear" w:color="auto" w:fill="auto"/>
          </w:tcPr>
          <w:p w:rsidR="000215C5" w:rsidRDefault="00703023">
            <w:pPr>
              <w:spacing w:after="0"/>
              <w:jc w:val="both"/>
              <w:rPr>
                <w:sz w:val="16"/>
              </w:rPr>
            </w:pPr>
            <w:r>
              <w:rPr>
                <w:sz w:val="16"/>
              </w:rPr>
              <w:t>Organiska 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c>
          <w:tcPr>
            <w:tcW w:w="1368" w:type="dxa"/>
            <w:shd w:val="clear" w:color="auto" w:fill="auto"/>
          </w:tcPr>
          <w:p w:rsidR="000215C5" w:rsidRDefault="00703023">
            <w:pPr>
              <w:spacing w:after="0"/>
              <w:jc w:val="both"/>
              <w:rPr>
                <w:sz w:val="16"/>
              </w:rPr>
            </w:pPr>
            <w:r>
              <w:rPr>
                <w:sz w:val="16"/>
              </w:rPr>
              <w:t xml:space="preserve">Kemiska föroreningar </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c>
          <w:tcPr>
            <w:tcW w:w="1368" w:type="dxa"/>
            <w:shd w:val="clear" w:color="auto" w:fill="auto"/>
          </w:tcPr>
          <w:p w:rsidR="000215C5" w:rsidRDefault="00703023">
            <w:pPr>
              <w:spacing w:after="0"/>
              <w:jc w:val="both"/>
              <w:rPr>
                <w:sz w:val="16"/>
              </w:rPr>
            </w:pPr>
            <w:r>
              <w:rPr>
                <w:sz w:val="16"/>
              </w:rPr>
              <w:t>Saltföroreningar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c>
          <w:tcPr>
            <w:tcW w:w="1368" w:type="dxa"/>
            <w:shd w:val="clear" w:color="auto" w:fill="auto"/>
          </w:tcPr>
          <w:p w:rsidR="000215C5" w:rsidRDefault="00703023">
            <w:pPr>
              <w:spacing w:after="0"/>
              <w:jc w:val="both"/>
              <w:rPr>
                <w:sz w:val="16"/>
              </w:rPr>
            </w:pPr>
            <w:r>
              <w:rPr>
                <w:sz w:val="16"/>
              </w:rPr>
              <w:t>Försurning</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c>
          <w:tcPr>
            <w:tcW w:w="1368" w:type="dxa"/>
            <w:shd w:val="clear" w:color="auto" w:fill="auto"/>
          </w:tcPr>
          <w:p w:rsidR="000215C5" w:rsidRDefault="00703023">
            <w:pPr>
              <w:spacing w:after="0"/>
              <w:jc w:val="both"/>
              <w:rPr>
                <w:sz w:val="16"/>
              </w:rPr>
            </w:pPr>
            <w:r>
              <w:rPr>
                <w:sz w:val="16"/>
              </w:rPr>
              <w:t>Förhöjda temperaturer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c>
          <w:tcPr>
            <w:tcW w:w="1368" w:type="dxa"/>
            <w:shd w:val="clear" w:color="auto" w:fill="auto"/>
          </w:tcPr>
          <w:p w:rsidR="000215C5" w:rsidRDefault="00703023" w:rsidP="00E65F5E">
            <w:pPr>
              <w:spacing w:after="0"/>
              <w:rPr>
                <w:sz w:val="16"/>
              </w:rPr>
            </w:pPr>
            <w:r>
              <w:rPr>
                <w:sz w:val="16"/>
              </w:rPr>
              <w:t>Ändrade livsmiljöer till följd av hydrologiska förändringar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c>
          <w:tcPr>
            <w:tcW w:w="1368" w:type="dxa"/>
            <w:shd w:val="clear" w:color="auto" w:fill="auto"/>
          </w:tcPr>
          <w:p w:rsidR="000215C5" w:rsidRDefault="00703023" w:rsidP="00E65F5E">
            <w:pPr>
              <w:spacing w:after="0"/>
              <w:rPr>
                <w:sz w:val="16"/>
              </w:rPr>
            </w:pPr>
            <w:r>
              <w:rPr>
                <w:sz w:val="16"/>
              </w:rPr>
              <w:t>Ändrade livsmiljöer till följd av morfologiska förändringar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rPr>
          <w:trHeight w:val="205"/>
        </w:trPr>
        <w:tc>
          <w:tcPr>
            <w:tcW w:w="1368" w:type="dxa"/>
            <w:shd w:val="clear" w:color="auto" w:fill="auto"/>
          </w:tcPr>
          <w:p w:rsidR="000215C5" w:rsidRDefault="00703023">
            <w:pPr>
              <w:spacing w:after="0"/>
              <w:jc w:val="both"/>
              <w:rPr>
                <w:sz w:val="16"/>
              </w:rPr>
            </w:pPr>
            <w:r>
              <w:rPr>
                <w:sz w:val="16"/>
              </w:rPr>
              <w:t>Mikrobiologiska föroreningar</w:t>
            </w:r>
          </w:p>
        </w:tc>
        <w:tc>
          <w:tcPr>
            <w:tcW w:w="720" w:type="dxa"/>
          </w:tcPr>
          <w:p w:rsidR="000215C5" w:rsidRDefault="000215C5">
            <w:pPr>
              <w:spacing w:after="0"/>
              <w:jc w:val="both"/>
              <w:rPr>
                <w:sz w:val="16"/>
              </w:rPr>
            </w:pPr>
          </w:p>
        </w:tc>
        <w:tc>
          <w:tcPr>
            <w:tcW w:w="810" w:type="dxa"/>
          </w:tcPr>
          <w:p w:rsidR="000215C5" w:rsidRDefault="000215C5">
            <w:pPr>
              <w:spacing w:after="0"/>
              <w:jc w:val="both"/>
              <w:rPr>
                <w:sz w:val="16"/>
              </w:rPr>
            </w:pPr>
          </w:p>
        </w:tc>
        <w:tc>
          <w:tcPr>
            <w:tcW w:w="612"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739" w:type="dxa"/>
          </w:tcPr>
          <w:p w:rsidR="000215C5" w:rsidRDefault="000215C5">
            <w:pPr>
              <w:spacing w:after="0"/>
              <w:jc w:val="both"/>
              <w:rPr>
                <w:sz w:val="16"/>
              </w:rPr>
            </w:pPr>
          </w:p>
        </w:tc>
        <w:tc>
          <w:tcPr>
            <w:tcW w:w="621"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4961F3">
        <w:trPr>
          <w:trHeight w:val="205"/>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6"/>
              </w:rPr>
            </w:pPr>
            <w:r>
              <w:rPr>
                <w:sz w:val="16"/>
              </w:rPr>
              <w:t>Andra betydande effekter</w:t>
            </w:r>
          </w:p>
        </w:tc>
        <w:tc>
          <w:tcPr>
            <w:tcW w:w="72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1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612"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2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39"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621"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szCs w:val="16"/>
              </w:rPr>
            </w:pPr>
          </w:p>
        </w:tc>
      </w:tr>
    </w:tbl>
    <w:p w:rsidR="000215C5" w:rsidRDefault="000215C5">
      <w:pPr>
        <w:jc w:val="both"/>
        <w:rPr>
          <w:sz w:val="16"/>
        </w:rPr>
      </w:pPr>
    </w:p>
    <w:p w:rsidR="000215C5" w:rsidRDefault="00703023">
      <w:pPr>
        <w:jc w:val="both"/>
        <w:rPr>
          <w:szCs w:val="24"/>
        </w:rPr>
      </w:pPr>
      <w:r>
        <w:t>I vissa fall finns inte uppgifter och information tillgängliga för att ta fram en sådan här tabell. Så kan särskilt vara fallet för vissa typer av påverkan som är svårare att kvantifiera och/eller komplexa avrinningsdistrikt som är utsatta för många typer av påverkan, där det är svårt att skilja mellan påverkan och åtgärder.</w:t>
      </w:r>
    </w:p>
    <w:p w:rsidR="000215C5" w:rsidRDefault="00703023">
      <w:pPr>
        <w:jc w:val="both"/>
        <w:rPr>
          <w:szCs w:val="24"/>
        </w:rPr>
      </w:pPr>
      <w:r>
        <w:t>Medlemsstaterna uppmanas därför att rapportera så mycket uppgifter och information som de kan. När det gäller påverkan ska de rapportera om informationen finns tillgänglig eller kan härledas med rimliga ansträngningar. Om medlemsstaterna inte rapporterar information i detta avseende anses detta inte utgöra bristande efterlevnad av vattendirektivets bestämmelser.</w:t>
      </w:r>
    </w:p>
    <w:p w:rsidR="000215C5" w:rsidRDefault="00703023">
      <w:pPr>
        <w:pStyle w:val="Rubrik1"/>
        <w:jc w:val="both"/>
      </w:pPr>
      <w:bookmarkStart w:id="499" w:name="_Toc400669540"/>
      <w:bookmarkStart w:id="500" w:name="_Toc400670006"/>
      <w:bookmarkStart w:id="501" w:name="_Toc400670344"/>
      <w:bookmarkStart w:id="502" w:name="_Toc400670678"/>
      <w:bookmarkStart w:id="503" w:name="_Toc400670986"/>
      <w:bookmarkStart w:id="504" w:name="_Toc400671290"/>
      <w:bookmarkStart w:id="505" w:name="_Toc400671595"/>
      <w:bookmarkStart w:id="506" w:name="_Toc400671889"/>
      <w:bookmarkStart w:id="507" w:name="_Toc400720366"/>
      <w:bookmarkStart w:id="508" w:name="_Toc375220097"/>
      <w:bookmarkStart w:id="509" w:name="_Toc375294173"/>
      <w:bookmarkStart w:id="510" w:name="_Toc386464244"/>
      <w:bookmarkStart w:id="511" w:name="_Toc425522070"/>
      <w:bookmarkStart w:id="512" w:name="_Toc432666082"/>
      <w:bookmarkStart w:id="513" w:name="_Toc437520278"/>
      <w:bookmarkEnd w:id="499"/>
      <w:bookmarkEnd w:id="500"/>
      <w:bookmarkEnd w:id="501"/>
      <w:bookmarkEnd w:id="502"/>
      <w:bookmarkEnd w:id="503"/>
      <w:bookmarkEnd w:id="504"/>
      <w:bookmarkEnd w:id="505"/>
      <w:bookmarkEnd w:id="506"/>
      <w:bookmarkEnd w:id="507"/>
      <w:r>
        <w:t>Rapportering på nivån för avrinningsdistrikt/delavrinningsdistrikt för grundvatten (mallen GWMET)</w:t>
      </w:r>
      <w:bookmarkEnd w:id="508"/>
      <w:bookmarkEnd w:id="509"/>
      <w:bookmarkEnd w:id="510"/>
      <w:bookmarkEnd w:id="511"/>
      <w:bookmarkEnd w:id="512"/>
      <w:bookmarkEnd w:id="513"/>
    </w:p>
    <w:p w:rsidR="000215C5" w:rsidRDefault="00703023">
      <w:pPr>
        <w:pStyle w:val="Rubrik2"/>
        <w:jc w:val="both"/>
      </w:pPr>
      <w:bookmarkStart w:id="514" w:name="_Toc425522071"/>
      <w:bookmarkStart w:id="515" w:name="_Toc432666083"/>
      <w:bookmarkStart w:id="516" w:name="_Toc437520279"/>
      <w:bookmarkStart w:id="517" w:name="_Toc375220098"/>
      <w:bookmarkStart w:id="518" w:name="_Toc375294174"/>
      <w:bookmarkStart w:id="519" w:name="_Toc386464245"/>
      <w:r>
        <w:t>Översikt av rapportering av metoder för grundvattenförekomster</w:t>
      </w:r>
      <w:bookmarkEnd w:id="514"/>
      <w:bookmarkEnd w:id="515"/>
      <w:bookmarkEnd w:id="516"/>
    </w:p>
    <w:p w:rsidR="000215C5" w:rsidRDefault="00703023">
      <w:pPr>
        <w:jc w:val="both"/>
      </w:pPr>
      <w:r>
        <w:t>Metoder för grundvattenförekomster rapporteras för varje avrinningsdistrikt. Innehållet i rapporteringen struktureras i följande delkapitel i denna vägledning:</w:t>
      </w:r>
    </w:p>
    <w:p w:rsidR="000215C5" w:rsidRDefault="00703023">
      <w:pPr>
        <w:pStyle w:val="Liststycke"/>
        <w:numPr>
          <w:ilvl w:val="0"/>
          <w:numId w:val="79"/>
        </w:numPr>
        <w:jc w:val="both"/>
      </w:pPr>
      <w:r>
        <w:t>Metoder för karakterisering</w:t>
      </w:r>
    </w:p>
    <w:p w:rsidR="000215C5" w:rsidRDefault="00703023">
      <w:pPr>
        <w:pStyle w:val="Liststycke"/>
        <w:numPr>
          <w:ilvl w:val="0"/>
          <w:numId w:val="79"/>
        </w:numPr>
        <w:jc w:val="both"/>
      </w:pPr>
      <w:r>
        <w:t xml:space="preserve">Metoder för klassificering av kemisk status, bedömning av uppåtgående trender, omvända trender, kvantitativ status och gränsöverskridande samordning </w:t>
      </w:r>
    </w:p>
    <w:p w:rsidR="000215C5" w:rsidRDefault="00703023">
      <w:pPr>
        <w:pStyle w:val="Liststycke"/>
        <w:numPr>
          <w:ilvl w:val="0"/>
          <w:numId w:val="79"/>
        </w:numPr>
        <w:jc w:val="both"/>
      </w:pPr>
      <w:r>
        <w:t>Definition av betydande påverkan och effekter</w:t>
      </w:r>
    </w:p>
    <w:p w:rsidR="000215C5" w:rsidRDefault="00703023">
      <w:pPr>
        <w:pStyle w:val="Liststycke"/>
        <w:numPr>
          <w:ilvl w:val="0"/>
          <w:numId w:val="79"/>
        </w:numPr>
        <w:jc w:val="both"/>
      </w:pPr>
      <w:r>
        <w:t>Metoder för undantag</w:t>
      </w:r>
    </w:p>
    <w:p w:rsidR="000215C5" w:rsidRDefault="00703023">
      <w:pPr>
        <w:jc w:val="both"/>
      </w:pPr>
      <w:r>
        <w:t>Innehållet i rapporteringen beskrivs i följande avsnitt. UML-diagrammet i GWMET-mallen finns i bilaga 10.6.</w:t>
      </w:r>
    </w:p>
    <w:p w:rsidR="000215C5" w:rsidRDefault="00703023">
      <w:pPr>
        <w:pStyle w:val="Rubrik2"/>
        <w:jc w:val="both"/>
      </w:pPr>
      <w:bookmarkStart w:id="520" w:name="_Toc425522072"/>
      <w:bookmarkStart w:id="521" w:name="_Toc432666084"/>
      <w:bookmarkStart w:id="522" w:name="_Toc437520280"/>
      <w:r>
        <w:t>Metoder för karakterisering av grundvattenförekomster</w:t>
      </w:r>
      <w:bookmarkEnd w:id="517"/>
      <w:bookmarkEnd w:id="518"/>
      <w:bookmarkEnd w:id="519"/>
      <w:bookmarkEnd w:id="520"/>
      <w:bookmarkEnd w:id="521"/>
      <w:bookmarkEnd w:id="522"/>
      <w:r>
        <w:t xml:space="preserve"> </w:t>
      </w:r>
    </w:p>
    <w:p w:rsidR="000215C5" w:rsidRDefault="00703023">
      <w:pPr>
        <w:pStyle w:val="Rubrik3"/>
      </w:pPr>
      <w:bookmarkStart w:id="523" w:name="_Toc375220099"/>
      <w:r>
        <w:t>Inledning</w:t>
      </w:r>
    </w:p>
    <w:p w:rsidR="000215C5" w:rsidRDefault="00703023">
      <w:pPr>
        <w:jc w:val="both"/>
      </w:pPr>
      <w:r>
        <w:t>Enligt artikel 5 i vattendirektivet ska medlemsstaterna ange lokalisering och gränser för de grundvattenförekomster som ska användas för att bedöma framstegen med att uppnå vattendirektivets miljömål.</w:t>
      </w:r>
    </w:p>
    <w:p w:rsidR="000215C5" w:rsidRDefault="00703023">
      <w:pPr>
        <w:jc w:val="both"/>
      </w:pPr>
      <w:r>
        <w:t>Fastställande av grundvattenförekomsters storlek var en viktig parameter som påverkade utformningen av övervakningsprogrammen och utformningen av lämpliga åtgärdsprogram. När det gäller grundvattenförekomster ska medlemsstaterna enligt vattendirektivet ytterligare karakterisera grundvattenförekomster som befinner sig i riskzonen, med beaktande av den relevanta information som anges i bilaga II 2.2. Arbetet med att slutgiltigt fastställa dessa typer av vattenförekomster skulle slutföras till 2010 inför offentliggörandet av de första förvaltningsplanerna. Karakteriseringen av grundvattenförekomster kan (vid behov) ha setts över och ändrats som ett led i översynen och uppdateringen av artikel 5-analysen, ett arbete som skulle slutföras till december 2013.</w:t>
      </w:r>
    </w:p>
    <w:p w:rsidR="000215C5" w:rsidRDefault="00703023">
      <w:pPr>
        <w:jc w:val="both"/>
      </w:pPr>
      <w:r>
        <w:t>Enligt artikel 5 i direktivet ska medlemsstaterna också analysera grundvattenförekomsters karakteristika och lämna en sammanfattande rapport om karakteriseringen av grundvatten.</w:t>
      </w:r>
    </w:p>
    <w:bookmarkEnd w:id="523"/>
    <w:p w:rsidR="000215C5" w:rsidRDefault="00703023">
      <w:pPr>
        <w:pStyle w:val="Rubrik3"/>
      </w:pPr>
      <w:r>
        <w:t>Hur kommer kommissionen och Europeiska miljöbyrån att använda den rapporterade informationen?</w:t>
      </w:r>
    </w:p>
    <w:p w:rsidR="000215C5" w:rsidRDefault="00703023">
      <w:pPr>
        <w:jc w:val="both"/>
      </w:pPr>
      <w:r>
        <w:t>Kommissionen kommer att använda den information som lämnas för att kontrollera att medlemsstaterna har upprättat och tillämpar metoder enligt vattendirektivet och grundvattendirektivet, och om metoderna är jämförbara mellan medlemsstater och avrinningsdistrikt. På EU-nivå kommer statistik och information att lämnas till Europaparlamentet. Allmänheten kommer att få tillgång till informationen via Wise.</w:t>
      </w:r>
    </w:p>
    <w:p w:rsidR="000215C5" w:rsidRDefault="00703023">
      <w:pPr>
        <w:pStyle w:val="Rubrik3"/>
      </w:pPr>
      <w:bookmarkStart w:id="524" w:name="_Toc375220100"/>
      <w:r>
        <w:t>Innehåll i rapporteringen 2016</w:t>
      </w:r>
      <w:bookmarkEnd w:id="524"/>
    </w:p>
    <w:p w:rsidR="000215C5" w:rsidRDefault="00703023">
      <w:pPr>
        <w:pStyle w:val="Rubrik4"/>
      </w:pPr>
      <w:bookmarkStart w:id="525" w:name="_Ref375239988"/>
      <w:r>
        <w:t>Skiss över mallarna</w:t>
      </w:r>
    </w:p>
    <w:p w:rsidR="000215C5" w:rsidRDefault="00703023">
      <w:pPr>
        <w:jc w:val="both"/>
      </w:pPr>
      <w:r>
        <w:t>Se bilaga 10.6.</w:t>
      </w:r>
    </w:p>
    <w:bookmarkEnd w:id="525"/>
    <w:p w:rsidR="000215C5" w:rsidRDefault="00703023">
      <w:pPr>
        <w:pStyle w:val="Rubrik4"/>
      </w:pPr>
      <w:r>
        <w:t>Information och uppgifter som ska rapporteras med hjälp av mallarna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tcPr>
          <w:p w:rsidR="000215C5" w:rsidRDefault="00703023">
            <w:pPr>
              <w:spacing w:after="120"/>
              <w:jc w:val="both"/>
              <w:rPr>
                <w:b/>
              </w:rPr>
            </w:pPr>
            <w:r>
              <w:rPr>
                <w:b/>
              </w:rPr>
              <w:t>Mall: GWMET</w:t>
            </w:r>
          </w:p>
        </w:tc>
      </w:tr>
      <w:tr w:rsidR="000215C5">
        <w:tc>
          <w:tcPr>
            <w:tcW w:w="9853" w:type="dxa"/>
          </w:tcPr>
          <w:p w:rsidR="000215C5" w:rsidRDefault="00703023">
            <w:pPr>
              <w:spacing w:after="120"/>
              <w:jc w:val="both"/>
              <w:rPr>
                <w:b/>
                <w:i/>
              </w:rPr>
            </w:pPr>
            <w:r>
              <w:rPr>
                <w:b/>
                <w:i/>
              </w:rPr>
              <w:t>Class GWMethodologies</w:t>
            </w:r>
          </w:p>
          <w:p w:rsidR="000215C5" w:rsidRDefault="00703023">
            <w:pPr>
              <w:spacing w:after="120"/>
              <w:jc w:val="both"/>
              <w:rPr>
                <w:i/>
              </w:rPr>
            </w:pPr>
            <w:r>
              <w:rPr>
                <w:b/>
                <w:i/>
              </w:rPr>
              <w:t>Egenskaper</w:t>
            </w:r>
            <w:r>
              <w:rPr>
                <w:i/>
              </w:rPr>
              <w:t>: maxOccurs = 1 minOccurs = 1</w:t>
            </w:r>
          </w:p>
        </w:tc>
      </w:tr>
      <w:tr w:rsidR="000215C5">
        <w:tc>
          <w:tcPr>
            <w:tcW w:w="9853" w:type="dxa"/>
          </w:tcPr>
          <w:p w:rsidR="000215C5" w:rsidRDefault="00703023">
            <w:pPr>
              <w:spacing w:after="120"/>
              <w:jc w:val="both"/>
              <w:rPr>
                <w:b/>
              </w:rPr>
            </w:pPr>
            <w:r>
              <w:rPr>
                <w:b/>
              </w:rPr>
              <w:t>Mallpost</w:t>
            </w:r>
            <w:r>
              <w:t>: gwCharacterisationReference</w:t>
            </w:r>
          </w:p>
          <w:p w:rsidR="000215C5" w:rsidRDefault="00703023">
            <w:pPr>
              <w:spacing w:after="120"/>
              <w:jc w:val="both"/>
              <w:rPr>
                <w:szCs w:val="24"/>
              </w:rPr>
            </w:pPr>
            <w:r>
              <w:rPr>
                <w:b/>
              </w:rPr>
              <w:t>Fälttyp/alternativ/förhållande</w:t>
            </w:r>
            <w:r>
              <w:t>: ReferenceType (se bilaga 9)</w:t>
            </w:r>
          </w:p>
          <w:p w:rsidR="000215C5" w:rsidRDefault="00703023">
            <w:pPr>
              <w:spacing w:after="120"/>
              <w:jc w:val="both"/>
            </w:pPr>
            <w:r>
              <w:rPr>
                <w:b/>
              </w:rPr>
              <w:t xml:space="preserve">Egenskaper: </w:t>
            </w:r>
            <w:r>
              <w:t>maxOccurs = unbounded minOccurs = 1</w:t>
            </w:r>
          </w:p>
          <w:p w:rsidR="000215C5" w:rsidRDefault="00703023">
            <w:pPr>
              <w:spacing w:after="120"/>
              <w:jc w:val="both"/>
              <w:rPr>
                <w:highlight w:val="yellow"/>
              </w:rPr>
            </w:pPr>
            <w:r>
              <w:rPr>
                <w:b/>
              </w:rPr>
              <w:t>Vägledning om hur man fyller i mallposten</w:t>
            </w:r>
            <w:r>
              <w:t xml:space="preserve">: Krävs. Det finns inga standardmetoder för avgränsning och karakterisering av grundvattenförekomster. Därför har inga riktade frågor tagits fram. Medlemsstaterna ska däremot lämna information om den första karakteriseringen och ytterligare karakterisering av grundvattenförekomster. Detaljerad information om den information som krävs finns i avsnitt </w:t>
            </w:r>
            <w:r>
              <w:fldChar w:fldCharType="begin"/>
            </w:r>
            <w:r>
              <w:instrText xml:space="preserve"> REF _Ref385324373 \r \h  \* MERGEFORMAT </w:instrText>
            </w:r>
            <w:r>
              <w:fldChar w:fldCharType="separate"/>
            </w:r>
            <w:r>
              <w:t>8.2.3.3</w:t>
            </w:r>
            <w:r>
              <w:fldChar w:fldCharType="end"/>
            </w:r>
            <w:r>
              <w:t>.</w:t>
            </w:r>
          </w:p>
          <w:p w:rsidR="000215C5" w:rsidRDefault="00703023">
            <w:pPr>
              <w:tabs>
                <w:tab w:val="left" w:pos="1643"/>
                <w:tab w:val="left" w:pos="1995"/>
                <w:tab w:val="left" w:pos="4503"/>
                <w:tab w:val="left" w:pos="8337"/>
              </w:tabs>
              <w:spacing w:after="120"/>
              <w:jc w:val="both"/>
              <w:rPr>
                <w:szCs w:val="24"/>
              </w:rPr>
            </w:pPr>
            <w:r>
              <w:t xml:space="preserve">Ange hänvisningar eller hyperlänkar till relevanta dokument och avsnitt som innehåller specifik information. </w:t>
            </w:r>
          </w:p>
        </w:tc>
      </w:tr>
    </w:tbl>
    <w:p w:rsidR="000215C5" w:rsidRDefault="000215C5">
      <w:pPr>
        <w:jc w:val="both"/>
      </w:pPr>
    </w:p>
    <w:p w:rsidR="000215C5" w:rsidRDefault="00703023">
      <w:pPr>
        <w:pStyle w:val="Rubrik4"/>
      </w:pPr>
      <w:bookmarkStart w:id="526" w:name="_Ref385324373"/>
      <w:r>
        <w:t>Vägledning om innehållet i förvaltningsplanerna för avrinningsdistrikt/bakgrundsdokument</w:t>
      </w:r>
      <w:bookmarkEnd w:id="526"/>
    </w:p>
    <w:p w:rsidR="000215C5" w:rsidRDefault="00703023">
      <w:pPr>
        <w:jc w:val="both"/>
      </w:pPr>
      <w:r>
        <w:t>Nedan ges vägledning om de uppgifter som kommissionen förväntar sig att medlemsstaterna lämnar i de relevanta kapitlen om karakterisering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pPr>
      <w:r>
        <w:t>När det gäller den första karakteriseringen av grundvattenförekomster (bilaga II 2.1 i vattendirektivet) ska de uppgifter som lämnas i förvaltningsplanerna och bakgrundsdokumenten omfatta följande:</w:t>
      </w:r>
    </w:p>
    <w:p w:rsidR="000215C5" w:rsidRDefault="00703023">
      <w:pPr>
        <w:numPr>
          <w:ilvl w:val="0"/>
          <w:numId w:val="37"/>
        </w:numPr>
        <w:jc w:val="both"/>
      </w:pPr>
      <w:r>
        <w:t>Hur användningen av grundvattenförekomster och i vad mån de är utsatta för risk bedömdes.</w:t>
      </w:r>
    </w:p>
    <w:p w:rsidR="000215C5" w:rsidRDefault="00703023">
      <w:pPr>
        <w:numPr>
          <w:ilvl w:val="0"/>
          <w:numId w:val="37"/>
        </w:numPr>
        <w:jc w:val="both"/>
      </w:pPr>
      <w:r>
        <w:t>Metoden för att gruppera grundvattenförekomster (i förekommande fall).</w:t>
      </w:r>
    </w:p>
    <w:p w:rsidR="000215C5" w:rsidRDefault="00703023">
      <w:pPr>
        <w:numPr>
          <w:ilvl w:val="0"/>
          <w:numId w:val="37"/>
        </w:numPr>
        <w:jc w:val="both"/>
      </w:pPr>
      <w:r>
        <w:t>Hur betydande vattenflöden har identifierats för att kartlägga akviferer.</w:t>
      </w:r>
    </w:p>
    <w:p w:rsidR="000215C5" w:rsidRDefault="00703023">
      <w:pPr>
        <w:numPr>
          <w:ilvl w:val="0"/>
          <w:numId w:val="37"/>
        </w:numPr>
        <w:jc w:val="both"/>
      </w:pPr>
      <w:r>
        <w:t>Hur uttag av betydande vattenmängder har identifierats för att kartlägga akviferer.</w:t>
      </w:r>
    </w:p>
    <w:p w:rsidR="000215C5" w:rsidRDefault="00703023">
      <w:pPr>
        <w:numPr>
          <w:ilvl w:val="0"/>
          <w:numId w:val="37"/>
        </w:numPr>
        <w:jc w:val="both"/>
      </w:pPr>
      <w:r>
        <w:t>Särskilda kriterier som har använts för att avgränsa grundvattenförekomster. Kriterierna kan täcka följande aspekter:</w:t>
      </w:r>
    </w:p>
    <w:p w:rsidR="000215C5" w:rsidRDefault="00703023">
      <w:pPr>
        <w:numPr>
          <w:ilvl w:val="1"/>
          <w:numId w:val="37"/>
        </w:numPr>
        <w:jc w:val="both"/>
      </w:pPr>
      <w:r>
        <w:t>Betydande vattenflöden.</w:t>
      </w:r>
    </w:p>
    <w:p w:rsidR="000215C5" w:rsidRDefault="00703023">
      <w:pPr>
        <w:numPr>
          <w:ilvl w:val="1"/>
          <w:numId w:val="37"/>
        </w:numPr>
        <w:jc w:val="both"/>
      </w:pPr>
      <w:r>
        <w:t>Flödeskarakteristika i geologiska skikt.</w:t>
      </w:r>
    </w:p>
    <w:p w:rsidR="000215C5" w:rsidRDefault="00703023">
      <w:pPr>
        <w:numPr>
          <w:ilvl w:val="1"/>
          <w:numId w:val="37"/>
        </w:numPr>
        <w:jc w:val="both"/>
      </w:pPr>
      <w:r>
        <w:t>Flöden mellan skikt inom en akvifer.</w:t>
      </w:r>
    </w:p>
    <w:p w:rsidR="000215C5" w:rsidRDefault="00703023">
      <w:pPr>
        <w:numPr>
          <w:ilvl w:val="1"/>
          <w:numId w:val="37"/>
        </w:numPr>
        <w:jc w:val="both"/>
      </w:pPr>
      <w:r>
        <w:t>Geologiska gränser.</w:t>
      </w:r>
    </w:p>
    <w:p w:rsidR="000215C5" w:rsidRDefault="00703023">
      <w:pPr>
        <w:numPr>
          <w:ilvl w:val="1"/>
          <w:numId w:val="37"/>
        </w:numPr>
        <w:jc w:val="both"/>
      </w:pPr>
      <w:r>
        <w:t>Andra hydrauliska gränser.</w:t>
      </w:r>
    </w:p>
    <w:p w:rsidR="000215C5" w:rsidRDefault="00703023">
      <w:pPr>
        <w:numPr>
          <w:ilvl w:val="1"/>
          <w:numId w:val="37"/>
        </w:numPr>
        <w:jc w:val="both"/>
      </w:pPr>
      <w:r>
        <w:t>Skillnader i status.</w:t>
      </w:r>
    </w:p>
    <w:p w:rsidR="000215C5" w:rsidRDefault="00703023">
      <w:pPr>
        <w:numPr>
          <w:ilvl w:val="1"/>
          <w:numId w:val="37"/>
        </w:numPr>
        <w:jc w:val="both"/>
      </w:pPr>
      <w:r>
        <w:t>Anslutning till direkt vattenberoende ytvatten eller terrestra ekosystem.</w:t>
      </w:r>
    </w:p>
    <w:p w:rsidR="000215C5" w:rsidRDefault="00703023">
      <w:pPr>
        <w:numPr>
          <w:ilvl w:val="1"/>
          <w:numId w:val="37"/>
        </w:numPr>
        <w:jc w:val="both"/>
      </w:pPr>
      <w:r>
        <w:t>Övrigt.</w:t>
      </w:r>
    </w:p>
    <w:p w:rsidR="000215C5" w:rsidRDefault="00703023">
      <w:pPr>
        <w:numPr>
          <w:ilvl w:val="0"/>
          <w:numId w:val="37"/>
        </w:numPr>
        <w:jc w:val="both"/>
      </w:pPr>
      <w:r>
        <w:t>Hur metoden för den första karakteriseringen av grundvattenförekomster har förfinats i den andra versionen av förvaltningsplanerna.</w:t>
      </w:r>
    </w:p>
    <w:p w:rsidR="000215C5" w:rsidRDefault="00703023">
      <w:pPr>
        <w:jc w:val="both"/>
      </w:pPr>
      <w:r>
        <w:t>När det gäller ytterligare karakterisering av grundvattenförekomster i riskzonen (bilaga II 2.2 i vattendirektivet), ska information om hur följande punkter har hanterats tas med i förvaltningsplanerna och bakgrundsdokumenten:</w:t>
      </w:r>
    </w:p>
    <w:p w:rsidR="000215C5" w:rsidRDefault="00703023">
      <w:pPr>
        <w:numPr>
          <w:ilvl w:val="0"/>
          <w:numId w:val="40"/>
        </w:numPr>
        <w:jc w:val="both"/>
      </w:pPr>
      <w:r>
        <w:t>Geologiska karakteristika för grundvattenförekomsterna inbegripet utsträckning och typ av geologiska enheter.</w:t>
      </w:r>
    </w:p>
    <w:p w:rsidR="000215C5" w:rsidRDefault="00703023">
      <w:pPr>
        <w:numPr>
          <w:ilvl w:val="0"/>
          <w:numId w:val="40"/>
        </w:numPr>
        <w:jc w:val="both"/>
      </w:pPr>
      <w:r>
        <w:t>Hydrogeologiska karakteristika för grundvattenförekomsterna inbegripet hydraulisk konduktivitet, porositet och inneslutning.</w:t>
      </w:r>
    </w:p>
    <w:p w:rsidR="000215C5" w:rsidRDefault="00703023">
      <w:pPr>
        <w:numPr>
          <w:ilvl w:val="0"/>
          <w:numId w:val="40"/>
        </w:numPr>
        <w:jc w:val="both"/>
      </w:pPr>
      <w:r>
        <w:t>Karakteristika för de ytliga avlagringarna och jordarna i det tillrinningsområde från vilket grundvattenbildningen sker, inbegripet tjocklek, porositet, hydraulisk konduktivitet och absorptionsegenskaper för dessa avlagringar och jordar.</w:t>
      </w:r>
    </w:p>
    <w:p w:rsidR="000215C5" w:rsidRDefault="00703023">
      <w:pPr>
        <w:numPr>
          <w:ilvl w:val="0"/>
          <w:numId w:val="40"/>
        </w:numPr>
        <w:jc w:val="both"/>
      </w:pPr>
      <w:r>
        <w:t>Stratifieringskarakteristika för grundvattnet inom grundvattenförekomsterna.</w:t>
      </w:r>
    </w:p>
    <w:p w:rsidR="000215C5" w:rsidRDefault="00703023">
      <w:pPr>
        <w:numPr>
          <w:ilvl w:val="0"/>
          <w:numId w:val="40"/>
        </w:numPr>
        <w:jc w:val="both"/>
      </w:pPr>
      <w:r>
        <w:t>De förbundna ytsystem, inbegripet terrestra ekosystem och ytvattenförekomster, som grundvattenförekomsten är dynamiskt förbunden med, inklusive riktningar och vattenutbytesgrad.</w:t>
      </w:r>
    </w:p>
    <w:p w:rsidR="000215C5" w:rsidRDefault="00703023">
      <w:pPr>
        <w:numPr>
          <w:ilvl w:val="0"/>
          <w:numId w:val="40"/>
        </w:numPr>
        <w:jc w:val="both"/>
      </w:pPr>
      <w:r>
        <w:t>Det långfristiga årsgenomsnittet för den totala grundvattenbildningen.</w:t>
      </w:r>
    </w:p>
    <w:p w:rsidR="000215C5" w:rsidRDefault="00703023">
      <w:pPr>
        <w:numPr>
          <w:ilvl w:val="0"/>
          <w:numId w:val="40"/>
        </w:numPr>
        <w:jc w:val="both"/>
      </w:pPr>
      <w:r>
        <w:t>Grundvattnets kemiska sammansättning.</w:t>
      </w:r>
    </w:p>
    <w:p w:rsidR="000215C5" w:rsidRDefault="00703023">
      <w:pPr>
        <w:numPr>
          <w:ilvl w:val="0"/>
          <w:numId w:val="40"/>
        </w:numPr>
        <w:jc w:val="both"/>
      </w:pPr>
      <w:r>
        <w:t>Eventuella typologier som har utformats för karakteriseringen av grundvatten.</w:t>
      </w:r>
    </w:p>
    <w:p w:rsidR="000215C5" w:rsidRDefault="00703023">
      <w:pPr>
        <w:pStyle w:val="Rubrik2"/>
        <w:jc w:val="both"/>
      </w:pPr>
      <w:bookmarkStart w:id="527" w:name="_Toc400669552"/>
      <w:bookmarkStart w:id="528" w:name="_Toc400670018"/>
      <w:bookmarkStart w:id="529" w:name="_Toc400670356"/>
      <w:bookmarkStart w:id="530" w:name="_Toc400670690"/>
      <w:bookmarkStart w:id="531" w:name="_Toc400670998"/>
      <w:bookmarkStart w:id="532" w:name="_Toc400671302"/>
      <w:bookmarkStart w:id="533" w:name="_Toc400671607"/>
      <w:bookmarkStart w:id="534" w:name="_Toc400671901"/>
      <w:bookmarkStart w:id="535" w:name="_Toc400714733"/>
      <w:bookmarkStart w:id="536" w:name="_Toc400714960"/>
      <w:bookmarkStart w:id="537" w:name="_Toc400715184"/>
      <w:bookmarkStart w:id="538" w:name="_Toc400715404"/>
      <w:bookmarkStart w:id="539" w:name="_Toc400715619"/>
      <w:bookmarkStart w:id="540" w:name="_Toc400715831"/>
      <w:bookmarkStart w:id="541" w:name="_Toc400716038"/>
      <w:bookmarkStart w:id="542" w:name="_Toc400716244"/>
      <w:bookmarkStart w:id="543" w:name="_Toc400716444"/>
      <w:bookmarkStart w:id="544" w:name="_Toc400716642"/>
      <w:bookmarkStart w:id="545" w:name="_Toc400716830"/>
      <w:bookmarkStart w:id="546" w:name="_Toc400717009"/>
      <w:bookmarkStart w:id="547" w:name="_Toc400717185"/>
      <w:bookmarkStart w:id="548" w:name="_Toc400717356"/>
      <w:bookmarkStart w:id="549" w:name="_Toc400717520"/>
      <w:bookmarkStart w:id="550" w:name="_Toc400717689"/>
      <w:bookmarkStart w:id="551" w:name="_Toc400717839"/>
      <w:bookmarkStart w:id="552" w:name="_Toc400717971"/>
      <w:bookmarkStart w:id="553" w:name="_Toc400720369"/>
      <w:bookmarkStart w:id="554" w:name="_Toc400669553"/>
      <w:bookmarkStart w:id="555" w:name="_Toc400670019"/>
      <w:bookmarkStart w:id="556" w:name="_Toc400670357"/>
      <w:bookmarkStart w:id="557" w:name="_Toc400670691"/>
      <w:bookmarkStart w:id="558" w:name="_Toc400670999"/>
      <w:bookmarkStart w:id="559" w:name="_Toc400671303"/>
      <w:bookmarkStart w:id="560" w:name="_Toc400671608"/>
      <w:bookmarkStart w:id="561" w:name="_Toc400671902"/>
      <w:bookmarkStart w:id="562" w:name="_Toc400714734"/>
      <w:bookmarkStart w:id="563" w:name="_Toc400714961"/>
      <w:bookmarkStart w:id="564" w:name="_Toc400715185"/>
      <w:bookmarkStart w:id="565" w:name="_Toc400715405"/>
      <w:bookmarkStart w:id="566" w:name="_Toc400715620"/>
      <w:bookmarkStart w:id="567" w:name="_Toc400715832"/>
      <w:bookmarkStart w:id="568" w:name="_Toc400716039"/>
      <w:bookmarkStart w:id="569" w:name="_Toc400716245"/>
      <w:bookmarkStart w:id="570" w:name="_Toc400716445"/>
      <w:bookmarkStart w:id="571" w:name="_Toc400716643"/>
      <w:bookmarkStart w:id="572" w:name="_Toc400716831"/>
      <w:bookmarkStart w:id="573" w:name="_Toc400717010"/>
      <w:bookmarkStart w:id="574" w:name="_Toc400717186"/>
      <w:bookmarkStart w:id="575" w:name="_Toc400717357"/>
      <w:bookmarkStart w:id="576" w:name="_Toc400717521"/>
      <w:bookmarkStart w:id="577" w:name="_Toc400717690"/>
      <w:bookmarkStart w:id="578" w:name="_Toc400717840"/>
      <w:bookmarkStart w:id="579" w:name="_Toc400717972"/>
      <w:bookmarkStart w:id="580" w:name="_Toc400720370"/>
      <w:bookmarkStart w:id="581" w:name="_Toc375220101"/>
      <w:bookmarkStart w:id="582" w:name="_Toc375294175"/>
      <w:bookmarkStart w:id="583" w:name="_Toc386464246"/>
      <w:bookmarkStart w:id="584" w:name="_Toc425522073"/>
      <w:bookmarkStart w:id="585" w:name="_Toc432666085"/>
      <w:bookmarkStart w:id="586" w:name="_Toc437520281"/>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t>Metoder för klassificering av kemisk status, bedömning av uppåtgående trender, omvända trender, kvantitativ status och gränsöverskridande samordning</w:t>
      </w:r>
      <w:bookmarkEnd w:id="581"/>
      <w:bookmarkEnd w:id="582"/>
      <w:bookmarkEnd w:id="583"/>
      <w:bookmarkEnd w:id="584"/>
      <w:bookmarkEnd w:id="585"/>
      <w:bookmarkEnd w:id="586"/>
    </w:p>
    <w:p w:rsidR="000215C5" w:rsidRDefault="00703023">
      <w:pPr>
        <w:pStyle w:val="Rubrik3"/>
      </w:pPr>
      <w:bookmarkStart w:id="587" w:name="_Toc375220102"/>
      <w:r>
        <w:t>Inledning</w:t>
      </w:r>
    </w:p>
    <w:p w:rsidR="000215C5" w:rsidRDefault="00703023">
      <w:pPr>
        <w:jc w:val="both"/>
      </w:pPr>
      <w:r>
        <w:t>I bilaga V till vattendirektivet anges hur medlemsstaterna ska övervaka grundvatten, presentera resultat av klassificeringen av kemisk och kvantitativ status och identifiera grundvattenförekomster med betydande och ihållande uppåtgående trender</w:t>
      </w:r>
      <w:r>
        <w:rPr>
          <w:vertAlign w:val="superscript"/>
        </w:rPr>
        <w:footnoteReference w:id="96"/>
      </w:r>
      <w:r>
        <w:t xml:space="preserve"> för föroreningskoncentrationer. Detaljerade bestämmelser och kriterier för kemisk status och trendbedömningar fastställs i grundvattendirektivet</w:t>
      </w:r>
      <w:r>
        <w:rPr>
          <w:rStyle w:val="Fotnotsreferens"/>
        </w:rPr>
        <w:footnoteReference w:id="97"/>
      </w:r>
      <w:r>
        <w:t>.</w:t>
      </w:r>
    </w:p>
    <w:p w:rsidR="000215C5" w:rsidRDefault="00703023">
      <w:pPr>
        <w:jc w:val="both"/>
      </w:pPr>
      <w:r>
        <w:t>Förutom vattendirektivets rapporteringskrav införs genom grundvattendirektivet flera kompletterande rapporteringskrav för att säkerställa att grundvattenförekomsternas status och trender har fastställts enligt grundvattendirektivets bestämmelser på ett konsekvent och jämförbart sätt inom EU.</w:t>
      </w:r>
    </w:p>
    <w:p w:rsidR="000215C5" w:rsidRDefault="00703023">
      <w:pPr>
        <w:jc w:val="both"/>
        <w:rPr>
          <w:bCs/>
        </w:rPr>
      </w:pPr>
      <w:r>
        <w:t>Rapporteringskraven innehåller gränsvärden, dvs. kvalitetsnormer för grundvatten som fastställts av medlemsstaterna. Dessa ska rapporteras tillsammans med en sammanfattning av den metod som använts för att identifiera förorenande ämnen (eller föroreningsindikatorer) och för att härleda gränsvärdena. Kriterierna för fastställande av gränsvärden anges i artikel 3 och bilagorna I och II till grundvattendirektivet (rapporteringsskyldigheter enligt grundvattendirektivet, artikel 3.5 och bilaga II del C). Detta är kopplat till den analys av påverkan och effekter som krävs enligt artikel 5 i vattendirektivet och till artikel 17 i vattendirektivet när det gäller strategier för att hindra och reglera förorening av grundvatten.</w:t>
      </w:r>
    </w:p>
    <w:p w:rsidR="000215C5" w:rsidRDefault="00703023">
      <w:pPr>
        <w:jc w:val="both"/>
        <w:rPr>
          <w:iCs/>
        </w:rPr>
      </w:pPr>
      <w:r>
        <w:t xml:space="preserve">Enligt artikel 3.1 b i grundvattendirektivet ska tröskelvärden fastställas för de förorenande ämnen, grupper av förorenande ämnen och föroreningsindikatorer – de relevanta parametrarna – som har fastställts som bidragande till att grundvattenförekomster eller grupper av grundvattenförekomster bedöms vara i riskzonen för att inte uppfylla målen enligt artikel 4 i vattendirektivet, med beaktande av </w:t>
      </w:r>
      <w:r>
        <w:rPr>
          <w:u w:val="single"/>
        </w:rPr>
        <w:t>åtminstone</w:t>
      </w:r>
      <w:r>
        <w:t xml:space="preserve"> förteckningen i del B i bilaga II till vattendirektivet.</w:t>
      </w:r>
    </w:p>
    <w:p w:rsidR="000215C5" w:rsidRDefault="00703023">
      <w:pPr>
        <w:jc w:val="both"/>
        <w:rPr>
          <w:bCs/>
        </w:rPr>
      </w:pPr>
      <w:r>
        <w:t>Enligt vattendirektivet ska den metod som används för att klassificera grundvattenförekomster med avseende på kemisk status rapporteras. Kraven fastställs i bilaga V till vattendirektivet samt artikel 4 och bilaga III till grundvattendirektivet (rapporteringskraven i grundvattendirektivet anges i artikel 4.4 och bilaga III punkt 5).</w:t>
      </w:r>
    </w:p>
    <w:p w:rsidR="000215C5" w:rsidRDefault="00703023">
      <w:pPr>
        <w:jc w:val="both"/>
        <w:rPr>
          <w:bCs/>
        </w:rPr>
      </w:pPr>
      <w:r>
        <w:t>Enligt vattendirektivet ska även den metod som används för trendbedömning rapporteras, inklusive hur resultaten från övervakningen vid individuella övervakningsstationer har använts. Utgångspunkter för att motverka trender och skälen till att utgångspunkterna har valts ska också rapporteras. Kraven avseende identifiering av uppåtgående trender och fastställande av utgångspunkter för att motverka trender fastställs i artikel 5 och bilaga IV i vattendirektivet (rapporteringskraven i artikel 5.4 och 5.5 och bilaga IV del A punkt 3 i vattendirektivet).</w:t>
      </w:r>
    </w:p>
    <w:bookmarkEnd w:id="587"/>
    <w:p w:rsidR="000215C5" w:rsidRDefault="00703023">
      <w:pPr>
        <w:pStyle w:val="Rubrik3"/>
      </w:pPr>
      <w:r>
        <w:t>Hur kommer kommissionen och Europeiska miljöbyrån att använda den rapporterade informationen?</w:t>
      </w:r>
    </w:p>
    <w:p w:rsidR="000215C5" w:rsidRDefault="00703023">
      <w:pPr>
        <w:jc w:val="both"/>
      </w:pPr>
      <w:r>
        <w:t>Den information som lämnas av medlemsstaterna kommer att användas för att fastställa om de har upprättat och tillämpat metoder enligt vattendirektivet och grundvattendirektivet för att härleda gränsvärden, bedöma status (kemisk och kvantitativ) och identifiera miljömässigt betydande föroreningstrender (samt utgångspunkter för att motverka trender).</w:t>
      </w:r>
    </w:p>
    <w:p w:rsidR="000215C5" w:rsidRDefault="00703023">
      <w:pPr>
        <w:jc w:val="both"/>
      </w:pPr>
      <w:r>
        <w:t xml:space="preserve">Kommissionen kommer att kontrollera att de metoder som tillämpas är jämförbara mellan medlemsstaterna och avrinningsdistrikten. Jämförelsen av bedömningskriterier och gränsvärden kommer att leda till att resultaten av statusbedömningen blir mer insynsvänliga och kommer att göra det möjligt att identifiera eventuella skillnader. Information om gränsvärden och de ämnen för vilka sådana gränsvärden har fastställts kommer att sammanfattas och analyseras. </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3"/>
      </w:pPr>
      <w:bookmarkStart w:id="588" w:name="_Toc375220103"/>
      <w:r>
        <w:t>Innehåll i rapporteringen 2016</w:t>
      </w:r>
      <w:bookmarkEnd w:id="588"/>
    </w:p>
    <w:p w:rsidR="000215C5" w:rsidRDefault="00703023">
      <w:pPr>
        <w:pStyle w:val="Rubrik4"/>
      </w:pPr>
      <w:bookmarkStart w:id="589" w:name="_Ref375240065"/>
      <w:r>
        <w:t>Skiss över mallarna</w:t>
      </w:r>
    </w:p>
    <w:p w:rsidR="000215C5" w:rsidRDefault="00703023">
      <w:pPr>
        <w:jc w:val="both"/>
      </w:pPr>
      <w:r>
        <w:t>Se bilaga 10.6.</w:t>
      </w:r>
    </w:p>
    <w:bookmarkEnd w:id="589"/>
    <w:p w:rsidR="000215C5" w:rsidRDefault="00703023">
      <w:pPr>
        <w:pStyle w:val="Rubrik4"/>
      </w:pPr>
      <w:r>
        <w:t>Information och uppgifter som ska rapporteras med hjälp av mallarna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GWMET (fortsättning)</w:t>
            </w:r>
          </w:p>
        </w:tc>
      </w:tr>
      <w:tr w:rsidR="000215C5">
        <w:tc>
          <w:tcPr>
            <w:tcW w:w="9853" w:type="dxa"/>
            <w:shd w:val="clear" w:color="auto" w:fill="auto"/>
          </w:tcPr>
          <w:p w:rsidR="000215C5" w:rsidRDefault="00703023">
            <w:pPr>
              <w:spacing w:after="120"/>
              <w:jc w:val="both"/>
              <w:rPr>
                <w:b/>
                <w:i/>
                <w:szCs w:val="24"/>
              </w:rPr>
            </w:pPr>
            <w:r>
              <w:rPr>
                <w:b/>
                <w:i/>
              </w:rPr>
              <w:t>Class GWMethodologies (fortsättning)</w:t>
            </w:r>
          </w:p>
          <w:p w:rsidR="000215C5" w:rsidRDefault="00703023">
            <w:pPr>
              <w:spacing w:after="120"/>
              <w:jc w:val="both"/>
              <w:rPr>
                <w:i/>
                <w:szCs w:val="24"/>
              </w:rPr>
            </w:pPr>
            <w:r>
              <w:rPr>
                <w:b/>
                <w:i/>
              </w:rPr>
              <w:t xml:space="preserve">Egenskaper: </w:t>
            </w:r>
            <w:r>
              <w:rPr>
                <w:i/>
              </w:rPr>
              <w:t>maxOccurs = 1 minOccurs = 1</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diminutionDamage</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minskningar av ytvattnets kemi och ekologi samt skador på grundvattenberoende terrestra ekosystem på grund av överföring av förorenande ämnen från grundvattenförekomsten har beaktats i bedömningen av kemisk status. </w:t>
            </w:r>
          </w:p>
          <w:p w:rsidR="000215C5" w:rsidRDefault="00703023">
            <w:pPr>
              <w:spacing w:after="120"/>
              <w:jc w:val="both"/>
              <w:rPr>
                <w:b/>
                <w:szCs w:val="24"/>
              </w:rPr>
            </w:pPr>
            <w:r>
              <w:t xml:space="preserve">Ange ”Not applicable” om det inte finns några grundvattenberoende ytvatten eller terrestra ekosystem.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methodCriterionExtentExceedance</w:t>
            </w:r>
          </w:p>
          <w:p w:rsidR="000215C5" w:rsidRDefault="00703023">
            <w:pPr>
              <w:spacing w:after="120"/>
              <w:jc w:val="both"/>
              <w:rPr>
                <w:szCs w:val="24"/>
              </w:rPr>
            </w:pPr>
            <w:r>
              <w:rPr>
                <w:b/>
              </w:rPr>
              <w:t xml:space="preserve">Fälttyp/alternativ: </w:t>
            </w:r>
            <w:r>
              <w:t>MethodCriteriumExtentExeedence_Enum:</w:t>
            </w:r>
          </w:p>
          <w:p w:rsidR="000215C5" w:rsidRDefault="00703023">
            <w:pPr>
              <w:spacing w:after="120"/>
              <w:jc w:val="both"/>
              <w:rPr>
                <w:szCs w:val="24"/>
              </w:rPr>
            </w:pPr>
            <w:r>
              <w:t>Metod 1: Andel (i procent) av antalet övervakningsstationer som överskrider en kvalitetsnorm för grundvatten eller ett gränsvärde jämfört med det totala antalet övervakningsstationer i hela grundvattenförekomsten.</w:t>
            </w:r>
          </w:p>
          <w:p w:rsidR="000215C5" w:rsidRDefault="00703023">
            <w:pPr>
              <w:spacing w:after="120"/>
              <w:jc w:val="both"/>
              <w:rPr>
                <w:szCs w:val="24"/>
              </w:rPr>
            </w:pPr>
            <w:r>
              <w:t>Metod 2: Andel (i procent) av grundvattenförekomstens totala yta som täcks av övervakningsstationer som överskrider en kvalitetsnorm för grundvatten eller ett gränsvärde jämfört med hela grundvattenförekomstens totala yta.</w:t>
            </w:r>
          </w:p>
          <w:p w:rsidR="000215C5" w:rsidRDefault="00703023">
            <w:pPr>
              <w:spacing w:after="120"/>
              <w:jc w:val="both"/>
              <w:rPr>
                <w:szCs w:val="24"/>
              </w:rPr>
            </w:pPr>
            <w:r>
              <w:t>Metod 3: Andel (i procent) av grundvattenförekomstens totala volym som täcks av övervakningsstationer som överskrider en kvalitetsnorm för grundvatten eller ett gränsvärde jämfört med hela grundvattenförekomstens totala volym.</w:t>
            </w:r>
          </w:p>
          <w:p w:rsidR="000215C5" w:rsidRPr="00042B6E" w:rsidRDefault="00042B6E" w:rsidP="00042B6E">
            <w:r>
              <w:t>Övrigt</w:t>
            </w:r>
            <w:r w:rsidR="00703023">
              <w:t xml:space="preserve">. </w:t>
            </w:r>
          </w:p>
          <w:p w:rsidR="000215C5" w:rsidRDefault="00703023">
            <w:pPr>
              <w:spacing w:after="120"/>
              <w:jc w:val="both"/>
              <w:rPr>
                <w:szCs w:val="24"/>
              </w:rPr>
            </w:pPr>
            <w:r>
              <w:t>Inga.</w:t>
            </w:r>
          </w:p>
          <w:p w:rsidR="000215C5" w:rsidRDefault="00703023">
            <w:pPr>
              <w:spacing w:after="120"/>
              <w:jc w:val="both"/>
              <w:rPr>
                <w:szCs w:val="24"/>
              </w:rPr>
            </w:pPr>
            <w:r>
              <w:t>Ej relevant eftersom inga övervakningsstationer överskrider en kvalitetsnorm för grundvatten eller ett gränsvärde för ett förorenande ämne.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Ange vilken metod eller vilket kriterium som har tillämpats för att uppskatta omfattningen av grundvattenförekomster som överskrider kvalitetsnormer eller gränsvärden för grundvatten, och i hur stor omfattning grundvattenförekomster får överskrida kvalitetsnormer för grundvatten eller gränsvärden för att det ska anses godtagbart att bekräfta god kemisk status för grundvattenförekomsten.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proportionExceedanceAllowed</w:t>
            </w:r>
          </w:p>
          <w:p w:rsidR="000215C5" w:rsidRDefault="00703023">
            <w:pPr>
              <w:spacing w:after="120"/>
              <w:jc w:val="both"/>
              <w:rPr>
                <w:szCs w:val="24"/>
              </w:rPr>
            </w:pPr>
            <w:r>
              <w:rPr>
                <w:b/>
              </w:rPr>
              <w:t xml:space="preserve">Fälttyp/alternativ: </w:t>
            </w:r>
            <w:r>
              <w:t xml:space="preserve">NumberDecimal0100Type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metod 1, 2 eller 3 har tillämpats för att uppskatta omfattningen av grundvattenförekomster som överskrider kvalitetsnormer eller gränsvärden för grundvatten, ange andelen (i procent) av övervakningsstationer, yta eller volym (efter vad som passar i varje fall) där överskridande anses godtagbart för att bekräfta god kemisk status för grundvattenförekomsten. </w:t>
            </w:r>
          </w:p>
          <w:p w:rsidR="000215C5" w:rsidRDefault="00703023">
            <w:pPr>
              <w:spacing w:after="120"/>
              <w:jc w:val="both"/>
              <w:rPr>
                <w:szCs w:val="24"/>
              </w:rPr>
            </w:pPr>
            <w:r>
              <w:rPr>
                <w:b/>
              </w:rPr>
              <w:t>Kvalitetskontroller</w:t>
            </w:r>
            <w:r>
              <w:t xml:space="preserve">: </w:t>
            </w:r>
          </w:p>
          <w:p w:rsidR="000215C5" w:rsidRDefault="00703023">
            <w:pPr>
              <w:spacing w:after="120"/>
              <w:jc w:val="both"/>
              <w:rPr>
                <w:szCs w:val="24"/>
              </w:rPr>
            </w:pPr>
            <w:r>
              <w:t>Villkorlig kontroll: Rapportera om MethodCriterionExtentExceedance is ”Method 1…”, ”Method 2…” eller ”Method 3…”.</w:t>
            </w:r>
          </w:p>
        </w:tc>
      </w:tr>
      <w:tr w:rsidR="000215C5">
        <w:tc>
          <w:tcPr>
            <w:tcW w:w="9853" w:type="dxa"/>
            <w:shd w:val="clear" w:color="auto" w:fill="auto"/>
          </w:tcPr>
          <w:p w:rsidR="000215C5" w:rsidRPr="00FD78F1" w:rsidRDefault="00703023">
            <w:pPr>
              <w:spacing w:after="120"/>
              <w:jc w:val="both"/>
              <w:rPr>
                <w:b/>
                <w:szCs w:val="24"/>
                <w:lang w:val="en-GB"/>
              </w:rPr>
            </w:pPr>
            <w:r w:rsidRPr="00FD78F1">
              <w:rPr>
                <w:b/>
                <w:lang w:val="en-GB"/>
              </w:rPr>
              <w:t>Mallpost</w:t>
            </w:r>
            <w:r w:rsidRPr="00FD78F1">
              <w:rPr>
                <w:lang w:val="en-GB"/>
              </w:rPr>
              <w:t>:</w:t>
            </w:r>
            <w:r w:rsidRPr="00FD78F1">
              <w:rPr>
                <w:b/>
                <w:lang w:val="en-GB"/>
              </w:rPr>
              <w:t xml:space="preserve"> </w:t>
            </w:r>
            <w:r w:rsidRPr="00FD78F1">
              <w:rPr>
                <w:lang w:val="en-GB"/>
              </w:rPr>
              <w:t>impactsGWAbstractionBalance</w:t>
            </w:r>
          </w:p>
          <w:p w:rsidR="000215C5" w:rsidRPr="00FD78F1" w:rsidRDefault="00703023">
            <w:pPr>
              <w:spacing w:after="120"/>
              <w:jc w:val="both"/>
              <w:rPr>
                <w:szCs w:val="24"/>
                <w:lang w:val="en-GB"/>
              </w:rPr>
            </w:pPr>
            <w:r w:rsidRPr="00FD78F1">
              <w:rPr>
                <w:b/>
                <w:lang w:val="en-GB"/>
              </w:rPr>
              <w:t xml:space="preserve">Fälttyp/alternativ: </w:t>
            </w:r>
            <w:r w:rsidRPr="00FD78F1">
              <w:rPr>
                <w:lang w:val="en-GB"/>
              </w:rP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Om den tillgängliga grundvattenresursen inte överskrids av det långsiktiga genomsnittliga uttaget per år, har detta övervägts i bedömningen av grundvattnets kvantitativa status? </w:t>
            </w:r>
          </w:p>
          <w:p w:rsidR="000215C5" w:rsidRDefault="00703023">
            <w:pPr>
              <w:spacing w:after="120"/>
              <w:jc w:val="both"/>
              <w:rPr>
                <w:b/>
                <w:szCs w:val="24"/>
              </w:rPr>
            </w:pPr>
            <w:r>
              <w:t>Närmare information om vattenuttag finns i CIS-vägledningsdokument nr 18 om grundvattenstatus och trendbedömning</w:t>
            </w:r>
            <w:bookmarkStart w:id="590" w:name="_Ref428526479"/>
            <w:r>
              <w:rPr>
                <w:rStyle w:val="Fotnotsreferens"/>
              </w:rPr>
              <w:footnoteReference w:id="98"/>
            </w:r>
            <w:bookmarkEnd w:id="590"/>
            <w:r>
              <w:t xml:space="preserve">.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impactsGWAbstractionSWObjective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förbundna ytvattenförekomster som inte uppfyller miljömålen i artikel 4 i vattendirektivet på grund av ändrade vattennivåer till följd av mänsklig verksamhet eller ändrade flödesförhållanden beaktats i bedömningen av grundvattnets kvantitativa status? </w:t>
            </w:r>
          </w:p>
          <w:p w:rsidR="000215C5" w:rsidRDefault="00703023">
            <w:pPr>
              <w:spacing w:after="120"/>
              <w:jc w:val="both"/>
              <w:rPr>
                <w:b/>
                <w:szCs w:val="24"/>
              </w:rPr>
            </w:pPr>
            <w:r>
              <w:t>Närmare information om vattenuttag finns i CIS-vägledningsdokument nr 18 om grundvattenstatus och trendbedömning</w:t>
            </w:r>
            <w:r>
              <w:rPr>
                <w:szCs w:val="24"/>
                <w:vertAlign w:val="superscript"/>
              </w:rPr>
              <w:fldChar w:fldCharType="begin"/>
            </w:r>
            <w:r>
              <w:rPr>
                <w:szCs w:val="24"/>
                <w:vertAlign w:val="superscript"/>
              </w:rPr>
              <w:instrText xml:space="preserve"> NOTEREF _Ref428526479 \h  \* MERGEFORMAT </w:instrText>
            </w:r>
            <w:r>
              <w:rPr>
                <w:szCs w:val="24"/>
                <w:vertAlign w:val="superscript"/>
              </w:rPr>
            </w:r>
            <w:r>
              <w:rPr>
                <w:szCs w:val="24"/>
                <w:vertAlign w:val="superscript"/>
              </w:rPr>
              <w:fldChar w:fldCharType="separate"/>
            </w:r>
            <w:r>
              <w:rPr>
                <w:szCs w:val="24"/>
                <w:vertAlign w:val="superscript"/>
              </w:rPr>
              <w:t>97</w:t>
            </w:r>
            <w:r>
              <w:rPr>
                <w:szCs w:val="24"/>
                <w:vertAlign w:val="superscript"/>
              </w:rPr>
              <w:fldChar w:fldCharType="end"/>
            </w:r>
            <w:r>
              <w:t xml:space="preserve">.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impactsGWAbstractionSWDiminutionStatus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betydande minskningar i ytvattenförekomsters status på grund av ändrade vattennivåer till följd av mänsklig verksamhet eller ändrade flödesförhållanden beaktats i bedömningen av grundvattnets kvantitativa status? </w:t>
            </w:r>
          </w:p>
          <w:p w:rsidR="000215C5" w:rsidRDefault="00703023">
            <w:pPr>
              <w:spacing w:after="120"/>
              <w:jc w:val="both"/>
              <w:rPr>
                <w:b/>
                <w:szCs w:val="24"/>
              </w:rPr>
            </w:pPr>
            <w:r>
              <w:t>Närmare information om vattenuttag finns i CIS-vägledningsdokument nr 18 om grundvattenstatus och trendbedömning</w:t>
            </w:r>
            <w:r>
              <w:rPr>
                <w:szCs w:val="24"/>
                <w:vertAlign w:val="superscript"/>
              </w:rPr>
              <w:fldChar w:fldCharType="begin"/>
            </w:r>
            <w:r>
              <w:rPr>
                <w:szCs w:val="24"/>
                <w:vertAlign w:val="superscript"/>
              </w:rPr>
              <w:instrText xml:space="preserve"> NOTEREF _Ref428526479 \h  \* MERGEFORMAT </w:instrText>
            </w:r>
            <w:r>
              <w:rPr>
                <w:szCs w:val="24"/>
                <w:vertAlign w:val="superscript"/>
              </w:rPr>
            </w:r>
            <w:r>
              <w:rPr>
                <w:szCs w:val="24"/>
                <w:vertAlign w:val="superscript"/>
              </w:rPr>
              <w:fldChar w:fldCharType="separate"/>
            </w:r>
            <w:r>
              <w:rPr>
                <w:szCs w:val="24"/>
                <w:vertAlign w:val="superscript"/>
              </w:rPr>
              <w:t>97</w:t>
            </w:r>
            <w:r>
              <w:rPr>
                <w:szCs w:val="24"/>
                <w:vertAlign w:val="superscript"/>
              </w:rPr>
              <w:fldChar w:fldCharType="end"/>
            </w:r>
            <w:r>
              <w:t xml:space="preserve">.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impactsGWAbstractionDamageGWDE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betydande skador på grundvattenberoende terrestra ekosystem på grund av ändrade vattennivåer till följd av mänsklig verksamhet beaktats i bedömningen av grundvattnets kvantitativa status? </w:t>
            </w:r>
          </w:p>
          <w:p w:rsidR="000215C5" w:rsidRDefault="00703023">
            <w:pPr>
              <w:spacing w:after="120"/>
              <w:jc w:val="both"/>
              <w:rPr>
                <w:b/>
                <w:szCs w:val="24"/>
              </w:rPr>
            </w:pPr>
            <w:r>
              <w:t>Närmare information om vattenuttag finns i CIS-vägledningsdokument nr 18 om grundvattenstatus och trendbedömning</w:t>
            </w:r>
            <w:r>
              <w:rPr>
                <w:szCs w:val="24"/>
                <w:vertAlign w:val="superscript"/>
              </w:rPr>
              <w:fldChar w:fldCharType="begin"/>
            </w:r>
            <w:r>
              <w:rPr>
                <w:szCs w:val="24"/>
                <w:vertAlign w:val="superscript"/>
              </w:rPr>
              <w:instrText xml:space="preserve"> NOTEREF _Ref428526479 \h  \* MERGEFORMAT </w:instrText>
            </w:r>
            <w:r>
              <w:rPr>
                <w:szCs w:val="24"/>
                <w:vertAlign w:val="superscript"/>
              </w:rPr>
            </w:r>
            <w:r>
              <w:rPr>
                <w:szCs w:val="24"/>
                <w:vertAlign w:val="superscript"/>
              </w:rPr>
              <w:fldChar w:fldCharType="separate"/>
            </w:r>
            <w:r>
              <w:rPr>
                <w:szCs w:val="24"/>
                <w:vertAlign w:val="superscript"/>
              </w:rPr>
              <w:t>97</w:t>
            </w:r>
            <w:r>
              <w:rPr>
                <w:szCs w:val="24"/>
                <w:vertAlign w:val="superscript"/>
              </w:rPr>
              <w:fldChar w:fldCharType="end"/>
            </w:r>
            <w:r>
              <w:t xml:space="preserve">.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impactsGWAbstractionSalineIntrusion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regional saltinträngning eller annan inträngning på grund av långsiktiga ändringar i flödesriktningen till följd av mänsklig påverkan beaktats i bedömningen av grundvattnets kvantitativa status? </w:t>
            </w:r>
          </w:p>
          <w:p w:rsidR="000215C5" w:rsidRDefault="00703023">
            <w:pPr>
              <w:spacing w:after="120"/>
              <w:jc w:val="both"/>
              <w:rPr>
                <w:b/>
                <w:szCs w:val="24"/>
              </w:rPr>
            </w:pPr>
            <w:r>
              <w:t>Närmare information om vattenuttag finns i CIS-vägledningsdokument nr 18 om grundvattenstatus och trendbedömning</w:t>
            </w:r>
            <w:r>
              <w:rPr>
                <w:szCs w:val="24"/>
                <w:vertAlign w:val="superscript"/>
              </w:rPr>
              <w:fldChar w:fldCharType="begin"/>
            </w:r>
            <w:r>
              <w:rPr>
                <w:szCs w:val="24"/>
                <w:vertAlign w:val="superscript"/>
              </w:rPr>
              <w:instrText xml:space="preserve"> NOTEREF _Ref428526479 \h  \* MERGEFORMAT </w:instrText>
            </w:r>
            <w:r>
              <w:rPr>
                <w:szCs w:val="24"/>
                <w:vertAlign w:val="superscript"/>
              </w:rPr>
            </w:r>
            <w:r>
              <w:rPr>
                <w:szCs w:val="24"/>
                <w:vertAlign w:val="superscript"/>
              </w:rPr>
              <w:fldChar w:fldCharType="separate"/>
            </w:r>
            <w:r>
              <w:rPr>
                <w:szCs w:val="24"/>
                <w:vertAlign w:val="superscript"/>
              </w:rPr>
              <w:t>97</w:t>
            </w:r>
            <w:r>
              <w:rPr>
                <w:szCs w:val="24"/>
                <w:vertAlign w:val="superscript"/>
              </w:rPr>
              <w:fldChar w:fldCharType="end"/>
            </w:r>
            <w:r>
              <w:t xml:space="preserve">. </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availableGroundwaterResource</w:t>
            </w:r>
          </w:p>
          <w:p w:rsidR="000215C5" w:rsidRPr="00D95552" w:rsidRDefault="00703023">
            <w:pPr>
              <w:spacing w:after="120"/>
              <w:jc w:val="both"/>
              <w:rPr>
                <w:szCs w:val="24"/>
              </w:rPr>
            </w:pPr>
            <w:r w:rsidRPr="00D95552">
              <w:rPr>
                <w:b/>
              </w:rPr>
              <w:t xml:space="preserve">Fälttyp/alternativ: </w:t>
            </w:r>
            <w:r w:rsidRPr="00D95552">
              <w:t xml:space="preserve">YesNoPartially_Union_Enum: Yes, No, Partially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Ange om kriteriet ”tillgänglig grundvattenresurs” har tillämpats enligt artikel 2.27 i vattendirektivet.</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needsTerrestrialEcosystems</w:t>
            </w:r>
          </w:p>
          <w:p w:rsidR="000215C5" w:rsidRDefault="00703023">
            <w:pPr>
              <w:spacing w:after="120"/>
              <w:jc w:val="both"/>
              <w:rPr>
                <w:szCs w:val="24"/>
              </w:rPr>
            </w:pPr>
            <w:r>
              <w:rPr>
                <w:b/>
              </w:rPr>
              <w:t>Fälttyp/alternativ:</w:t>
            </w:r>
            <w:r>
              <w:t xml:space="preserve"> 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behoven hos terrestra ekosystem som är förbundna med grundvattenförekomster har bedömts. Ange ”Not applicable” om det inte finns några terrestra ekosystem som är förbundna med grundvattenförekomster.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balanceRechargeAbstraction</w:t>
            </w:r>
          </w:p>
          <w:p w:rsidR="000215C5" w:rsidRDefault="00703023">
            <w:pPr>
              <w:spacing w:after="120"/>
              <w:jc w:val="both"/>
              <w:rPr>
                <w:szCs w:val="24"/>
              </w:rPr>
            </w:pPr>
            <w:r>
              <w:rPr>
                <w:b/>
              </w:rPr>
              <w:t xml:space="preserve">Fälttyp/alternativ: </w:t>
            </w:r>
            <w:r>
              <w:t>BalanceRechargeAbstraction_Enum:</w:t>
            </w:r>
          </w:p>
          <w:p w:rsidR="000215C5" w:rsidRDefault="00703023">
            <w:pPr>
              <w:spacing w:after="120"/>
              <w:jc w:val="both"/>
              <w:rPr>
                <w:szCs w:val="24"/>
              </w:rPr>
            </w:pPr>
            <w:r>
              <w:t>Metod 1: En jämförelse av det genomsnittliga grundvattenuttaget per år mot ”tillgänglig grundvattenresurs” har beräknats för varje grundvattenförekomst.</w:t>
            </w:r>
          </w:p>
          <w:p w:rsidR="000215C5" w:rsidRDefault="00703023">
            <w:pPr>
              <w:spacing w:after="120"/>
              <w:jc w:val="both"/>
              <w:rPr>
                <w:szCs w:val="24"/>
              </w:rPr>
            </w:pPr>
            <w:r>
              <w:t>Metod 2: En jämförelse av det genomsnittliga grundvattenuttaget per år mot ”tillgänglig grundvattenresurs” i grundvattenförekomsten har beräknats för en undergrupp av alla grundvattenförekomster.</w:t>
            </w:r>
          </w:p>
          <w:p w:rsidR="000215C5" w:rsidRDefault="00703023">
            <w:pPr>
              <w:spacing w:after="120"/>
              <w:jc w:val="both"/>
              <w:rPr>
                <w:szCs w:val="24"/>
              </w:rPr>
            </w:pPr>
            <w:r>
              <w:t>Metod 3: Om tillförlitlig information om grundvattennivåer inom en grundvattenförekomst finns tillgänglig kan uppgifterna användas för att identifiera förekomsten av en ihållande långsiktig minskning av vattennivåerna som orsakas av långsiktigt grundvattenuttag. Om en sådan minskning förekommer visar detta att villkoren för god status inte är uppfyllda och att vattenförekomsten har otillfredsställande status.</w:t>
            </w:r>
          </w:p>
          <w:p w:rsidR="000215C5" w:rsidRDefault="00703023">
            <w:pPr>
              <w:spacing w:after="120"/>
              <w:jc w:val="both"/>
              <w:rPr>
                <w:szCs w:val="24"/>
              </w:rPr>
            </w:pPr>
            <w:r>
              <w:t>Har ej beaktats.</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den metod som används för att bedöma balansen mellan grundvattenbildning och uttag av grundvatten.</w:t>
            </w:r>
          </w:p>
          <w:p w:rsidR="000215C5" w:rsidRDefault="00703023">
            <w:pPr>
              <w:spacing w:after="120"/>
              <w:jc w:val="both"/>
              <w:rPr>
                <w:b/>
                <w:szCs w:val="24"/>
              </w:rPr>
            </w:pPr>
            <w:r>
              <w:t>Närmare information om vattenuttag finns i CIS-vägledningsdokument nr 18 om grundvattenstatus och trendbedömning</w:t>
            </w:r>
            <w:r>
              <w:rPr>
                <w:rStyle w:val="Fotnotsreferens"/>
              </w:rPr>
              <w:footnoteReference w:id="99"/>
            </w:r>
            <w:r>
              <w:t>.</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trendAssessmentPerformed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en trendbedömning av förorenande ämnen i grundvatten har utförts.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trendAssessmentMethodology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en trendbedömning av förorenande ämnen i grundvatten har utförts, ange om en metod för att identifiera betydande och uppåtgående trender för koncentrationer av förorenande ämnen har tillämpats. </w:t>
            </w:r>
          </w:p>
          <w:p w:rsidR="000215C5" w:rsidRDefault="00703023">
            <w:pPr>
              <w:spacing w:after="120"/>
              <w:jc w:val="both"/>
              <w:rPr>
                <w:b/>
                <w:szCs w:val="24"/>
              </w:rPr>
            </w:pPr>
            <w:r>
              <w:rPr>
                <w:b/>
              </w:rPr>
              <w:t>Kvalitetskontroller</w:t>
            </w:r>
            <w:r>
              <w:t>: Villkorlig kontroll: Rapportera om trendAssessmentPerformed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timeSeries</w:t>
            </w:r>
          </w:p>
          <w:p w:rsidR="000215C5" w:rsidRDefault="00703023">
            <w:pPr>
              <w:spacing w:after="120"/>
              <w:jc w:val="both"/>
              <w:rPr>
                <w:szCs w:val="24"/>
              </w:rPr>
            </w:pPr>
            <w:r>
              <w:rPr>
                <w:b/>
              </w:rPr>
              <w:t xml:space="preserve">Fälttyp/alternativ: </w:t>
            </w:r>
            <w:r>
              <w:t xml:space="preserve">YearRangeType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en trendbedömning av förorenande ämnen i grundvatten har utförts, ange start- och avslutningsår f</w:t>
            </w:r>
            <w:r w:rsidR="00445C9F">
              <w:t>ör bedömningen i formatet ÅÅÅÅ</w:t>
            </w:r>
            <w:r w:rsidR="00445C9F">
              <w:noBreakHyphen/>
            </w:r>
            <w:r w:rsidR="00445C9F">
              <w:noBreakHyphen/>
            </w:r>
            <w:r>
              <w:t>ÅÅÅÅ.</w:t>
            </w:r>
          </w:p>
          <w:p w:rsidR="000215C5" w:rsidRDefault="00703023">
            <w:pPr>
              <w:spacing w:after="120"/>
              <w:jc w:val="both"/>
              <w:rPr>
                <w:szCs w:val="24"/>
              </w:rPr>
            </w:pPr>
            <w:r>
              <w:rPr>
                <w:b/>
              </w:rPr>
              <w:t>Kvalitetskontroller</w:t>
            </w:r>
            <w:r>
              <w:t>: Villkorlig kontroll: Rapportera om trendAssessmentPerformed är ”Yes”.</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statisticalElements</w:t>
            </w:r>
          </w:p>
          <w:p w:rsidR="000215C5" w:rsidRPr="00D95552" w:rsidRDefault="00703023">
            <w:pPr>
              <w:spacing w:after="120"/>
              <w:jc w:val="both"/>
              <w:rPr>
                <w:szCs w:val="24"/>
              </w:rPr>
            </w:pPr>
            <w:r w:rsidRPr="00D95552">
              <w:rPr>
                <w:b/>
              </w:rPr>
              <w:t xml:space="preserve">Fälttyp/alternativ: </w:t>
            </w:r>
            <w:r w:rsidRPr="00D95552">
              <w:t>StatisticalElements_Enum:</w:t>
            </w:r>
          </w:p>
          <w:p w:rsidR="000215C5" w:rsidRPr="00D95552" w:rsidRDefault="00703023">
            <w:pPr>
              <w:spacing w:after="120"/>
              <w:jc w:val="both"/>
              <w:rPr>
                <w:szCs w:val="24"/>
              </w:rPr>
            </w:pPr>
            <w:r w:rsidRPr="00D95552">
              <w:t>Statistisk signifikans</w:t>
            </w:r>
          </w:p>
          <w:p w:rsidR="000215C5" w:rsidRPr="00D95552" w:rsidRDefault="00703023">
            <w:pPr>
              <w:spacing w:after="120"/>
              <w:jc w:val="both"/>
              <w:rPr>
                <w:szCs w:val="24"/>
              </w:rPr>
            </w:pPr>
            <w:r w:rsidRPr="00D95552">
              <w:t>Confidence intervals</w:t>
            </w:r>
          </w:p>
          <w:p w:rsidR="000215C5" w:rsidRPr="00D95552" w:rsidRDefault="00703023">
            <w:pPr>
              <w:spacing w:after="120"/>
              <w:jc w:val="both"/>
              <w:rPr>
                <w:szCs w:val="24"/>
              </w:rPr>
            </w:pPr>
            <w:r w:rsidRPr="00D95552">
              <w:t>None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en trendbedömning av förorenande ämnen i grundvatten har utförts, välj den statistiska faktor som användes från uppräkningslistan. </w:t>
            </w:r>
          </w:p>
          <w:p w:rsidR="000215C5" w:rsidRDefault="00703023">
            <w:pPr>
              <w:spacing w:after="120"/>
              <w:jc w:val="both"/>
              <w:rPr>
                <w:b/>
                <w:szCs w:val="24"/>
              </w:rPr>
            </w:pPr>
            <w:r>
              <w:rPr>
                <w:b/>
              </w:rPr>
              <w:t>Kvalitetskontroller</w:t>
            </w:r>
            <w:r>
              <w:t>: Villkorlig kontroll: Rapportera om trendAssessmentPerformed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additionalTrendAssessment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kompletterande trendbedömningar gjordes för att bedöma effekterna av befintliga föroreningsplymer (enligt artikel 5.5 i vattendirektivet).</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startingPointTrendReversal</w:t>
            </w:r>
          </w:p>
          <w:p w:rsidR="000215C5" w:rsidRDefault="00703023">
            <w:pPr>
              <w:spacing w:after="120"/>
              <w:jc w:val="both"/>
              <w:rPr>
                <w:szCs w:val="24"/>
              </w:rPr>
            </w:pPr>
            <w:r>
              <w:rPr>
                <w:b/>
              </w:rPr>
              <w:t xml:space="preserve">Fälttyp/alternativ: </w:t>
            </w:r>
            <w:r>
              <w:t>StartingPointTrendReversal_Enum:</w:t>
            </w:r>
          </w:p>
          <w:p w:rsidR="000215C5" w:rsidRDefault="00703023">
            <w:pPr>
              <w:spacing w:after="120"/>
              <w:jc w:val="both"/>
              <w:rPr>
                <w:szCs w:val="24"/>
              </w:rPr>
            </w:pPr>
            <w:r>
              <w:t>Alla utgångspunkter för att motverka trender utgår från 75 % av grundvattenförekomstens kvalitetsnormer och gränsvärden.</w:t>
            </w:r>
          </w:p>
          <w:p w:rsidR="000215C5" w:rsidRDefault="00703023">
            <w:pPr>
              <w:spacing w:after="120"/>
              <w:jc w:val="both"/>
              <w:rPr>
                <w:szCs w:val="24"/>
              </w:rPr>
            </w:pPr>
            <w:r>
              <w:t>Några eller alla utgångspunkter för att motverka trender utgår från ett värde som inte är 75 % av grundvattenförekomstens kvalitetsnormer och gränsvärden.</w:t>
            </w:r>
          </w:p>
          <w:p w:rsidR="000215C5" w:rsidRDefault="00703023">
            <w:pPr>
              <w:spacing w:after="120"/>
              <w:jc w:val="both"/>
              <w:rPr>
                <w:szCs w:val="24"/>
              </w:rPr>
            </w:pPr>
            <w:r>
              <w:t>Utgångspunkter för att motverka trender har inte fastställts.</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utgångspunkter för att motverka trender, på vilken nivå, och om det redan finns en metod för bedömningen av motverkande av trender.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percentageStartingPoint</w:t>
            </w:r>
          </w:p>
          <w:p w:rsidR="000215C5" w:rsidRDefault="00703023">
            <w:pPr>
              <w:spacing w:after="120"/>
              <w:jc w:val="both"/>
              <w:rPr>
                <w:szCs w:val="24"/>
              </w:rPr>
            </w:pPr>
            <w:r>
              <w:rPr>
                <w:b/>
              </w:rPr>
              <w:t xml:space="preserve">Fälttyp/alternativ: </w:t>
            </w:r>
            <w:r>
              <w:t xml:space="preserve">NumberDecimal0100Type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Om utgångspunkterna för att motverka trender inte är 75 % av grundvattenförekomstens kvalitetsnormer och gränsvärden, ange procentsiffran för utgångspunkten.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trendReversalMethodology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Ange om en bedömningsmetod för motverkande av trender har upprättats.</w:t>
            </w:r>
            <w:r>
              <w:rPr>
                <w:b/>
              </w:rPr>
              <w:t xml:space="preserve">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thresholdValueElementProtectionEcosystem</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Har skyddet av akvatiska ekosystem (ytvatten) beaktats vid fastställandet av grundvattnets gränsvärden?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thresholdValueElementProtectionGWDE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skyddet av grundvattenberoende terrestra ekosystem (t.ex. våtmarker) beaktats vid fastställandet av grundvattnets gränsvärden?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thresholdValueElementProtectionUses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de faktiska och eventuella legitima användningarna och funktionerna för grundvatten (t.ex. dricksvatten, bevattning, industriell användning) beaktats vid fastställandet av grundvattnets gränsvärden?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thresholdValueElementSalineIntrusion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Har saltinträngning eller annan inträngning beaktats vid fastställandet av grundvattnets gränsvärden?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thresholdValuesBackgroundLevels</w:t>
            </w:r>
          </w:p>
          <w:p w:rsidR="000215C5" w:rsidRDefault="00703023">
            <w:pPr>
              <w:spacing w:after="120"/>
              <w:jc w:val="both"/>
              <w:rPr>
                <w:szCs w:val="24"/>
              </w:rPr>
            </w:pPr>
            <w:r>
              <w:rPr>
                <w:b/>
              </w:rPr>
              <w:t xml:space="preserve">Fälttyp/alternativ: </w:t>
            </w:r>
            <w:r>
              <w:t xml:space="preserve">ThresholdValuesBackgroundLevels_Enum: </w:t>
            </w:r>
          </w:p>
          <w:p w:rsidR="000215C5" w:rsidRPr="00FD78F1" w:rsidRDefault="00703023">
            <w:pPr>
              <w:spacing w:after="120"/>
              <w:jc w:val="both"/>
              <w:rPr>
                <w:szCs w:val="24"/>
                <w:lang w:val="en-GB"/>
              </w:rPr>
            </w:pPr>
            <w:r w:rsidRPr="00FD78F1">
              <w:rPr>
                <w:lang w:val="en-GB"/>
              </w:rPr>
              <w:t>Background levels have been considered in the threshold value establishment</w:t>
            </w:r>
          </w:p>
          <w:p w:rsidR="000215C5" w:rsidRPr="00FD78F1" w:rsidRDefault="00703023">
            <w:pPr>
              <w:spacing w:after="120"/>
              <w:jc w:val="both"/>
              <w:rPr>
                <w:szCs w:val="24"/>
                <w:lang w:val="en-GB"/>
              </w:rPr>
            </w:pPr>
            <w:r w:rsidRPr="00FD78F1">
              <w:rPr>
                <w:lang w:val="en-GB"/>
              </w:rPr>
              <w:t>Background levels have been considered in the status assessment but not in the threshold value establishment</w:t>
            </w:r>
          </w:p>
          <w:p w:rsidR="000215C5" w:rsidRPr="00FD78F1" w:rsidRDefault="00703023">
            <w:pPr>
              <w:spacing w:after="120"/>
              <w:jc w:val="both"/>
              <w:rPr>
                <w:szCs w:val="24"/>
                <w:lang w:val="en-GB"/>
              </w:rPr>
            </w:pPr>
            <w:r w:rsidRPr="00FD78F1">
              <w:rPr>
                <w:lang w:val="en-GB"/>
              </w:rPr>
              <w:t>Background levels are considered in a different way</w:t>
            </w:r>
          </w:p>
          <w:p w:rsidR="000215C5" w:rsidRPr="00FD78F1" w:rsidRDefault="00703023">
            <w:pPr>
              <w:spacing w:after="120"/>
              <w:jc w:val="both"/>
              <w:rPr>
                <w:szCs w:val="24"/>
                <w:lang w:val="en-GB"/>
              </w:rPr>
            </w:pPr>
            <w:r w:rsidRPr="00FD78F1">
              <w:rPr>
                <w:lang w:val="en-GB"/>
              </w:rPr>
              <w:t>Background levels have not been considered</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Ange om bakgrundsnivåer för naturligt förekommande ämnen har beaktats vid fastställandet av gränsvärden.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transboundaryGWBPresent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 xml:space="preserve">Vägledning om hur man fyller i mallposten: </w:t>
            </w:r>
            <w:r>
              <w:t xml:space="preserve">Krävs. Ange om det finns några gränsöverskridande grundvattenförekomster i avrinningsdistriktet.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transboundaryThresholdValues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gränsöverskridande grundvattenförekomster identifieras, ange om fastställandet av gränsvärden har samordnats med de berörda grannländerna.</w:t>
            </w:r>
          </w:p>
          <w:p w:rsidR="000215C5" w:rsidRDefault="00703023">
            <w:pPr>
              <w:spacing w:after="120"/>
              <w:jc w:val="both"/>
              <w:rPr>
                <w:szCs w:val="24"/>
              </w:rPr>
            </w:pPr>
            <w:r>
              <w:rPr>
                <w:b/>
              </w:rPr>
              <w:t>Kvalitetskontroller</w:t>
            </w:r>
            <w:r>
              <w:t>: Villkorlig kontroll: Rapportera om transboundaryGWBPresent är ”Yes”.</w:t>
            </w:r>
          </w:p>
        </w:tc>
      </w:tr>
      <w:tr w:rsidR="000215C5">
        <w:tc>
          <w:tcPr>
            <w:tcW w:w="9853" w:type="dxa"/>
            <w:shd w:val="clear" w:color="auto" w:fill="auto"/>
          </w:tcPr>
          <w:p w:rsidR="000215C5" w:rsidRDefault="00703023">
            <w:pPr>
              <w:spacing w:after="120"/>
              <w:jc w:val="both"/>
              <w:rPr>
                <w:b/>
                <w:szCs w:val="24"/>
              </w:rPr>
            </w:pPr>
            <w:r>
              <w:rPr>
                <w:b/>
              </w:rPr>
              <w:t>Mallpost</w:t>
            </w:r>
            <w:r>
              <w:t>: gwMethodologiesChemicalClassificationReference</w:t>
            </w:r>
          </w:p>
          <w:p w:rsidR="000215C5" w:rsidRDefault="00703023">
            <w:pPr>
              <w:spacing w:after="120"/>
              <w:jc w:val="both"/>
              <w:rPr>
                <w:szCs w:val="24"/>
              </w:rPr>
            </w:pPr>
            <w:r>
              <w:rPr>
                <w:b/>
              </w:rPr>
              <w:t xml:space="preserve">Fälttyp/alternativ: </w:t>
            </w:r>
            <w:r>
              <w:t xml:space="preserve">ReferenceType (se bilaga 9)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de dokument och avsnitt som innehåller relevant information om metoder för klassificering av grundvattens kemiska status, bedömning av uppåtgående trender samt motverkande av trender. Vägledning om vilka uppgifter som bör ingå i detta dokument ges i avsnitt </w:t>
            </w:r>
            <w:r>
              <w:fldChar w:fldCharType="begin"/>
            </w:r>
            <w:r>
              <w:instrText xml:space="preserve"> REF _Ref402958466 \r \h  \* MERGEFORMAT </w:instrText>
            </w:r>
            <w:r>
              <w:fldChar w:fldCharType="separate"/>
            </w:r>
            <w:r>
              <w:rPr>
                <w:szCs w:val="24"/>
              </w:rPr>
              <w:t>8.3.3.3</w:t>
            </w:r>
            <w:r>
              <w:fldChar w:fldCharType="end"/>
            </w:r>
            <w:r>
              <w:t>.</w:t>
            </w:r>
          </w:p>
        </w:tc>
      </w:tr>
      <w:tr w:rsidR="000215C5">
        <w:tc>
          <w:tcPr>
            <w:tcW w:w="9853" w:type="dxa"/>
            <w:shd w:val="clear" w:color="auto" w:fill="auto"/>
          </w:tcPr>
          <w:p w:rsidR="000215C5" w:rsidRDefault="00703023">
            <w:pPr>
              <w:spacing w:after="120"/>
              <w:jc w:val="both"/>
              <w:rPr>
                <w:b/>
                <w:szCs w:val="24"/>
              </w:rPr>
            </w:pPr>
            <w:r>
              <w:rPr>
                <w:b/>
              </w:rPr>
              <w:t>Mallpost</w:t>
            </w:r>
            <w:r>
              <w:t>: gwMethodologiesQuantitativeClassificationReference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de dokument och avsnitt som innehåller relevant information om metoder för klassificering av grundvattens kvantitativa status. Vägledning om vilka uppgifter som bör ingå i detta dokument ges i avsnitt </w:t>
            </w:r>
            <w:r>
              <w:fldChar w:fldCharType="begin"/>
            </w:r>
            <w:r>
              <w:instrText xml:space="preserve"> REF _Ref402958466 \r \h  \* MERGEFORMAT </w:instrText>
            </w:r>
            <w:r>
              <w:fldChar w:fldCharType="separate"/>
            </w:r>
            <w:r>
              <w:rPr>
                <w:szCs w:val="24"/>
              </w:rPr>
              <w:t>8.3.3.3</w:t>
            </w:r>
            <w:r>
              <w:fldChar w:fldCharType="end"/>
            </w:r>
            <w:r>
              <w:t>.</w:t>
            </w:r>
          </w:p>
        </w:tc>
      </w:tr>
      <w:tr w:rsidR="000215C5">
        <w:tc>
          <w:tcPr>
            <w:tcW w:w="9853" w:type="dxa"/>
            <w:shd w:val="clear" w:color="auto" w:fill="auto"/>
          </w:tcPr>
          <w:p w:rsidR="000215C5" w:rsidRDefault="00703023">
            <w:pPr>
              <w:spacing w:after="120"/>
              <w:jc w:val="both"/>
              <w:rPr>
                <w:b/>
                <w:szCs w:val="24"/>
              </w:rPr>
            </w:pPr>
            <w:r>
              <w:rPr>
                <w:b/>
              </w:rPr>
              <w:t>Mallpost</w:t>
            </w:r>
            <w:r>
              <w:t>: gwMethodologiesTransboundaryReference</w:t>
            </w:r>
          </w:p>
          <w:p w:rsidR="000215C5" w:rsidRDefault="00703023">
            <w:pPr>
              <w:spacing w:after="120"/>
              <w:jc w:val="both"/>
              <w:rPr>
                <w:szCs w:val="24"/>
              </w:rPr>
            </w:pPr>
            <w:r>
              <w:rPr>
                <w:b/>
              </w:rPr>
              <w:t xml:space="preserve">Fälttyp/alternativ: </w:t>
            </w:r>
            <w:r>
              <w:t xml:space="preserve">ReferenceType (se bilaga 9) </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pPr>
            <w:r>
              <w:rPr>
                <w:b/>
              </w:rPr>
              <w:t>Vägledning om hur man fyller i mallposten</w:t>
            </w:r>
            <w:r>
              <w:t xml:space="preserve">: Villkorlig. Ange hänvisningar eller hyperlänkar till de dokument och avsnitt som innehåller relevant information om gränsöverskridande samordning vid fastställande av gränsvärden. Vägledning om vilka uppgifter som bör ingå i detta dokument ges i avsnitt </w:t>
            </w:r>
            <w:r>
              <w:fldChar w:fldCharType="begin"/>
            </w:r>
            <w:r>
              <w:instrText xml:space="preserve"> REF _Ref402958466 \r \h  \* MERGEFORMAT </w:instrText>
            </w:r>
            <w:r>
              <w:fldChar w:fldCharType="separate"/>
            </w:r>
            <w:r>
              <w:rPr>
                <w:szCs w:val="24"/>
              </w:rPr>
              <w:t>8.3.3.3</w:t>
            </w:r>
            <w:r>
              <w:fldChar w:fldCharType="end"/>
            </w:r>
            <w:r>
              <w:t xml:space="preserve">. </w:t>
            </w:r>
          </w:p>
          <w:p w:rsidR="000215C5" w:rsidRDefault="00703023">
            <w:pPr>
              <w:spacing w:after="120"/>
              <w:jc w:val="both"/>
              <w:rPr>
                <w:szCs w:val="24"/>
              </w:rPr>
            </w:pPr>
            <w:r>
              <w:rPr>
                <w:b/>
              </w:rPr>
              <w:t>Kvalitetskontroller</w:t>
            </w:r>
            <w:r>
              <w:t>: rapportera om transboundaryGWBPresent är ”Yes”.</w:t>
            </w:r>
          </w:p>
        </w:tc>
      </w:tr>
    </w:tbl>
    <w:p w:rsidR="000215C5" w:rsidRDefault="000215C5">
      <w:pPr>
        <w:jc w:val="both"/>
      </w:pPr>
    </w:p>
    <w:p w:rsidR="000215C5" w:rsidRDefault="00703023">
      <w:pPr>
        <w:jc w:val="both"/>
      </w:pPr>
      <w:r>
        <w:t>Följande klass används för att rapportera förorenande ämnen eller föroreningsindikatorer för vilka gränsvärden har fastställts.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GWMET (fortsättning)</w:t>
            </w:r>
          </w:p>
        </w:tc>
      </w:tr>
      <w:tr w:rsidR="000215C5" w:rsidRPr="00360D19">
        <w:tc>
          <w:tcPr>
            <w:tcW w:w="9889" w:type="dxa"/>
            <w:shd w:val="clear" w:color="auto" w:fill="auto"/>
          </w:tcPr>
          <w:p w:rsidR="000215C5" w:rsidRPr="00D95552" w:rsidRDefault="00703023">
            <w:pPr>
              <w:spacing w:after="120"/>
              <w:jc w:val="both"/>
              <w:rPr>
                <w:b/>
                <w:i/>
                <w:szCs w:val="24"/>
              </w:rPr>
            </w:pPr>
            <w:r w:rsidRPr="00D95552">
              <w:rPr>
                <w:b/>
                <w:i/>
              </w:rPr>
              <w:t>Class ThresholdValue</w:t>
            </w:r>
          </w:p>
          <w:p w:rsidR="000215C5" w:rsidRPr="00D95552" w:rsidRDefault="00703023">
            <w:pPr>
              <w:spacing w:after="120"/>
              <w:jc w:val="both"/>
              <w:rPr>
                <w:i/>
                <w:szCs w:val="24"/>
              </w:rPr>
            </w:pPr>
            <w:r w:rsidRPr="00D95552">
              <w:rPr>
                <w:b/>
                <w:i/>
              </w:rPr>
              <w:t>Egenskaper</w:t>
            </w:r>
            <w:r w:rsidRPr="00D95552">
              <w:rPr>
                <w:i/>
              </w:rPr>
              <w:t>: maxOccurs = unbounded minOccurs = 1</w:t>
            </w:r>
          </w:p>
        </w:tc>
      </w:tr>
      <w:tr w:rsidR="000215C5">
        <w:tc>
          <w:tcPr>
            <w:tcW w:w="9889" w:type="dxa"/>
            <w:shd w:val="clear" w:color="auto" w:fill="auto"/>
          </w:tcPr>
          <w:p w:rsidR="000215C5" w:rsidRPr="00D95552" w:rsidRDefault="00703023">
            <w:pPr>
              <w:spacing w:after="120"/>
              <w:jc w:val="both"/>
              <w:rPr>
                <w:b/>
              </w:rPr>
            </w:pPr>
            <w:r w:rsidRPr="00D95552">
              <w:rPr>
                <w:b/>
              </w:rPr>
              <w:t>Mallpost</w:t>
            </w:r>
            <w:r w:rsidRPr="00D95552">
              <w:t>: pollutantIndicatorCode</w:t>
            </w:r>
          </w:p>
          <w:p w:rsidR="000215C5" w:rsidRPr="00D95552" w:rsidRDefault="00703023">
            <w:pPr>
              <w:spacing w:after="120"/>
              <w:jc w:val="both"/>
              <w:rPr>
                <w:szCs w:val="24"/>
              </w:rPr>
            </w:pPr>
            <w:r w:rsidRPr="00D95552">
              <w:rPr>
                <w:b/>
              </w:rPr>
              <w:t xml:space="preserve">Fälttyp/alternativ: </w:t>
            </w:r>
            <w:r w:rsidRPr="00D95552">
              <w:t>AdditionalPollutant_Enum (se bilaga 8c)</w:t>
            </w:r>
          </w:p>
          <w:p w:rsidR="000215C5" w:rsidRDefault="00703023">
            <w:pPr>
              <w:spacing w:after="120"/>
              <w:jc w:val="both"/>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Välj i tur och ordning varje förorenande ämne eller föroreningsindikator för vilka gränsvärden har fastställts från uppräkningslistan.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 thresholdValue</w:t>
            </w:r>
          </w:p>
          <w:p w:rsidR="000215C5" w:rsidRDefault="00703023">
            <w:pPr>
              <w:spacing w:after="120"/>
              <w:jc w:val="both"/>
              <w:rPr>
                <w:szCs w:val="24"/>
              </w:rPr>
            </w:pPr>
            <w:r>
              <w:rPr>
                <w:b/>
              </w:rPr>
              <w:t xml:space="preserve">Fälttyp/alternativ: </w:t>
            </w:r>
            <w:r>
              <w:t>String25Type</w:t>
            </w:r>
          </w:p>
          <w:p w:rsidR="000215C5" w:rsidRDefault="00703023">
            <w:pPr>
              <w:spacing w:after="120"/>
              <w:jc w:val="both"/>
              <w:rPr>
                <w:szCs w:val="24"/>
              </w:rPr>
            </w:pPr>
            <w:r>
              <w:rPr>
                <w:b/>
              </w:rPr>
              <w:t xml:space="preserve">Egenskaper: </w:t>
            </w:r>
            <w:r>
              <w:t>maxOccurs = 1 minOccurs = 1</w:t>
            </w:r>
          </w:p>
          <w:p w:rsidR="000215C5" w:rsidRDefault="00703023">
            <w:pPr>
              <w:autoSpaceDE w:val="0"/>
              <w:autoSpaceDN w:val="0"/>
              <w:adjustRightInd w:val="0"/>
              <w:spacing w:after="120"/>
              <w:jc w:val="both"/>
              <w:rPr>
                <w:szCs w:val="24"/>
              </w:rPr>
            </w:pPr>
            <w:r>
              <w:rPr>
                <w:b/>
              </w:rPr>
              <w:t>Vägledning om hur man fyller i mallposten:</w:t>
            </w:r>
            <w:r>
              <w:t xml:space="preserve"> Krävs.</w:t>
            </w:r>
            <w:r>
              <w:rPr>
                <w:b/>
              </w:rPr>
              <w:t xml:space="preserve"> </w:t>
            </w:r>
            <w:r>
              <w:t>Ange det eller de gränsvärden som har fastställts för det valda förorenande ämnet eller föroreningsindikatorn.</w:t>
            </w:r>
          </w:p>
          <w:p w:rsidR="000215C5" w:rsidRDefault="00703023">
            <w:pPr>
              <w:autoSpaceDE w:val="0"/>
              <w:autoSpaceDN w:val="0"/>
              <w:adjustRightInd w:val="0"/>
              <w:spacing w:after="120"/>
              <w:jc w:val="both"/>
              <w:rPr>
                <w:rFonts w:eastAsia="Calibri"/>
                <w:szCs w:val="24"/>
              </w:rPr>
            </w:pPr>
            <w:r>
              <w:t xml:space="preserve">Gränsvärden som fastställs för nitrater och bekämpningsmedel måste bara rapporteras om de är strängare än de kvalitetsnormer för grundvatten som anges i bilagan till vattendirektivet. </w:t>
            </w:r>
          </w:p>
          <w:p w:rsidR="000215C5" w:rsidRDefault="00703023">
            <w:pPr>
              <w:autoSpaceDE w:val="0"/>
              <w:autoSpaceDN w:val="0"/>
              <w:adjustRightInd w:val="0"/>
              <w:spacing w:after="120"/>
              <w:jc w:val="both"/>
              <w:rPr>
                <w:b/>
                <w:szCs w:val="24"/>
              </w:rPr>
            </w:pPr>
            <w:r>
              <w:t xml:space="preserve">Om olika gränsvärden tillämpas på grundvattenförekomster inom avrinningsdistriktet, ange intervallet för de tillämpade gränsvärdena.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 thresholdValueUnit</w:t>
            </w:r>
          </w:p>
          <w:p w:rsidR="000215C5" w:rsidRDefault="00703023">
            <w:pPr>
              <w:spacing w:after="120"/>
              <w:jc w:val="both"/>
            </w:pPr>
            <w:r>
              <w:rPr>
                <w:b/>
              </w:rPr>
              <w:t xml:space="preserve">Fälttyp/alternativ: </w:t>
            </w:r>
            <w:r>
              <w:t>UnitOfMeasure_Enum (se bilaga 8f)</w:t>
            </w:r>
          </w:p>
          <w:p w:rsidR="000215C5" w:rsidRDefault="00703023">
            <w:pPr>
              <w:spacing w:after="120"/>
              <w:jc w:val="both"/>
              <w:rPr>
                <w:szCs w:val="24"/>
              </w:rPr>
            </w:pPr>
            <w:r>
              <w:rPr>
                <w:b/>
              </w:rPr>
              <w:t xml:space="preserve">Egenskaper: </w:t>
            </w:r>
            <w:r>
              <w:t>maxOccurs = 1 minOccurs = 1</w:t>
            </w:r>
          </w:p>
          <w:p w:rsidR="000215C5" w:rsidRDefault="00703023">
            <w:pPr>
              <w:autoSpaceDE w:val="0"/>
              <w:autoSpaceDN w:val="0"/>
              <w:adjustRightInd w:val="0"/>
              <w:spacing w:after="120"/>
              <w:jc w:val="both"/>
              <w:rPr>
                <w:b/>
                <w:szCs w:val="24"/>
              </w:rPr>
            </w:pPr>
            <w:r>
              <w:rPr>
                <w:b/>
              </w:rPr>
              <w:t>Vägledning om hur man fyller i mallposten</w:t>
            </w:r>
            <w:r>
              <w:t>:</w:t>
            </w:r>
            <w:r>
              <w:rPr>
                <w:b/>
              </w:rPr>
              <w:t xml:space="preserve"> </w:t>
            </w:r>
            <w:r>
              <w:t xml:space="preserve">Krävs. Ange mätenhet för gränsvärdet eller intervallet av gränsvärden.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 thresholdValueScale</w:t>
            </w:r>
          </w:p>
          <w:p w:rsidR="000215C5" w:rsidRDefault="00703023">
            <w:pPr>
              <w:spacing w:after="120"/>
              <w:jc w:val="both"/>
              <w:rPr>
                <w:b/>
                <w:szCs w:val="24"/>
              </w:rPr>
            </w:pPr>
            <w:r>
              <w:rPr>
                <w:b/>
              </w:rPr>
              <w:t xml:space="preserve">Fälttyp/alternativ: </w:t>
            </w:r>
            <w:r>
              <w:t>GeographicalScale_Enum (se bilaga 8l)</w:t>
            </w:r>
          </w:p>
          <w:p w:rsidR="000215C5" w:rsidRDefault="00703023">
            <w:pPr>
              <w:spacing w:after="120"/>
              <w:jc w:val="both"/>
              <w:rPr>
                <w:szCs w:val="24"/>
              </w:rPr>
            </w:pPr>
            <w:r>
              <w:rPr>
                <w:b/>
              </w:rPr>
              <w:t xml:space="preserve">Egenskaper: </w:t>
            </w:r>
            <w:r>
              <w:t>maxOccurs = 1 minOccurs = 1</w:t>
            </w:r>
          </w:p>
          <w:p w:rsidR="000215C5" w:rsidRDefault="00703023">
            <w:pPr>
              <w:autoSpaceDE w:val="0"/>
              <w:autoSpaceDN w:val="0"/>
              <w:adjustRightInd w:val="0"/>
              <w:spacing w:after="120"/>
              <w:jc w:val="both"/>
              <w:rPr>
                <w:b/>
                <w:szCs w:val="24"/>
              </w:rPr>
            </w:pPr>
            <w:r>
              <w:rPr>
                <w:b/>
              </w:rPr>
              <w:t>Vägledning om hur man fyller i mallposten</w:t>
            </w:r>
            <w:r>
              <w:t>:</w:t>
            </w:r>
            <w:r>
              <w:rPr>
                <w:b/>
              </w:rPr>
              <w:t xml:space="preserve"> </w:t>
            </w:r>
            <w:r>
              <w:t xml:space="preserve">Krävs. För varje förorenande ämne eller föroreningsindikator och gränsvärde eller intervall av gränsvärden, ange på vilken nivå gränsvärdet fastställs.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 startingPointTrendReversal</w:t>
            </w:r>
          </w:p>
          <w:p w:rsidR="000215C5" w:rsidRDefault="00703023">
            <w:pPr>
              <w:spacing w:after="120"/>
              <w:jc w:val="both"/>
              <w:rPr>
                <w:szCs w:val="24"/>
              </w:rPr>
            </w:pPr>
            <w:r>
              <w:rPr>
                <w:b/>
              </w:rPr>
              <w:t xml:space="preserve">Fälttyp/alternativ: </w:t>
            </w:r>
            <w:r>
              <w:t>String25Type</w:t>
            </w:r>
          </w:p>
          <w:p w:rsidR="000215C5" w:rsidRDefault="00703023">
            <w:pPr>
              <w:spacing w:after="120"/>
              <w:jc w:val="both"/>
              <w:rPr>
                <w:szCs w:val="24"/>
              </w:rPr>
            </w:pPr>
            <w:r>
              <w:rPr>
                <w:b/>
              </w:rPr>
              <w:t xml:space="preserve">Egenskaper: </w:t>
            </w:r>
            <w:r>
              <w:t>maxOccurs = 1 minOccurs = 1</w:t>
            </w:r>
          </w:p>
          <w:p w:rsidR="000215C5" w:rsidRDefault="00703023">
            <w:pPr>
              <w:autoSpaceDE w:val="0"/>
              <w:autoSpaceDN w:val="0"/>
              <w:adjustRightInd w:val="0"/>
              <w:spacing w:after="120"/>
              <w:jc w:val="both"/>
              <w:rPr>
                <w:szCs w:val="24"/>
              </w:rPr>
            </w:pPr>
            <w:r>
              <w:rPr>
                <w:b/>
              </w:rPr>
              <w:t>Vägledning om hur man fyller i mallposten</w:t>
            </w:r>
            <w:r>
              <w:t>:</w:t>
            </w:r>
            <w:r>
              <w:rPr>
                <w:b/>
              </w:rPr>
              <w:t xml:space="preserve"> </w:t>
            </w:r>
            <w:r>
              <w:t>Krävs. Rapportera procentsiffran för utgångspunkten för motverkande av trender.</w:t>
            </w:r>
          </w:p>
          <w:p w:rsidR="000215C5" w:rsidRDefault="00703023">
            <w:pPr>
              <w:autoSpaceDE w:val="0"/>
              <w:autoSpaceDN w:val="0"/>
              <w:adjustRightInd w:val="0"/>
              <w:spacing w:after="120"/>
              <w:jc w:val="both"/>
              <w:rPr>
                <w:szCs w:val="24"/>
              </w:rPr>
            </w:pPr>
            <w:r>
              <w:t>Standardvärdet är ”75 %”, dvs. 75 % av gränsvärdet.</w:t>
            </w:r>
          </w:p>
          <w:p w:rsidR="000215C5" w:rsidRDefault="00703023">
            <w:pPr>
              <w:autoSpaceDE w:val="0"/>
              <w:autoSpaceDN w:val="0"/>
              <w:adjustRightInd w:val="0"/>
              <w:spacing w:after="120"/>
              <w:jc w:val="both"/>
              <w:rPr>
                <w:b/>
                <w:szCs w:val="24"/>
              </w:rPr>
            </w:pPr>
            <w:r>
              <w:t>Om olika utgångspunkter tillämpas på motverkande av trender för grundvattenförekomster inom avrinningsdistriktet, ange intervallet för de tillämpade utgångspunkterna.</w:t>
            </w:r>
          </w:p>
        </w:tc>
      </w:tr>
    </w:tbl>
    <w:p w:rsidR="000215C5" w:rsidRDefault="000215C5">
      <w:pPr>
        <w:jc w:val="both"/>
      </w:pPr>
    </w:p>
    <w:p w:rsidR="000215C5" w:rsidRDefault="00703023">
      <w:pPr>
        <w:pStyle w:val="Rubrik4"/>
      </w:pPr>
      <w:bookmarkStart w:id="591" w:name="_Ref402958466"/>
      <w:r>
        <w:t>Vägledning om innehållet i förvaltningsplanerna för avrinningsdistrikt/bakgrundsdokument</w:t>
      </w:r>
      <w:bookmarkEnd w:id="591"/>
    </w:p>
    <w:p w:rsidR="000215C5" w:rsidRDefault="00703023">
      <w:pPr>
        <w:jc w:val="both"/>
      </w:pPr>
      <w:r>
        <w:t>Nedan ges vägledning om de uppgifter som kommissionen förväntar sig att medlemsstaterna lämnar i de relevanta kapitlen om motverkande av trender och fastställande av gränsvärden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numPr>
          <w:ilvl w:val="0"/>
          <w:numId w:val="14"/>
        </w:numPr>
        <w:jc w:val="both"/>
      </w:pPr>
      <w:r>
        <w:t>Uppgifter om minskningar av ytvattnets kemi och ekologi samt skador på grundvattenberoende terrestra ekosystem på grund av överföring av förorenande ämnen från grundvattenförekomsten har beaktats i bedömningen av kemisk status.</w:t>
      </w:r>
    </w:p>
    <w:p w:rsidR="000215C5" w:rsidRDefault="00703023">
      <w:pPr>
        <w:numPr>
          <w:ilvl w:val="0"/>
          <w:numId w:val="14"/>
        </w:numPr>
        <w:jc w:val="both"/>
      </w:pPr>
      <w:r>
        <w:t>Den metod eller det kriterium som tillämpas för att uppskatta hur stor del av en grundvattenförekomst som överskrider kvalitetsnormerna eller gränsvärdena för grundvatten.</w:t>
      </w:r>
    </w:p>
    <w:p w:rsidR="000215C5" w:rsidRDefault="00703023">
      <w:pPr>
        <w:numPr>
          <w:ilvl w:val="0"/>
          <w:numId w:val="14"/>
        </w:numPr>
        <w:jc w:val="both"/>
      </w:pPr>
      <w:r>
        <w:t>De förhållanden eller effekter av uttag av grundvatten som har beaktats i bedömningen av grundvattnets kvantitativa status.</w:t>
      </w:r>
    </w:p>
    <w:p w:rsidR="000215C5" w:rsidRDefault="00703023">
      <w:pPr>
        <w:numPr>
          <w:ilvl w:val="0"/>
          <w:numId w:val="14"/>
        </w:numPr>
        <w:jc w:val="both"/>
      </w:pPr>
      <w:r>
        <w:t>Hur kriteriet ”tillgänglig grundvattenresurs” har tillämpats enligt artikel 2.27 i vattendirektivet.</w:t>
      </w:r>
    </w:p>
    <w:p w:rsidR="000215C5" w:rsidRDefault="00703023">
      <w:pPr>
        <w:numPr>
          <w:ilvl w:val="0"/>
          <w:numId w:val="14"/>
        </w:numPr>
        <w:jc w:val="both"/>
      </w:pPr>
      <w:r>
        <w:t>Hur behoven hos terrestra ekosystem som är förbundna med grundvattenförekomster har bedömts.</w:t>
      </w:r>
    </w:p>
    <w:p w:rsidR="000215C5" w:rsidRDefault="00703023">
      <w:pPr>
        <w:numPr>
          <w:ilvl w:val="0"/>
          <w:numId w:val="14"/>
        </w:numPr>
        <w:jc w:val="both"/>
      </w:pPr>
      <w:r>
        <w:t>Den metod som används för att bedöma balansen mellan grundvattenbildning och uttag av grundvatten.</w:t>
      </w:r>
    </w:p>
    <w:p w:rsidR="000215C5" w:rsidRDefault="00703023">
      <w:pPr>
        <w:numPr>
          <w:ilvl w:val="0"/>
          <w:numId w:val="14"/>
        </w:numPr>
        <w:jc w:val="both"/>
      </w:pPr>
      <w:r>
        <w:t>Uppgifter om tidsserier för trendbedömningen av förorenande ämnen i grundvatten.</w:t>
      </w:r>
    </w:p>
    <w:p w:rsidR="000215C5" w:rsidRDefault="00703023">
      <w:pPr>
        <w:numPr>
          <w:ilvl w:val="0"/>
          <w:numId w:val="14"/>
        </w:numPr>
        <w:jc w:val="both"/>
      </w:pPr>
      <w:r>
        <w:t>Uppgifter om den statistiska delen av trendbedömningen av förorenande ämnen i grundvatten.</w:t>
      </w:r>
    </w:p>
    <w:p w:rsidR="000215C5" w:rsidRDefault="00703023">
      <w:pPr>
        <w:numPr>
          <w:ilvl w:val="0"/>
          <w:numId w:val="14"/>
        </w:numPr>
        <w:jc w:val="both"/>
      </w:pPr>
      <w:r>
        <w:t>Uppgifter om kompletterande trendbedömningar gjordes för att bedöma effekterna av befintliga föroreningsplymer (enligt artikel 5.5 i vattendirektivet).</w:t>
      </w:r>
    </w:p>
    <w:p w:rsidR="000215C5" w:rsidRDefault="00703023">
      <w:pPr>
        <w:numPr>
          <w:ilvl w:val="0"/>
          <w:numId w:val="14"/>
        </w:numPr>
        <w:jc w:val="both"/>
      </w:pPr>
      <w:r>
        <w:t>Utgångspunkter för att motverka trender som utgår från ett annat värde än 75 % av grundvattenförekomstens kvalitetsnormer eller gränsvärden.</w:t>
      </w:r>
    </w:p>
    <w:p w:rsidR="000215C5" w:rsidRDefault="00703023">
      <w:pPr>
        <w:numPr>
          <w:ilvl w:val="0"/>
          <w:numId w:val="14"/>
        </w:numPr>
        <w:jc w:val="both"/>
      </w:pPr>
      <w:r>
        <w:t>Den metod som har använts för att bedöma motverkande av trender i avrinningsområdet.</w:t>
      </w:r>
    </w:p>
    <w:p w:rsidR="000215C5" w:rsidRDefault="00703023">
      <w:pPr>
        <w:numPr>
          <w:ilvl w:val="0"/>
          <w:numId w:val="14"/>
        </w:numPr>
        <w:jc w:val="both"/>
      </w:pPr>
      <w:r>
        <w:t>Faktorer och mål för miljökvalitet som har beaktats vid fastställandet av gränsvärden för grundvatten.</w:t>
      </w:r>
    </w:p>
    <w:p w:rsidR="000215C5" w:rsidRDefault="00703023">
      <w:pPr>
        <w:numPr>
          <w:ilvl w:val="0"/>
          <w:numId w:val="14"/>
        </w:numPr>
        <w:jc w:val="both"/>
      </w:pPr>
      <w:r>
        <w:t>Beaktande av bakgrundsnivåer vid fastställandet av gränsvärden.</w:t>
      </w:r>
    </w:p>
    <w:p w:rsidR="000215C5" w:rsidRDefault="00703023">
      <w:pPr>
        <w:numPr>
          <w:ilvl w:val="0"/>
          <w:numId w:val="14"/>
        </w:numPr>
        <w:jc w:val="both"/>
      </w:pPr>
      <w:r>
        <w:t>Samordning av fastställande av gränsvärden för gränsöverskridande grundvattenförekomster.</w:t>
      </w:r>
    </w:p>
    <w:p w:rsidR="000215C5" w:rsidRDefault="00703023">
      <w:pPr>
        <w:pStyle w:val="Rubrik2"/>
        <w:jc w:val="both"/>
      </w:pPr>
      <w:bookmarkStart w:id="592" w:name="_Toc375220104"/>
      <w:bookmarkStart w:id="593" w:name="_Toc375294176"/>
      <w:bookmarkStart w:id="594" w:name="_Toc386464247"/>
      <w:bookmarkStart w:id="595" w:name="_Toc425522074"/>
      <w:bookmarkStart w:id="596" w:name="_Toc432666086"/>
      <w:bookmarkStart w:id="597" w:name="_Toc437520282"/>
      <w:r>
        <w:t>Definition av betydande påverkan och effekter</w:t>
      </w:r>
      <w:bookmarkEnd w:id="592"/>
      <w:bookmarkEnd w:id="593"/>
      <w:bookmarkEnd w:id="594"/>
      <w:bookmarkEnd w:id="595"/>
      <w:bookmarkEnd w:id="596"/>
      <w:bookmarkEnd w:id="597"/>
    </w:p>
    <w:p w:rsidR="000215C5" w:rsidRDefault="00703023">
      <w:pPr>
        <w:pStyle w:val="Rubrik3"/>
      </w:pPr>
      <w:bookmarkStart w:id="598" w:name="_Toc375220105"/>
      <w:r>
        <w:t>Inledning</w:t>
      </w:r>
    </w:p>
    <w:bookmarkEnd w:id="598"/>
    <w:p w:rsidR="000215C5" w:rsidRDefault="00703023">
      <w:pPr>
        <w:jc w:val="both"/>
      </w:pPr>
      <w:r>
        <w:t>En viktig aspekt av karakteriseringen av grundvattenförekomster är bedömningen av risken för att grundvattenförekomsten inte uppnår vattendirektivets mål (2015) om inte lämpliga åtgärder vidtas. Resultaten av riskbedömningen ligger till grund för övervakningen av grundvattenförekomster samt klassificering av status. Det är mycket viktigt att de metoder som används för riskbedömningen är ändamålsenliga, dvs. att det är möjligt att kartlägga och kvantifiera all betydande påverkan inom avrinningsdistriktet och hur de eventuellt kan påverka grundv</w:t>
      </w:r>
      <w:r w:rsidR="00140CEE">
        <w:t>attenförekomsternas status (CIS</w:t>
      </w:r>
      <w:r w:rsidR="00140CEE">
        <w:noBreakHyphen/>
      </w:r>
      <w:r>
        <w:t>vägledningsdokument nr 3</w:t>
      </w:r>
      <w:r>
        <w:rPr>
          <w:rStyle w:val="Fotnotsreferens"/>
        </w:rPr>
        <w:footnoteReference w:id="100"/>
      </w:r>
      <w:r>
        <w:t>). Om så inte är fallet kan kostsamma åtgärder riktas på fel sätt och det oväntade kan inträffa att målen inte uppfylls.</w:t>
      </w:r>
    </w:p>
    <w:p w:rsidR="000215C5" w:rsidRDefault="00703023">
      <w:pPr>
        <w:pStyle w:val="Rubrik3"/>
      </w:pPr>
      <w:r>
        <w:t>Hur kommer kommissionen och Europeiska miljöbyrån att använda den rapporterade informationen?</w:t>
      </w:r>
    </w:p>
    <w:p w:rsidR="000215C5" w:rsidRDefault="00703023">
      <w:pPr>
        <w:jc w:val="both"/>
      </w:pPr>
      <w:bookmarkStart w:id="599" w:name="_Toc375220106"/>
      <w:r>
        <w:t>Kommissionen kommer att använda denna information för att försäkra sig om att analysen av påverkan och åtgärder har utförts enligt vattendirektivets bestämmelser och på ett konsekvent och jämförbart sätt inom EU.</w:t>
      </w:r>
    </w:p>
    <w:p w:rsidR="000215C5" w:rsidRDefault="00703023">
      <w:pPr>
        <w:jc w:val="both"/>
      </w:pPr>
      <w:r>
        <w:t>Förutom efterlevnadsbedömningen kommer en serie resultat att tas fram för att identifiera de vanligaste verktygen för bedömningen av påverkan och effekter i syfte att främja bästa praxis.</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3"/>
      </w:pPr>
      <w:r>
        <w:t>Innehåll i rapporteringen 2016</w:t>
      </w:r>
      <w:bookmarkEnd w:id="599"/>
    </w:p>
    <w:p w:rsidR="000215C5" w:rsidRDefault="00703023">
      <w:pPr>
        <w:pStyle w:val="Rubrik4"/>
      </w:pPr>
      <w:bookmarkStart w:id="600" w:name="_Ref375240116"/>
      <w:r>
        <w:t>Skiss över mallarna</w:t>
      </w:r>
    </w:p>
    <w:p w:rsidR="000215C5" w:rsidRDefault="00703023">
      <w:pPr>
        <w:jc w:val="both"/>
      </w:pPr>
      <w:r>
        <w:t>Se bilaga 10.6.</w:t>
      </w:r>
    </w:p>
    <w:bookmarkEnd w:id="600"/>
    <w:p w:rsidR="000215C5" w:rsidRDefault="00703023">
      <w:pPr>
        <w:pStyle w:val="Rubrik4"/>
      </w:pPr>
      <w:r>
        <w:t>Information och uppgifter som ska rapporteras med hjälp av mallarna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GWMET (fortsättning)</w:t>
            </w:r>
          </w:p>
        </w:tc>
      </w:tr>
      <w:tr w:rsidR="000215C5">
        <w:tc>
          <w:tcPr>
            <w:tcW w:w="9853" w:type="dxa"/>
            <w:shd w:val="clear" w:color="auto" w:fill="auto"/>
          </w:tcPr>
          <w:p w:rsidR="000215C5" w:rsidRDefault="00703023">
            <w:pPr>
              <w:spacing w:after="120"/>
              <w:jc w:val="both"/>
              <w:rPr>
                <w:b/>
                <w:i/>
                <w:szCs w:val="24"/>
              </w:rPr>
            </w:pPr>
            <w:r>
              <w:rPr>
                <w:b/>
                <w:i/>
              </w:rPr>
              <w:t>Class GWPressures</w:t>
            </w:r>
          </w:p>
          <w:p w:rsidR="000215C5" w:rsidRDefault="00703023">
            <w:pPr>
              <w:spacing w:after="120"/>
              <w:jc w:val="both"/>
              <w:rPr>
                <w:i/>
                <w:szCs w:val="24"/>
              </w:rPr>
            </w:pPr>
            <w:r>
              <w:rPr>
                <w:b/>
                <w:i/>
              </w:rPr>
              <w:t xml:space="preserve">Egenskaper: </w:t>
            </w:r>
            <w:r>
              <w:rPr>
                <w:i/>
              </w:rPr>
              <w:t>maxOccurs = 1 minOccurs = 1</w:t>
            </w:r>
          </w:p>
        </w:tc>
      </w:tr>
      <w:tr w:rsidR="000215C5">
        <w:tc>
          <w:tcPr>
            <w:tcW w:w="9853" w:type="dxa"/>
            <w:shd w:val="clear" w:color="auto" w:fill="auto"/>
          </w:tcPr>
          <w:p w:rsidR="000215C5" w:rsidRDefault="00703023">
            <w:pPr>
              <w:spacing w:after="120"/>
              <w:jc w:val="both"/>
              <w:rPr>
                <w:b/>
                <w:szCs w:val="24"/>
              </w:rPr>
            </w:pPr>
            <w:r>
              <w:rPr>
                <w:b/>
              </w:rPr>
              <w:t>Mallpost</w:t>
            </w:r>
            <w:r>
              <w:t>: gwPressuresNotAssessed</w:t>
            </w:r>
          </w:p>
          <w:p w:rsidR="000215C5" w:rsidRDefault="00703023">
            <w:pPr>
              <w:spacing w:after="120"/>
              <w:jc w:val="both"/>
              <w:rPr>
                <w:szCs w:val="24"/>
              </w:rPr>
            </w:pPr>
            <w:r>
              <w:rPr>
                <w:b/>
              </w:rPr>
              <w:t xml:space="preserve">Fälttyp/alternativ: </w:t>
            </w:r>
            <w:r>
              <w:t>SignificantPressureType_Enum (se bilaga 1a)</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Vägledning om hur man fyller i mallposten</w:t>
            </w:r>
            <w:r>
              <w:t>: Krävs. Välj eventuella typer av påverkan från uppräkningslistan som inte har bedömts (dvs. typer av påverkan som inte har beaktats eftersom de inte ansågs viktiga för avrinningsdistriktet, ingen information tillgänglig eller andra skäl). Om alla typer av påverkan har bedömts, ange ”Not applicable”. Alternativet ”No significant pressure” är inte giltigt.</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gwSignificantPressurePointSourceTools</w:t>
            </w:r>
          </w:p>
          <w:p w:rsidR="000215C5" w:rsidRDefault="00703023">
            <w:pPr>
              <w:spacing w:after="120"/>
              <w:jc w:val="both"/>
              <w:rPr>
                <w:szCs w:val="24"/>
              </w:rPr>
            </w:pPr>
            <w:r>
              <w:rPr>
                <w:b/>
              </w:rPr>
              <w:t xml:space="preserve">Fälttyp/alternativ: </w:t>
            </w:r>
            <w:r>
              <w:t>SignificantPressureTools_Enum:</w:t>
            </w:r>
          </w:p>
          <w:p w:rsidR="000215C5" w:rsidRDefault="00703023">
            <w:pPr>
              <w:spacing w:after="120"/>
              <w:jc w:val="both"/>
              <w:rPr>
                <w:szCs w:val="24"/>
              </w:rPr>
            </w:pPr>
            <w: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Rapportera de verktyg som har använts för att fastställa betydande påverkan från punktkällorna. Numeriska verktyg omfattar modelleringsverktyg.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gwSignificantPressureDiffuseSourceTools</w:t>
            </w:r>
          </w:p>
          <w:p w:rsidR="000215C5" w:rsidRDefault="00703023">
            <w:pPr>
              <w:spacing w:after="120"/>
              <w:jc w:val="both"/>
              <w:rPr>
                <w:szCs w:val="24"/>
              </w:rPr>
            </w:pPr>
            <w:r>
              <w:rPr>
                <w:b/>
              </w:rPr>
              <w:t xml:space="preserve">Fälttyp/alternativ: </w:t>
            </w:r>
            <w:r>
              <w:t>SignificantPressureTools_Enum:</w:t>
            </w:r>
          </w:p>
          <w:p w:rsidR="000215C5" w:rsidRPr="00D95552" w:rsidRDefault="00703023">
            <w:pPr>
              <w:spacing w:after="120"/>
              <w:jc w:val="both"/>
              <w:rPr>
                <w:szCs w:val="24"/>
                <w:lang w:val="en-GB"/>
              </w:rPr>
            </w:pPr>
            <w:r w:rsidRPr="00D95552">
              <w:rPr>
                <w:lang w:val="en-GB"/>
              </w:rP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Pr="00D95552" w:rsidRDefault="00703023">
            <w:pPr>
              <w:spacing w:after="120"/>
              <w:jc w:val="both"/>
              <w:rPr>
                <w:szCs w:val="24"/>
                <w:lang w:val="en-GB"/>
              </w:rPr>
            </w:pPr>
            <w:r w:rsidRPr="00D95552">
              <w:rPr>
                <w:b/>
                <w:lang w:val="en-GB"/>
              </w:rPr>
              <w:t xml:space="preserve">Egenskaper: </w:t>
            </w:r>
            <w:r w:rsidRPr="00D95552">
              <w:rPr>
                <w:lang w:val="en-GB"/>
              </w:rPr>
              <w:t>maxOccurs = 1 minOccurs = 1</w:t>
            </w:r>
          </w:p>
          <w:p w:rsidR="000215C5" w:rsidRDefault="00703023">
            <w:pPr>
              <w:spacing w:after="120"/>
              <w:jc w:val="both"/>
              <w:rPr>
                <w:b/>
                <w:szCs w:val="24"/>
              </w:rPr>
            </w:pPr>
            <w:r>
              <w:rPr>
                <w:b/>
              </w:rPr>
              <w:t>Vägledning om hur man fyller i mallposten</w:t>
            </w:r>
            <w:r>
              <w:t xml:space="preserve">: Krävs. Rapportera de verktyg som har använts för att fastställa betydande påverkan från diffusa källor. Numeriska verktyg omfattar modelleringsverktyg. </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gwSignificantPressureWaterAbstractionTools</w:t>
            </w:r>
          </w:p>
          <w:p w:rsidR="000215C5" w:rsidRPr="00D95552" w:rsidRDefault="00703023">
            <w:pPr>
              <w:spacing w:after="120"/>
              <w:jc w:val="both"/>
              <w:rPr>
                <w:szCs w:val="24"/>
              </w:rPr>
            </w:pPr>
            <w:r w:rsidRPr="00D95552">
              <w:rPr>
                <w:b/>
              </w:rPr>
              <w:t xml:space="preserve">Fälttyp/alternativ: </w:t>
            </w:r>
            <w:r w:rsidRPr="00D95552">
              <w:t>SignificantPressureTools_Enum:</w:t>
            </w:r>
          </w:p>
          <w:p w:rsidR="000215C5" w:rsidRPr="00FD78F1" w:rsidRDefault="00703023">
            <w:pPr>
              <w:spacing w:after="120"/>
              <w:jc w:val="both"/>
              <w:rPr>
                <w:szCs w:val="24"/>
                <w:lang w:val="en-GB"/>
              </w:rPr>
            </w:pPr>
            <w:r w:rsidRPr="00FD78F1">
              <w:rPr>
                <w:lang w:val="en-GB"/>
              </w:rP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Pr="00FD78F1" w:rsidRDefault="00703023">
            <w:pPr>
              <w:spacing w:after="120"/>
              <w:jc w:val="both"/>
              <w:rPr>
                <w:szCs w:val="24"/>
                <w:lang w:val="en-GB"/>
              </w:rPr>
            </w:pPr>
            <w:r w:rsidRPr="00FD78F1">
              <w:rPr>
                <w:b/>
                <w:lang w:val="en-GB"/>
              </w:rPr>
              <w:t xml:space="preserve">Egenskaper: </w:t>
            </w:r>
            <w:r w:rsidRPr="00FD78F1">
              <w:rPr>
                <w:lang w:val="en-GB"/>
              </w:rPr>
              <w:t>maxOccurs = 1 minOccurs = 1</w:t>
            </w:r>
          </w:p>
          <w:p w:rsidR="000215C5" w:rsidRDefault="00703023">
            <w:pPr>
              <w:spacing w:after="120"/>
              <w:jc w:val="both"/>
              <w:rPr>
                <w:b/>
                <w:szCs w:val="24"/>
              </w:rPr>
            </w:pPr>
            <w:r>
              <w:rPr>
                <w:b/>
              </w:rPr>
              <w:t>Vägledning om hur man fyller i mallposten</w:t>
            </w:r>
            <w:r>
              <w:t xml:space="preserve">: Krävs. Rapportera de verktyg som har använts för att fastställa betydande påverkan till följd av vattenuttag. Numeriska verktyg omfattar modelleringsverktyg.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gwSignificantPressureArtificialRecharge</w:t>
            </w:r>
          </w:p>
          <w:p w:rsidR="000215C5" w:rsidRDefault="00703023">
            <w:pPr>
              <w:spacing w:after="120"/>
              <w:jc w:val="both"/>
              <w:rPr>
                <w:szCs w:val="24"/>
              </w:rPr>
            </w:pPr>
            <w:r>
              <w:rPr>
                <w:b/>
              </w:rPr>
              <w:t xml:space="preserve">Fälttyp/alternativ: </w:t>
            </w:r>
            <w:r>
              <w:t>SignificantPressureTools_Enum:</w:t>
            </w:r>
          </w:p>
          <w:p w:rsidR="000215C5" w:rsidRDefault="00703023">
            <w:pPr>
              <w:spacing w:after="120"/>
              <w:jc w:val="both"/>
              <w:rPr>
                <w:szCs w:val="24"/>
              </w:rPr>
            </w:pPr>
            <w: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Ange de verktyg som har använts för att fastställa betydande påverkan från konstgjord grundvattenbildning. Numeriska verktyg omfattar modelleringsverktyg. </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 xml:space="preserve">gwSignificantPressureOtherSourceTools </w:t>
            </w:r>
          </w:p>
          <w:p w:rsidR="000215C5" w:rsidRDefault="00703023">
            <w:pPr>
              <w:spacing w:after="120"/>
              <w:jc w:val="both"/>
              <w:rPr>
                <w:szCs w:val="24"/>
              </w:rPr>
            </w:pPr>
            <w:r>
              <w:rPr>
                <w:b/>
              </w:rPr>
              <w:t xml:space="preserve">Fälttyp/alternativ: </w:t>
            </w:r>
            <w:r>
              <w:t>SignificantPressureTools_Enum</w:t>
            </w:r>
          </w:p>
          <w:p w:rsidR="000215C5" w:rsidRPr="00FD78F1" w:rsidRDefault="00703023">
            <w:pPr>
              <w:spacing w:after="120"/>
              <w:jc w:val="both"/>
              <w:rPr>
                <w:szCs w:val="24"/>
                <w:lang w:val="en-GB"/>
              </w:rPr>
            </w:pPr>
            <w:r w:rsidRPr="00FD78F1">
              <w:rPr>
                <w:lang w:val="en-GB"/>
              </w:rPr>
              <w:t>Numerical tools</w:t>
            </w:r>
          </w:p>
          <w:p w:rsidR="000215C5" w:rsidRPr="00FD78F1" w:rsidRDefault="00703023">
            <w:pPr>
              <w:spacing w:after="120"/>
              <w:jc w:val="both"/>
              <w:rPr>
                <w:szCs w:val="24"/>
                <w:lang w:val="en-GB"/>
              </w:rPr>
            </w:pPr>
            <w:r w:rsidRPr="00FD78F1">
              <w:rPr>
                <w:lang w:val="en-GB"/>
              </w:rPr>
              <w:t>Expert judgment</w:t>
            </w:r>
          </w:p>
          <w:p w:rsidR="000215C5" w:rsidRPr="00FD78F1" w:rsidRDefault="00703023">
            <w:pPr>
              <w:spacing w:after="120"/>
              <w:jc w:val="both"/>
              <w:rPr>
                <w:szCs w:val="24"/>
                <w:lang w:val="en-GB"/>
              </w:rPr>
            </w:pPr>
            <w:r w:rsidRPr="00FD78F1">
              <w:rPr>
                <w:lang w:val="en-GB"/>
              </w:rPr>
              <w:t>Combination of both</w:t>
            </w:r>
          </w:p>
          <w:p w:rsidR="000215C5" w:rsidRPr="00FD78F1" w:rsidRDefault="00703023">
            <w:pPr>
              <w:spacing w:after="120"/>
              <w:jc w:val="both"/>
              <w:rPr>
                <w:szCs w:val="24"/>
                <w:lang w:val="en-GB"/>
              </w:rPr>
            </w:pPr>
            <w:r w:rsidRPr="00FD78F1">
              <w:rPr>
                <w:lang w:val="en-GB"/>
              </w:rPr>
              <w:t>Not assessed</w:t>
            </w:r>
          </w:p>
          <w:p w:rsidR="000215C5" w:rsidRPr="00FD78F1" w:rsidRDefault="00703023">
            <w:pPr>
              <w:spacing w:after="120"/>
              <w:jc w:val="both"/>
              <w:rPr>
                <w:szCs w:val="24"/>
                <w:lang w:val="en-GB"/>
              </w:rPr>
            </w:pPr>
            <w:r w:rsidRPr="00FD78F1">
              <w:rPr>
                <w:b/>
                <w:lang w:val="en-GB"/>
              </w:rPr>
              <w:t xml:space="preserve">Egenskaper: </w:t>
            </w:r>
            <w:r w:rsidRPr="00FD78F1">
              <w:rPr>
                <w:lang w:val="en-GB"/>
              </w:rPr>
              <w:t>maxOccurs = 1 minOccurs = 1</w:t>
            </w:r>
          </w:p>
          <w:p w:rsidR="000215C5" w:rsidRDefault="00703023">
            <w:pPr>
              <w:spacing w:after="120"/>
              <w:jc w:val="both"/>
              <w:rPr>
                <w:b/>
                <w:szCs w:val="24"/>
              </w:rPr>
            </w:pPr>
            <w:r>
              <w:rPr>
                <w:b/>
              </w:rPr>
              <w:t>Vägledning om hur man fyller i mallposten</w:t>
            </w:r>
            <w:r>
              <w:t xml:space="preserve">: Krävs. Rapportera de verktyg som har använts för att fastställa betydande påverkan från andra källor. Numeriska verktyg omfattar modelleringsverktyg.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gwSignificanceDefinition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betydelsen har definierats i form av gränsvärden.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gwSignificanceLinkFailure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definitionen av betydelse är kopplad till eventuellt ej uppnådd god status.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gwPressuresReference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dokument och avsnitt som innehåller annan relevant information om typer av påverkan. Vägledning om vilka uppgifter som bör ingå i detta dokument ges i avsnitt </w:t>
            </w:r>
            <w:r>
              <w:fldChar w:fldCharType="begin"/>
            </w:r>
            <w:r>
              <w:instrText xml:space="preserve"> REF _Ref402958998 \r \h  \* MERGEFORMAT </w:instrText>
            </w:r>
            <w:r>
              <w:fldChar w:fldCharType="separate"/>
            </w:r>
            <w:r>
              <w:rPr>
                <w:szCs w:val="24"/>
              </w:rPr>
              <w:t>8.4.3.3</w:t>
            </w:r>
            <w:r>
              <w:fldChar w:fldCharType="end"/>
            </w:r>
            <w:r>
              <w:t>.</w:t>
            </w:r>
          </w:p>
        </w:tc>
      </w:tr>
    </w:tbl>
    <w:p w:rsidR="000215C5" w:rsidRDefault="000215C5">
      <w:pPr>
        <w:jc w:val="both"/>
      </w:pPr>
    </w:p>
    <w:p w:rsidR="000215C5" w:rsidRDefault="00703023">
      <w:pPr>
        <w:pStyle w:val="Rubrik4"/>
      </w:pPr>
      <w:bookmarkStart w:id="601" w:name="_Ref402958998"/>
      <w:r>
        <w:t>Vägledning om innehållet i förvaltningsplanerna för avrinningsdistrikt/bakgrundsdokument</w:t>
      </w:r>
      <w:bookmarkEnd w:id="601"/>
    </w:p>
    <w:p w:rsidR="000215C5" w:rsidRDefault="00703023">
      <w:pPr>
        <w:jc w:val="both"/>
      </w:pPr>
      <w:r>
        <w:t>Nedan ges vägledning om de uppgifter som kommissionen förväntar sig att medlemsstaterna lämnar i de relevanta kapitlen om påverkan och effekter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numPr>
          <w:ilvl w:val="0"/>
          <w:numId w:val="38"/>
        </w:numPr>
        <w:jc w:val="both"/>
      </w:pPr>
      <w:r>
        <w:t>En beskrivning av de verktyg som använts för att fastställa betydande påverkan från samtliga källor, inklusive en bedömning av hur exakta och tillförlitliga verktygen är.</w:t>
      </w:r>
    </w:p>
    <w:p w:rsidR="000215C5" w:rsidRDefault="00703023">
      <w:pPr>
        <w:numPr>
          <w:ilvl w:val="0"/>
          <w:numId w:val="21"/>
        </w:numPr>
        <w:jc w:val="both"/>
      </w:pPr>
      <w:r>
        <w:t>Ange varför vissa typer av påverkan inte har tagits med i analysen av påverkan och effekter (i förekommande fall).</w:t>
      </w:r>
    </w:p>
    <w:p w:rsidR="000215C5" w:rsidRDefault="00703023">
      <w:pPr>
        <w:numPr>
          <w:ilvl w:val="0"/>
          <w:numId w:val="38"/>
        </w:numPr>
        <w:jc w:val="both"/>
      </w:pPr>
      <w:r>
        <w:t>Fastställande av betydelse i form av gränsvärden.</w:t>
      </w:r>
    </w:p>
    <w:p w:rsidR="000215C5" w:rsidRDefault="00703023">
      <w:pPr>
        <w:numPr>
          <w:ilvl w:val="0"/>
          <w:numId w:val="38"/>
        </w:numPr>
        <w:jc w:val="both"/>
      </w:pPr>
      <w:r>
        <w:t>Hur betydelse kopplas till ej uppnådd god status.</w:t>
      </w:r>
    </w:p>
    <w:p w:rsidR="000215C5" w:rsidRDefault="00703023">
      <w:pPr>
        <w:pStyle w:val="Rubrik2"/>
        <w:jc w:val="both"/>
      </w:pPr>
      <w:bookmarkStart w:id="602" w:name="_Toc375220107"/>
      <w:bookmarkStart w:id="603" w:name="_Toc375294177"/>
      <w:bookmarkStart w:id="604" w:name="_Toc386464248"/>
      <w:bookmarkStart w:id="605" w:name="_Toc425522075"/>
      <w:bookmarkStart w:id="606" w:name="_Toc432666087"/>
      <w:bookmarkStart w:id="607" w:name="_Toc437520283"/>
      <w:r>
        <w:t>Metoder för undantag</w:t>
      </w:r>
      <w:bookmarkEnd w:id="602"/>
      <w:bookmarkEnd w:id="603"/>
      <w:bookmarkEnd w:id="604"/>
      <w:bookmarkEnd w:id="605"/>
      <w:bookmarkEnd w:id="606"/>
      <w:bookmarkEnd w:id="607"/>
    </w:p>
    <w:p w:rsidR="000215C5" w:rsidRDefault="00703023">
      <w:pPr>
        <w:pStyle w:val="Rubrik3"/>
      </w:pPr>
      <w:bookmarkStart w:id="608" w:name="_Toc375220108"/>
      <w:r>
        <w:t>Inledning</w:t>
      </w:r>
    </w:p>
    <w:p w:rsidR="000215C5" w:rsidRDefault="00703023">
      <w:pPr>
        <w:jc w:val="both"/>
      </w:pPr>
      <w:r>
        <w:t>Vattendirektivets miljömål anges i artikel 4, som inriktas på långsiktig hållbar vattenförvaltning. I artikel 4.1 fastställs det allmänna mål för god status som ska uppnås för alla grundvattenförekomster till 2015 samt principen om att förebygga fortsatt försämrad status.</w:t>
      </w:r>
    </w:p>
    <w:p w:rsidR="000215C5" w:rsidRDefault="00703023">
      <w:pPr>
        <w:jc w:val="both"/>
      </w:pPr>
      <w:r>
        <w:t>Det finns ett antal undantag från det allmänna målet som är möjliga under vissa förhållanden. Enligt artikel 4.4 får tidsfristen förlängas till efter 2015, enligt artikel 4.5 får mindre stränga mål ställas upp, artikel 4.6 tillåter en tillfällig försämring av vattenförekomsters status, och i artikel 4.7 anges villkoren för när försämrad status eller underlåtande att uppnå vissa av vattendirektivets miljömål får tillåtas för nya modifikationer i vattenförekomsternas fysiska karakteristika samt försämring från hög till god status när detta är en följd av nya hållbara mänskliga utvecklingsverksamheter.</w:t>
      </w:r>
    </w:p>
    <w:p w:rsidR="000215C5" w:rsidRDefault="00703023">
      <w:pPr>
        <w:jc w:val="both"/>
      </w:pPr>
      <w:r>
        <w:t>Vattendirektivet utgör den allmänna ramen för undantag, men det finns utrymme för skillnader i tolkning och genomförande. Redan när direktivet började genomföras stod det klart att tillämpningen av undantag måste förklaras närmare och reglerna förtydligas. Dessa förtydliganden återfinns i CIS-vägledningsdokument nr 20 om undantag</w:t>
      </w:r>
      <w:r>
        <w:rPr>
          <w:rStyle w:val="Fotnotsreferens"/>
        </w:rPr>
        <w:footnoteReference w:id="101"/>
      </w:r>
      <w:r>
        <w:t>, som har utvecklats under flera års tid.</w:t>
      </w:r>
    </w:p>
    <w:p w:rsidR="000215C5" w:rsidRDefault="00703023">
      <w:pPr>
        <w:jc w:val="both"/>
      </w:pPr>
      <w:r>
        <w:t>Enligt artikel 6.3 i direktiv 2006/118/EG</w:t>
      </w:r>
      <w:r>
        <w:rPr>
          <w:rStyle w:val="Fotnotsreferens"/>
        </w:rPr>
        <w:footnoteReference w:id="102"/>
      </w:r>
      <w:r>
        <w:t xml:space="preserve"> om skydd för grundvatten mot föroreningar och försämring får medlemsstaterna dessutom under vissa angivna omständigheter undanta tillförsel av förorenande ämnen till grundvatten från åtgärdsprogrammet.</w:t>
      </w:r>
    </w:p>
    <w:bookmarkEnd w:id="608"/>
    <w:p w:rsidR="000215C5" w:rsidRDefault="00703023">
      <w:pPr>
        <w:pStyle w:val="Rubrik3"/>
      </w:pPr>
      <w:r>
        <w:t>Hur kommer kommissionen och Europeiska miljöbyrån att använda den rapporterade informationen?</w:t>
      </w:r>
    </w:p>
    <w:p w:rsidR="000215C5" w:rsidRDefault="00703023">
      <w:pPr>
        <w:jc w:val="both"/>
      </w:pPr>
      <w:r>
        <w:t>Kommissionen kommer att använda den information som lämnas för att avgöra om den metod som används för att motivera undantag är hållfast och överensstämmer med vattendirektivets krav.</w:t>
      </w:r>
    </w:p>
    <w:p w:rsidR="000215C5" w:rsidRDefault="00703023">
      <w:pPr>
        <w:jc w:val="both"/>
      </w:pPr>
      <w:r>
        <w:t xml:space="preserve">På EU-nivå kommer statistik och information att lämnas till Europaparlamentet. Allmänheten kommer att få tillgång till informationen via Wise. </w:t>
      </w:r>
    </w:p>
    <w:p w:rsidR="000215C5" w:rsidRDefault="00703023">
      <w:pPr>
        <w:pStyle w:val="Rubrik3"/>
      </w:pPr>
      <w:bookmarkStart w:id="609" w:name="_Toc375220109"/>
      <w:r>
        <w:t>Innehåll i rapporteringen 2016</w:t>
      </w:r>
      <w:bookmarkEnd w:id="609"/>
    </w:p>
    <w:p w:rsidR="000215C5" w:rsidRDefault="00703023">
      <w:pPr>
        <w:pStyle w:val="Rubrik4"/>
      </w:pPr>
      <w:bookmarkStart w:id="610" w:name="_Ref375240149"/>
      <w:r>
        <w:t>Skiss över mallarna</w:t>
      </w:r>
    </w:p>
    <w:p w:rsidR="000215C5" w:rsidRDefault="00703023">
      <w:pPr>
        <w:jc w:val="both"/>
      </w:pPr>
      <w:r>
        <w:t>Se bilaga 10.6.</w:t>
      </w:r>
    </w:p>
    <w:bookmarkEnd w:id="610"/>
    <w:p w:rsidR="000215C5" w:rsidRDefault="00703023">
      <w:pPr>
        <w:pStyle w:val="Rubrik4"/>
      </w:pPr>
      <w:r>
        <w:t>Information och uppgifter som ska rapporteras med hjälp av mallarna</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GWMET (fortsättning)</w:t>
            </w:r>
          </w:p>
        </w:tc>
      </w:tr>
      <w:tr w:rsidR="000215C5">
        <w:tc>
          <w:tcPr>
            <w:tcW w:w="9853" w:type="dxa"/>
            <w:shd w:val="clear" w:color="auto" w:fill="auto"/>
          </w:tcPr>
          <w:p w:rsidR="000215C5" w:rsidRDefault="00703023">
            <w:pPr>
              <w:spacing w:after="120"/>
              <w:jc w:val="both"/>
              <w:rPr>
                <w:b/>
                <w:i/>
                <w:szCs w:val="24"/>
              </w:rPr>
            </w:pPr>
            <w:r>
              <w:rPr>
                <w:b/>
                <w:i/>
              </w:rPr>
              <w:t>Class GWExemptions</w:t>
            </w:r>
          </w:p>
          <w:p w:rsidR="000215C5" w:rsidRDefault="00703023">
            <w:pPr>
              <w:spacing w:after="120"/>
              <w:jc w:val="both"/>
              <w:rPr>
                <w:i/>
                <w:szCs w:val="24"/>
              </w:rPr>
            </w:pPr>
            <w:r>
              <w:rPr>
                <w:b/>
                <w:i/>
              </w:rPr>
              <w:t xml:space="preserve">Egenskaper: </w:t>
            </w:r>
            <w:r>
              <w:rPr>
                <w:i/>
              </w:rPr>
              <w:t>maxOccurs = 1 minOccurs = 1</w:t>
            </w:r>
          </w:p>
        </w:tc>
      </w:tr>
      <w:tr w:rsidR="000215C5">
        <w:tc>
          <w:tcPr>
            <w:tcW w:w="9853" w:type="dxa"/>
            <w:shd w:val="clear" w:color="auto" w:fill="auto"/>
          </w:tcPr>
          <w:p w:rsidR="000215C5" w:rsidRDefault="00703023">
            <w:pPr>
              <w:spacing w:after="120"/>
              <w:jc w:val="both"/>
              <w:rPr>
                <w:b/>
                <w:szCs w:val="24"/>
              </w:rPr>
            </w:pPr>
            <w:r>
              <w:rPr>
                <w:b/>
              </w:rPr>
              <w:t xml:space="preserve">Mallpost: </w:t>
            </w:r>
            <w:r>
              <w:t>gwExemption44Impact</w:t>
            </w:r>
          </w:p>
          <w:p w:rsidR="000215C5" w:rsidRDefault="00703023">
            <w:pPr>
              <w:spacing w:after="120"/>
              <w:jc w:val="both"/>
              <w:rPr>
                <w:szCs w:val="24"/>
              </w:rPr>
            </w:pPr>
            <w:r>
              <w:rPr>
                <w:b/>
              </w:rPr>
              <w:t xml:space="preserve">Fälttyp/alternativ: </w:t>
            </w:r>
            <w:r>
              <w:t>SignificantImpactType_Enum (se bilaga 1b)</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Välj de effekter från uppräkningslistan som ger upphov till tillämpning av undantag enligt artikel 4.4. Fler än en effekt kan väljas. Ange ”Not applicable” om artikel 4.4-undantag inte har tillämpats. </w:t>
            </w:r>
          </w:p>
          <w:p w:rsidR="000215C5" w:rsidRDefault="00703023">
            <w:pPr>
              <w:spacing w:after="120"/>
              <w:jc w:val="both"/>
              <w:rPr>
                <w:b/>
                <w:szCs w:val="24"/>
              </w:rPr>
            </w:pPr>
            <w:r>
              <w:t>Alternativet ”NOSI – No significant impact” är inte giltigt.</w:t>
            </w:r>
          </w:p>
        </w:tc>
      </w:tr>
      <w:tr w:rsidR="000215C5">
        <w:tc>
          <w:tcPr>
            <w:tcW w:w="9853" w:type="dxa"/>
            <w:shd w:val="clear" w:color="auto" w:fill="auto"/>
          </w:tcPr>
          <w:p w:rsidR="000215C5" w:rsidRDefault="00703023">
            <w:pPr>
              <w:spacing w:after="120"/>
              <w:jc w:val="both"/>
              <w:rPr>
                <w:b/>
                <w:szCs w:val="24"/>
              </w:rPr>
            </w:pPr>
            <w:r>
              <w:rPr>
                <w:b/>
              </w:rPr>
              <w:t xml:space="preserve">Mallpost: </w:t>
            </w:r>
            <w:r>
              <w:t>gwExemption44Driver</w:t>
            </w:r>
          </w:p>
          <w:p w:rsidR="000215C5" w:rsidRDefault="00703023">
            <w:pPr>
              <w:spacing w:after="120"/>
              <w:jc w:val="both"/>
              <w:rPr>
                <w:szCs w:val="24"/>
              </w:rPr>
            </w:pPr>
            <w:r>
              <w:rPr>
                <w:b/>
              </w:rPr>
              <w:t xml:space="preserve">Fälttyp/alternativ: </w:t>
            </w:r>
            <w:r>
              <w:t>Driver_Enum (se bilaga 1c)</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Vägledning om hur man fyller i mallposten</w:t>
            </w:r>
            <w:r>
              <w:t xml:space="preserve">: Krävs. Välj de drivkrafter från uppräkningslistan som ger upphov till tillämpning av undantag enligt artikel 4.4. Fler än en drivkraft kan väljas. Ange ”Exemption not applied” om artikel 4.4-undantag inte har tillämpats. </w:t>
            </w:r>
          </w:p>
        </w:tc>
      </w:tr>
      <w:tr w:rsidR="000215C5">
        <w:tc>
          <w:tcPr>
            <w:tcW w:w="9853" w:type="dxa"/>
            <w:shd w:val="clear" w:color="auto" w:fill="auto"/>
          </w:tcPr>
          <w:p w:rsidR="000215C5" w:rsidRDefault="00703023">
            <w:pPr>
              <w:spacing w:after="120"/>
              <w:jc w:val="both"/>
              <w:rPr>
                <w:b/>
                <w:szCs w:val="24"/>
              </w:rPr>
            </w:pPr>
            <w:r>
              <w:rPr>
                <w:b/>
              </w:rPr>
              <w:t xml:space="preserve">Mallpost: </w:t>
            </w:r>
            <w:r>
              <w:t>gwExemption45Impact</w:t>
            </w:r>
          </w:p>
          <w:p w:rsidR="000215C5" w:rsidRDefault="00703023">
            <w:pPr>
              <w:spacing w:after="120"/>
              <w:jc w:val="both"/>
              <w:rPr>
                <w:szCs w:val="24"/>
              </w:rPr>
            </w:pPr>
            <w:r>
              <w:rPr>
                <w:b/>
              </w:rPr>
              <w:t xml:space="preserve">Fälttyp/alternativ: </w:t>
            </w:r>
            <w:r>
              <w:t>SignificantImpactType_Enum (se bilaga 1b)</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Välj de effekter från uppräkningslistan som ger upphov till tillämpning av undantag enligt artikel 4.5. Fler än en effekt kan väljas. Ange ”Not applicable” om artikel 4.5-undantag inte har tillämpats. </w:t>
            </w:r>
          </w:p>
          <w:p w:rsidR="000215C5" w:rsidRDefault="00703023">
            <w:pPr>
              <w:spacing w:after="120"/>
              <w:jc w:val="both"/>
              <w:rPr>
                <w:b/>
                <w:szCs w:val="24"/>
              </w:rPr>
            </w:pPr>
            <w:r>
              <w:t>Alternativet ”NOSI – No significant impact” är inte giltigt.</w:t>
            </w:r>
          </w:p>
        </w:tc>
      </w:tr>
      <w:tr w:rsidR="000215C5">
        <w:tc>
          <w:tcPr>
            <w:tcW w:w="9853" w:type="dxa"/>
            <w:shd w:val="clear" w:color="auto" w:fill="auto"/>
          </w:tcPr>
          <w:p w:rsidR="000215C5" w:rsidRDefault="00703023">
            <w:pPr>
              <w:spacing w:after="120"/>
              <w:jc w:val="both"/>
              <w:rPr>
                <w:b/>
                <w:szCs w:val="24"/>
              </w:rPr>
            </w:pPr>
            <w:r>
              <w:rPr>
                <w:b/>
              </w:rPr>
              <w:t xml:space="preserve">Mallpost: </w:t>
            </w:r>
            <w:r>
              <w:t>gwExemption45Driver</w:t>
            </w:r>
          </w:p>
          <w:p w:rsidR="000215C5" w:rsidRDefault="00703023">
            <w:pPr>
              <w:spacing w:after="120"/>
              <w:jc w:val="both"/>
              <w:rPr>
                <w:szCs w:val="24"/>
              </w:rPr>
            </w:pPr>
            <w:r>
              <w:rPr>
                <w:b/>
              </w:rPr>
              <w:t xml:space="preserve">Fälttyp/alternativ: </w:t>
            </w:r>
            <w:r>
              <w:t>Driver_Enum (se bilaga 1c)</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Vägledning om hur man fyller i mallposten</w:t>
            </w:r>
            <w:r>
              <w:t xml:space="preserve">: Krävs. Välj de drivkrafter från uppräkningslistan som ger upphov till tillämpning av undantag enligt artikel 4.5. Fler än en drivkraft kan väljas. Ange ”Exemption not applied” om artikel 4.5-undantag inte har tillämpats.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gwDisproportionateCost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oproportionerligt höga kostnader har använts som skäl till att tillämpa undantag enligt artikel 4.4 eller 4.5 för grundvattenförekomster. </w:t>
            </w:r>
          </w:p>
        </w:tc>
      </w:tr>
      <w:tr w:rsidR="000215C5">
        <w:tc>
          <w:tcPr>
            <w:tcW w:w="9853" w:type="dxa"/>
            <w:shd w:val="clear" w:color="auto" w:fill="auto"/>
          </w:tcPr>
          <w:p w:rsidR="000215C5" w:rsidRDefault="00703023">
            <w:pPr>
              <w:spacing w:after="120"/>
              <w:jc w:val="both"/>
              <w:rPr>
                <w:b/>
                <w:szCs w:val="24"/>
              </w:rPr>
            </w:pPr>
            <w:r>
              <w:rPr>
                <w:b/>
              </w:rPr>
              <w:t xml:space="preserve">Mallpost: </w:t>
            </w:r>
            <w:r>
              <w:t>gwDisproportionateCostScale</w:t>
            </w:r>
          </w:p>
          <w:p w:rsidR="000215C5" w:rsidRDefault="00703023">
            <w:pPr>
              <w:spacing w:after="120"/>
              <w:jc w:val="both"/>
              <w:rPr>
                <w:szCs w:val="24"/>
              </w:rPr>
            </w:pPr>
            <w:r>
              <w:rPr>
                <w:b/>
              </w:rPr>
              <w:t xml:space="preserve">Fälttyp/alternativ: </w:t>
            </w:r>
            <w:r>
              <w:t>GeographicalScale_Enum (se bilaga 8l)</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Villkorlig. Välj den skala från uppräkningslistan vid vilken kostnadsberäkningen utfördes för att bedöma oproportionerligt höga kostnader.</w:t>
            </w:r>
          </w:p>
          <w:p w:rsidR="000215C5" w:rsidRDefault="00703023">
            <w:pPr>
              <w:spacing w:after="120"/>
              <w:jc w:val="both"/>
              <w:rPr>
                <w:b/>
                <w:szCs w:val="24"/>
              </w:rPr>
            </w:pPr>
            <w:r>
              <w:rPr>
                <w:b/>
              </w:rPr>
              <w:t>Kvalitetskontroller</w:t>
            </w:r>
            <w:r>
              <w:t>: Villkorlig kontroll: rapportera om gwDisproportionateCost är ”Yes”.</w:t>
            </w:r>
          </w:p>
        </w:tc>
      </w:tr>
      <w:tr w:rsidR="000215C5">
        <w:tc>
          <w:tcPr>
            <w:tcW w:w="9853" w:type="dxa"/>
            <w:shd w:val="clear" w:color="auto" w:fill="auto"/>
          </w:tcPr>
          <w:p w:rsidR="000215C5" w:rsidRPr="00D95552" w:rsidRDefault="00703023">
            <w:pPr>
              <w:spacing w:after="120"/>
              <w:jc w:val="both"/>
              <w:rPr>
                <w:b/>
                <w:szCs w:val="24"/>
                <w:lang w:val="de-DE"/>
              </w:rPr>
            </w:pPr>
            <w:r w:rsidRPr="00D95552">
              <w:rPr>
                <w:b/>
                <w:lang w:val="de-DE"/>
              </w:rPr>
              <w:t xml:space="preserve">Mallpost: </w:t>
            </w:r>
            <w:r w:rsidRPr="00D95552">
              <w:rPr>
                <w:lang w:val="de-DE"/>
              </w:rPr>
              <w:t>gwDisproportionateCostAnalysis</w:t>
            </w:r>
          </w:p>
          <w:p w:rsidR="000215C5" w:rsidRPr="00D95552" w:rsidRDefault="00703023">
            <w:pPr>
              <w:spacing w:after="120"/>
              <w:jc w:val="both"/>
              <w:rPr>
                <w:szCs w:val="24"/>
                <w:lang w:val="de-DE"/>
              </w:rPr>
            </w:pPr>
            <w:r w:rsidRPr="00D95552">
              <w:rPr>
                <w:b/>
                <w:lang w:val="de-DE"/>
              </w:rPr>
              <w:t xml:space="preserve">Fälttyp/alternativ: </w:t>
            </w:r>
            <w:r w:rsidRPr="00D95552">
              <w:rPr>
                <w:lang w:val="de-DE"/>
              </w:rPr>
              <w:t>DisproportionateCostAnalysis_Enum:</w:t>
            </w:r>
          </w:p>
          <w:p w:rsidR="000215C5" w:rsidRPr="00D95552" w:rsidRDefault="00703023">
            <w:pPr>
              <w:spacing w:after="120"/>
              <w:jc w:val="both"/>
              <w:rPr>
                <w:szCs w:val="24"/>
                <w:lang w:val="en-GB"/>
              </w:rPr>
            </w:pPr>
            <w:r w:rsidRPr="00D95552">
              <w:rPr>
                <w:lang w:val="en-GB"/>
              </w:rPr>
              <w:t>Cost-benefit analysis</w:t>
            </w:r>
          </w:p>
          <w:p w:rsidR="000215C5" w:rsidRPr="00FD78F1" w:rsidRDefault="00703023">
            <w:pPr>
              <w:spacing w:after="120"/>
              <w:jc w:val="both"/>
              <w:rPr>
                <w:szCs w:val="24"/>
                <w:lang w:val="en-GB"/>
              </w:rPr>
            </w:pPr>
            <w:r w:rsidRPr="00FD78F1">
              <w:rPr>
                <w:lang w:val="en-GB"/>
              </w:rPr>
              <w:t>Benefits assessment</w:t>
            </w:r>
          </w:p>
          <w:p w:rsidR="000215C5" w:rsidRPr="00FD78F1" w:rsidRDefault="00703023">
            <w:pPr>
              <w:spacing w:after="120"/>
              <w:jc w:val="both"/>
              <w:rPr>
                <w:szCs w:val="24"/>
                <w:lang w:val="en-GB"/>
              </w:rPr>
            </w:pPr>
            <w:r w:rsidRPr="00FD78F1">
              <w:rPr>
                <w:lang w:val="en-GB"/>
              </w:rPr>
              <w:t>Assessment of the consequences of non-action</w:t>
            </w:r>
          </w:p>
          <w:p w:rsidR="000215C5" w:rsidRPr="00FD78F1" w:rsidRDefault="00703023">
            <w:pPr>
              <w:spacing w:after="120"/>
              <w:jc w:val="both"/>
              <w:rPr>
                <w:szCs w:val="24"/>
                <w:lang w:val="en-GB"/>
              </w:rPr>
            </w:pPr>
            <w:r w:rsidRPr="00FD78F1">
              <w:rPr>
                <w:lang w:val="en-GB"/>
              </w:rPr>
              <w:t>Distribution of costs</w:t>
            </w:r>
          </w:p>
          <w:p w:rsidR="000215C5" w:rsidRPr="00FD78F1" w:rsidRDefault="00703023">
            <w:pPr>
              <w:spacing w:after="120"/>
              <w:jc w:val="both"/>
              <w:rPr>
                <w:szCs w:val="24"/>
                <w:lang w:val="en-GB"/>
              </w:rPr>
            </w:pPr>
            <w:r w:rsidRPr="00FD78F1">
              <w:rPr>
                <w:lang w:val="en-GB"/>
              </w:rPr>
              <w:t>Social and sectoral impacts</w:t>
            </w:r>
          </w:p>
          <w:p w:rsidR="000215C5" w:rsidRPr="00FD78F1" w:rsidRDefault="00703023">
            <w:pPr>
              <w:spacing w:after="120"/>
              <w:jc w:val="both"/>
              <w:rPr>
                <w:szCs w:val="24"/>
                <w:lang w:val="en-GB"/>
              </w:rPr>
            </w:pPr>
            <w:r w:rsidRPr="00FD78F1">
              <w:rPr>
                <w:lang w:val="en-GB"/>
              </w:rPr>
              <w:t>Affordability</w:t>
            </w:r>
          </w:p>
          <w:p w:rsidR="000215C5" w:rsidRPr="00FD78F1" w:rsidRDefault="00703023">
            <w:pPr>
              <w:spacing w:after="120"/>
              <w:jc w:val="both"/>
              <w:rPr>
                <w:szCs w:val="24"/>
                <w:lang w:val="en-GB"/>
              </w:rPr>
            </w:pPr>
            <w:r w:rsidRPr="00FD78F1">
              <w:rPr>
                <w:lang w:val="en-GB"/>
              </w:rPr>
              <w:t>Cost-effectiveness analysis</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b/>
                <w:lang w:val="en-GB"/>
              </w:rPr>
              <w:t xml:space="preserve">Egenskaper: </w:t>
            </w:r>
            <w:r w:rsidRPr="00FD78F1">
              <w:rPr>
                <w:lang w:val="en-GB"/>
              </w:rPr>
              <w:t>maxOccurs = unbounded minOccurs = 1</w:t>
            </w:r>
          </w:p>
          <w:p w:rsidR="000215C5" w:rsidRDefault="00703023">
            <w:pPr>
              <w:spacing w:after="120"/>
              <w:jc w:val="both"/>
              <w:rPr>
                <w:szCs w:val="24"/>
              </w:rPr>
            </w:pPr>
            <w:r>
              <w:rPr>
                <w:b/>
              </w:rPr>
              <w:t>Vägledning om hur man fyller i mallposten</w:t>
            </w:r>
            <w:r>
              <w:t xml:space="preserve">: Villkorlig. Välj de analysverktyg från uppräkningslistan som används för att bedöma oproportionerliga kostnader. Fler än ett analysverktyg kan väljas. </w:t>
            </w:r>
          </w:p>
          <w:p w:rsidR="000215C5" w:rsidRDefault="00703023">
            <w:pPr>
              <w:spacing w:after="120"/>
              <w:jc w:val="both"/>
              <w:rPr>
                <w:b/>
                <w:szCs w:val="24"/>
              </w:rPr>
            </w:pPr>
            <w:r>
              <w:rPr>
                <w:b/>
              </w:rPr>
              <w:t>Kvalitetskontroller</w:t>
            </w:r>
            <w:r>
              <w:t>: Villkorlig kontroll: rapportera om gwDisproportionateCost är ”Yes”.</w:t>
            </w:r>
          </w:p>
        </w:tc>
      </w:tr>
      <w:tr w:rsidR="000215C5">
        <w:tc>
          <w:tcPr>
            <w:tcW w:w="9853" w:type="dxa"/>
            <w:shd w:val="clear" w:color="auto" w:fill="auto"/>
          </w:tcPr>
          <w:p w:rsidR="000215C5" w:rsidRDefault="00703023">
            <w:pPr>
              <w:spacing w:after="120"/>
              <w:jc w:val="both"/>
              <w:rPr>
                <w:b/>
                <w:szCs w:val="24"/>
              </w:rPr>
            </w:pPr>
            <w:r>
              <w:rPr>
                <w:b/>
              </w:rPr>
              <w:t xml:space="preserve">Mallpost: </w:t>
            </w:r>
            <w:r>
              <w:t>gwDisproportionateCostAlternativeFinancing</w:t>
            </w:r>
          </w:p>
          <w:p w:rsidR="000215C5" w:rsidRDefault="00703023">
            <w:pPr>
              <w:spacing w:after="120"/>
              <w:jc w:val="both"/>
              <w:rPr>
                <w:szCs w:val="24"/>
              </w:rPr>
            </w:pPr>
            <w:r>
              <w:rPr>
                <w:b/>
              </w:rPr>
              <w:t xml:space="preserve">Fälttyp/alternativ: </w:t>
            </w:r>
            <w:r>
              <w:t>DisproportionateCostAlternativeFinancing_Enum:</w:t>
            </w:r>
          </w:p>
          <w:p w:rsidR="000215C5" w:rsidRPr="00D95552" w:rsidRDefault="00703023">
            <w:pPr>
              <w:spacing w:after="120"/>
              <w:jc w:val="both"/>
              <w:rPr>
                <w:szCs w:val="24"/>
                <w:lang w:val="en-GB"/>
              </w:rPr>
            </w:pPr>
            <w:r w:rsidRPr="00D95552">
              <w:rPr>
                <w:lang w:val="en-GB"/>
              </w:rPr>
              <w:t>Distribution of costs among polluters and users</w:t>
            </w:r>
          </w:p>
          <w:p w:rsidR="000215C5" w:rsidRPr="00FD78F1" w:rsidRDefault="00703023">
            <w:pPr>
              <w:spacing w:after="120"/>
              <w:jc w:val="both"/>
              <w:rPr>
                <w:szCs w:val="24"/>
                <w:lang w:val="en-GB"/>
              </w:rPr>
            </w:pPr>
            <w:r w:rsidRPr="00FD78F1">
              <w:rPr>
                <w:lang w:val="en-GB"/>
              </w:rPr>
              <w:t>Use of public budget (national level)</w:t>
            </w:r>
          </w:p>
          <w:p w:rsidR="000215C5" w:rsidRPr="00FD78F1" w:rsidRDefault="00703023">
            <w:pPr>
              <w:spacing w:after="120"/>
              <w:jc w:val="both"/>
              <w:rPr>
                <w:szCs w:val="24"/>
                <w:lang w:val="en-GB"/>
              </w:rPr>
            </w:pPr>
            <w:r w:rsidRPr="00FD78F1">
              <w:rPr>
                <w:lang w:val="en-GB"/>
              </w:rPr>
              <w:t>Use of public budget (regional level)</w:t>
            </w:r>
          </w:p>
          <w:p w:rsidR="000215C5" w:rsidRPr="00FD78F1" w:rsidRDefault="00703023">
            <w:pPr>
              <w:spacing w:after="120"/>
              <w:jc w:val="both"/>
              <w:rPr>
                <w:szCs w:val="24"/>
                <w:lang w:val="en-GB"/>
              </w:rPr>
            </w:pPr>
            <w:r w:rsidRPr="00FD78F1">
              <w:rPr>
                <w:lang w:val="en-GB"/>
              </w:rPr>
              <w:t>Use of public budget (local level)</w:t>
            </w:r>
          </w:p>
          <w:p w:rsidR="000215C5" w:rsidRPr="00FD78F1" w:rsidRDefault="00703023">
            <w:pPr>
              <w:spacing w:after="120"/>
              <w:jc w:val="both"/>
              <w:rPr>
                <w:szCs w:val="24"/>
                <w:lang w:val="en-GB"/>
              </w:rPr>
            </w:pPr>
            <w:r w:rsidRPr="00FD78F1">
              <w:rPr>
                <w:lang w:val="en-GB"/>
              </w:rPr>
              <w:t>Private investment</w:t>
            </w:r>
          </w:p>
          <w:p w:rsidR="000215C5" w:rsidRPr="00FD78F1" w:rsidRDefault="00703023">
            <w:pPr>
              <w:spacing w:after="120"/>
              <w:jc w:val="both"/>
              <w:rPr>
                <w:szCs w:val="24"/>
                <w:lang w:val="en-GB"/>
              </w:rPr>
            </w:pPr>
            <w:r w:rsidRPr="00FD78F1">
              <w:rPr>
                <w:lang w:val="en-GB"/>
              </w:rPr>
              <w:t>EU funds</w:t>
            </w:r>
          </w:p>
          <w:p w:rsidR="000215C5" w:rsidRPr="00FD78F1" w:rsidRDefault="00703023">
            <w:pPr>
              <w:spacing w:after="120"/>
              <w:jc w:val="both"/>
              <w:rPr>
                <w:szCs w:val="24"/>
                <w:lang w:val="en-GB"/>
              </w:rPr>
            </w:pPr>
            <w:r w:rsidRPr="00FD78F1">
              <w:rPr>
                <w:lang w:val="en-GB"/>
              </w:rPr>
              <w:t>International funds</w:t>
            </w:r>
          </w:p>
          <w:p w:rsidR="000215C5" w:rsidRPr="00D95552" w:rsidRDefault="00703023">
            <w:pPr>
              <w:spacing w:after="120"/>
              <w:jc w:val="both"/>
              <w:rPr>
                <w:szCs w:val="24"/>
              </w:rPr>
            </w:pPr>
            <w:r w:rsidRPr="00D95552">
              <w:t>Other</w:t>
            </w:r>
          </w:p>
          <w:p w:rsidR="000215C5" w:rsidRPr="00D95552" w:rsidRDefault="00703023">
            <w:pPr>
              <w:spacing w:after="120"/>
              <w:jc w:val="both"/>
              <w:rPr>
                <w:szCs w:val="24"/>
              </w:rPr>
            </w:pPr>
            <w:r w:rsidRPr="00D95552">
              <w:rPr>
                <w:b/>
              </w:rPr>
              <w:t xml:space="preserve">Egenskaper: </w:t>
            </w:r>
            <w:r w:rsidRPr="00D95552">
              <w:t>maxOccurs = unbounded minOccurs = 1</w:t>
            </w:r>
          </w:p>
          <w:p w:rsidR="000215C5" w:rsidRDefault="00703023">
            <w:pPr>
              <w:spacing w:after="120"/>
              <w:jc w:val="both"/>
              <w:rPr>
                <w:szCs w:val="24"/>
              </w:rPr>
            </w:pPr>
            <w:r>
              <w:rPr>
                <w:b/>
              </w:rPr>
              <w:t>Vägledning om hur man fyller i mallposten</w:t>
            </w:r>
            <w:r>
              <w:t xml:space="preserve">: Villkorlig. Välj de alternativa finansieringsmöjligheter från uppräkningslistan som har övervägts för att kompensera för oproportionerligt höga kostnader. Fler än en finansieringsmöjlighet kan väljas. </w:t>
            </w:r>
          </w:p>
          <w:p w:rsidR="000215C5" w:rsidRDefault="00703023">
            <w:pPr>
              <w:spacing w:after="120"/>
              <w:jc w:val="both"/>
              <w:rPr>
                <w:b/>
                <w:szCs w:val="24"/>
              </w:rPr>
            </w:pPr>
            <w:r>
              <w:rPr>
                <w:b/>
              </w:rPr>
              <w:t>Kvalitetskontroller</w:t>
            </w:r>
            <w:r>
              <w:t>: Villkorlig kontroll: rapportera om gwDisproportionateCost är ”Yes”.</w:t>
            </w:r>
          </w:p>
        </w:tc>
      </w:tr>
      <w:tr w:rsidR="000215C5">
        <w:tc>
          <w:tcPr>
            <w:tcW w:w="9853" w:type="dxa"/>
            <w:shd w:val="clear" w:color="auto" w:fill="auto"/>
          </w:tcPr>
          <w:p w:rsidR="000215C5" w:rsidRDefault="00703023">
            <w:pPr>
              <w:spacing w:after="120"/>
              <w:jc w:val="both"/>
              <w:rPr>
                <w:b/>
                <w:szCs w:val="24"/>
              </w:rPr>
            </w:pPr>
            <w:r>
              <w:rPr>
                <w:b/>
              </w:rPr>
              <w:t xml:space="preserve">Mallpost: </w:t>
            </w:r>
            <w:r>
              <w:t>gwDisproportionateCostOtherEULegislation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Villkorlig. Ange om kostnaden för de grundläggande åtgärder som anges i artikel 11.3 a i vattendirektivet uttryckligen har undantagits från bedömningen av oproportionerliga kostnader.</w:t>
            </w:r>
          </w:p>
          <w:p w:rsidR="000215C5" w:rsidRDefault="00703023">
            <w:pPr>
              <w:spacing w:after="120"/>
              <w:jc w:val="both"/>
              <w:rPr>
                <w:b/>
                <w:szCs w:val="24"/>
              </w:rPr>
            </w:pPr>
            <w:r>
              <w:rPr>
                <w:b/>
              </w:rPr>
              <w:t>Kvalitetskontroller</w:t>
            </w:r>
            <w:r>
              <w:t>: Villkorlig kontroll: rapportera om gwDisproportionateCost är ”Yes”.</w:t>
            </w:r>
          </w:p>
        </w:tc>
      </w:tr>
      <w:tr w:rsidR="000215C5">
        <w:tc>
          <w:tcPr>
            <w:tcW w:w="9853" w:type="dxa"/>
            <w:shd w:val="clear" w:color="auto" w:fill="auto"/>
          </w:tcPr>
          <w:p w:rsidR="000215C5" w:rsidRDefault="00703023">
            <w:pPr>
              <w:spacing w:after="120"/>
              <w:jc w:val="both"/>
              <w:rPr>
                <w:b/>
                <w:szCs w:val="24"/>
              </w:rPr>
            </w:pPr>
            <w:r>
              <w:rPr>
                <w:b/>
              </w:rPr>
              <w:t xml:space="preserve">Mallpost: </w:t>
            </w:r>
            <w:r>
              <w:t>gwTechnicalInfeasibility</w:t>
            </w:r>
          </w:p>
          <w:p w:rsidR="000215C5" w:rsidRDefault="00703023">
            <w:pPr>
              <w:spacing w:after="120"/>
              <w:jc w:val="both"/>
              <w:rPr>
                <w:szCs w:val="24"/>
              </w:rPr>
            </w:pPr>
            <w:r>
              <w:rPr>
                <w:b/>
              </w:rPr>
              <w:t xml:space="preserve">Fälttyp/alternativ: </w:t>
            </w:r>
            <w:r>
              <w:t>TechnicalInfeasibility_Enum:</w:t>
            </w:r>
          </w:p>
          <w:p w:rsidR="000215C5" w:rsidRPr="00FD78F1" w:rsidRDefault="00703023">
            <w:pPr>
              <w:spacing w:after="120"/>
              <w:jc w:val="both"/>
              <w:rPr>
                <w:szCs w:val="24"/>
                <w:lang w:val="en-GB"/>
              </w:rPr>
            </w:pPr>
            <w:r w:rsidRPr="00FD78F1">
              <w:rPr>
                <w:lang w:val="en-GB"/>
              </w:rPr>
              <w:t>No technical solution is available</w:t>
            </w:r>
          </w:p>
          <w:p w:rsidR="000215C5" w:rsidRPr="00FD78F1" w:rsidRDefault="00703023">
            <w:pPr>
              <w:spacing w:after="120"/>
              <w:jc w:val="both"/>
              <w:rPr>
                <w:szCs w:val="24"/>
                <w:lang w:val="en-GB"/>
              </w:rPr>
            </w:pPr>
            <w:r w:rsidRPr="00FD78F1">
              <w:rPr>
                <w:lang w:val="en-GB"/>
              </w:rPr>
              <w:t>It takes longer to fix the problem than there is time available</w:t>
            </w:r>
          </w:p>
          <w:p w:rsidR="000215C5" w:rsidRPr="00FD78F1" w:rsidRDefault="00703023">
            <w:pPr>
              <w:spacing w:after="120"/>
              <w:jc w:val="both"/>
              <w:rPr>
                <w:szCs w:val="24"/>
                <w:lang w:val="en-GB"/>
              </w:rPr>
            </w:pPr>
            <w:r w:rsidRPr="00FD78F1">
              <w:rPr>
                <w:lang w:val="en-GB"/>
              </w:rPr>
              <w:t>There is no information on the cause of the problem so the solution cannot be identified</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lang w:val="en-GB"/>
              </w:rPr>
              <w:t xml:space="preserve">Technical infeasibility has not been used as a reason for exemption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hur ”teknisk omöjlighet” har tolkats i samband med tillämpningen av undantag för grundvattenförekomster.</w:t>
            </w:r>
          </w:p>
          <w:p w:rsidR="000215C5" w:rsidRDefault="00703023">
            <w:pPr>
              <w:spacing w:after="120"/>
              <w:jc w:val="both"/>
              <w:rPr>
                <w:b/>
                <w:szCs w:val="24"/>
              </w:rPr>
            </w:pPr>
            <w:r>
              <w:rPr>
                <w:b/>
              </w:rPr>
              <w:t>Kvalitetskontroller</w:t>
            </w:r>
            <w:r>
              <w:t>: Intern kontroll: alternativet ”Technical infeasibility has not been used as a reason for exemption” går inte att kombinera med andra alternativ.</w:t>
            </w:r>
          </w:p>
        </w:tc>
      </w:tr>
      <w:tr w:rsidR="000215C5">
        <w:tc>
          <w:tcPr>
            <w:tcW w:w="9853" w:type="dxa"/>
            <w:shd w:val="clear" w:color="auto" w:fill="auto"/>
          </w:tcPr>
          <w:p w:rsidR="000215C5" w:rsidRDefault="00703023">
            <w:pPr>
              <w:spacing w:after="120"/>
              <w:jc w:val="both"/>
              <w:rPr>
                <w:b/>
                <w:szCs w:val="24"/>
              </w:rPr>
            </w:pPr>
            <w:r>
              <w:rPr>
                <w:b/>
              </w:rPr>
              <w:t xml:space="preserve">Mallpost: </w:t>
            </w:r>
            <w:r>
              <w:t>gwNaturalConditions</w:t>
            </w:r>
          </w:p>
          <w:p w:rsidR="000215C5" w:rsidRDefault="00703023">
            <w:pPr>
              <w:spacing w:after="120"/>
              <w:jc w:val="both"/>
              <w:rPr>
                <w:szCs w:val="24"/>
              </w:rPr>
            </w:pPr>
            <w:r>
              <w:rPr>
                <w:b/>
              </w:rPr>
              <w:t xml:space="preserve">Fälttyp/alternativ: </w:t>
            </w:r>
            <w:r>
              <w:t>GWNaturalConditions_Enum:</w:t>
            </w:r>
          </w:p>
          <w:p w:rsidR="000215C5" w:rsidRPr="00FD78F1" w:rsidRDefault="00703023">
            <w:pPr>
              <w:spacing w:after="120"/>
              <w:jc w:val="both"/>
              <w:rPr>
                <w:szCs w:val="24"/>
                <w:lang w:val="en-GB"/>
              </w:rPr>
            </w:pPr>
            <w:r w:rsidRPr="00FD78F1">
              <w:rPr>
                <w:lang w:val="en-GB"/>
              </w:rPr>
              <w:t>Natural hydrogeological conditions</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lang w:val="en-GB"/>
              </w:rPr>
              <w:t xml:space="preserve">Natural condition has not been used as a reason for exemption for groundwater bodies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de faktorer som har övervägts i beslutet att naturliga förhållanden kräver ett undantag enligt artikel 4.4 eller 4.5.</w:t>
            </w:r>
          </w:p>
          <w:p w:rsidR="000215C5" w:rsidRDefault="00703023">
            <w:pPr>
              <w:spacing w:after="120"/>
              <w:jc w:val="both"/>
              <w:rPr>
                <w:b/>
                <w:szCs w:val="24"/>
              </w:rPr>
            </w:pPr>
            <w:r>
              <w:rPr>
                <w:b/>
              </w:rPr>
              <w:t>Kvalitetskontroller</w:t>
            </w:r>
            <w:r>
              <w:t>: Intern kontroll: alternativet ”Natural condition has not been used as a reason for exemption for groundwater bodies” går inte att kombinera med andra alternativ.</w:t>
            </w:r>
          </w:p>
        </w:tc>
      </w:tr>
      <w:tr w:rsidR="000215C5">
        <w:tc>
          <w:tcPr>
            <w:tcW w:w="9853" w:type="dxa"/>
            <w:shd w:val="clear" w:color="auto" w:fill="auto"/>
          </w:tcPr>
          <w:p w:rsidR="000215C5" w:rsidRPr="00360D19" w:rsidRDefault="00703023">
            <w:pPr>
              <w:spacing w:after="120"/>
              <w:jc w:val="both"/>
              <w:rPr>
                <w:szCs w:val="24"/>
                <w:lang w:val="en-US"/>
              </w:rPr>
            </w:pPr>
            <w:r w:rsidRPr="00360D19">
              <w:rPr>
                <w:b/>
                <w:lang w:val="en-US"/>
              </w:rPr>
              <w:t xml:space="preserve">Mallpost: </w:t>
            </w:r>
            <w:r w:rsidRPr="00360D19">
              <w:rPr>
                <w:lang w:val="en-US"/>
              </w:rPr>
              <w:t xml:space="preserve">gwExemption46 </w:t>
            </w:r>
          </w:p>
          <w:p w:rsidR="000215C5" w:rsidRPr="00360D19" w:rsidRDefault="00703023">
            <w:pPr>
              <w:spacing w:after="120"/>
              <w:jc w:val="both"/>
              <w:rPr>
                <w:szCs w:val="24"/>
                <w:lang w:val="en-US"/>
              </w:rPr>
            </w:pPr>
            <w:r w:rsidRPr="00360D19">
              <w:rPr>
                <w:b/>
                <w:lang w:val="en-US"/>
              </w:rPr>
              <w:t xml:space="preserve">Fälttyp/alternativ: </w:t>
            </w:r>
            <w:r w:rsidRPr="00360D19">
              <w:rPr>
                <w:lang w:val="en-US"/>
              </w:rPr>
              <w:t>Exemption46_Enum</w:t>
            </w:r>
          </w:p>
          <w:p w:rsidR="000215C5" w:rsidRPr="00360D19" w:rsidRDefault="00703023">
            <w:pPr>
              <w:spacing w:after="120"/>
              <w:jc w:val="both"/>
              <w:rPr>
                <w:szCs w:val="24"/>
                <w:lang w:val="en-US"/>
              </w:rPr>
            </w:pPr>
            <w:r w:rsidRPr="00360D19">
              <w:rPr>
                <w:lang w:val="en-US"/>
              </w:rPr>
              <w:t>Yes (accidents)</w:t>
            </w:r>
          </w:p>
          <w:p w:rsidR="000215C5" w:rsidRPr="00360D19" w:rsidRDefault="00703023">
            <w:pPr>
              <w:spacing w:after="120"/>
              <w:jc w:val="both"/>
              <w:rPr>
                <w:szCs w:val="24"/>
                <w:lang w:val="en-US"/>
              </w:rPr>
            </w:pPr>
            <w:r w:rsidRPr="00360D19">
              <w:rPr>
                <w:lang w:val="en-US"/>
              </w:rPr>
              <w:t>Yes (extreme floods)</w:t>
            </w:r>
          </w:p>
          <w:p w:rsidR="000215C5" w:rsidRPr="00FD78F1" w:rsidRDefault="00703023">
            <w:pPr>
              <w:spacing w:after="120"/>
              <w:jc w:val="both"/>
              <w:rPr>
                <w:szCs w:val="24"/>
                <w:lang w:val="en-GB"/>
              </w:rPr>
            </w:pPr>
            <w:r w:rsidRPr="00FD78F1">
              <w:rPr>
                <w:lang w:val="en-GB"/>
              </w:rPr>
              <w:t>Yes (prolonged droughts)</w:t>
            </w:r>
          </w:p>
          <w:p w:rsidR="000215C5" w:rsidRPr="00FD78F1" w:rsidRDefault="00703023">
            <w:pPr>
              <w:spacing w:after="120"/>
              <w:jc w:val="both"/>
              <w:rPr>
                <w:szCs w:val="24"/>
                <w:lang w:val="en-GB"/>
              </w:rPr>
            </w:pPr>
            <w:r w:rsidRPr="00FD78F1">
              <w:rPr>
                <w:lang w:val="en-GB"/>
              </w:rPr>
              <w:t>Article 4(6) has not been applied</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om artikel 4.6 har tillämpats och i så fall av vilket skäl.</w:t>
            </w:r>
          </w:p>
          <w:p w:rsidR="000215C5" w:rsidRDefault="00703023">
            <w:pPr>
              <w:spacing w:after="120"/>
              <w:jc w:val="both"/>
              <w:rPr>
                <w:b/>
                <w:szCs w:val="24"/>
              </w:rPr>
            </w:pPr>
            <w:r>
              <w:rPr>
                <w:b/>
              </w:rPr>
              <w:t>Kvalitetskontroller</w:t>
            </w:r>
            <w:r>
              <w:t>: Intern kontroll: alternativet ”Article 4(6) has not been applied” går inte att kombinera med andra alternativ.</w:t>
            </w:r>
          </w:p>
        </w:tc>
      </w:tr>
      <w:tr w:rsidR="000215C5">
        <w:tc>
          <w:tcPr>
            <w:tcW w:w="9853" w:type="dxa"/>
            <w:shd w:val="clear" w:color="auto" w:fill="auto"/>
          </w:tcPr>
          <w:p w:rsidR="000215C5" w:rsidRDefault="00703023">
            <w:pPr>
              <w:spacing w:after="120"/>
              <w:jc w:val="both"/>
              <w:rPr>
                <w:b/>
                <w:szCs w:val="24"/>
              </w:rPr>
            </w:pPr>
            <w:r>
              <w:rPr>
                <w:b/>
              </w:rPr>
              <w:t xml:space="preserve">Mallpost: </w:t>
            </w:r>
            <w:r>
              <w:t>gwExemption47</w:t>
            </w:r>
          </w:p>
          <w:p w:rsidR="000215C5" w:rsidRDefault="00703023">
            <w:pPr>
              <w:spacing w:after="120"/>
              <w:jc w:val="both"/>
              <w:rPr>
                <w:szCs w:val="24"/>
              </w:rPr>
            </w:pPr>
            <w:r>
              <w:rPr>
                <w:b/>
              </w:rPr>
              <w:t xml:space="preserve">Fälttyp/alternativ: </w:t>
            </w:r>
            <w:r>
              <w:t>Exemption47_Enum:</w:t>
            </w:r>
          </w:p>
          <w:p w:rsidR="000215C5" w:rsidRDefault="00703023">
            <w:pPr>
              <w:spacing w:after="120"/>
              <w:jc w:val="both"/>
              <w:rPr>
                <w:szCs w:val="24"/>
              </w:rPr>
            </w:pPr>
            <w:r>
              <w:t>Hydropower plants</w:t>
            </w:r>
          </w:p>
          <w:p w:rsidR="000215C5" w:rsidRDefault="00703023">
            <w:pPr>
              <w:spacing w:after="120"/>
              <w:jc w:val="both"/>
              <w:rPr>
                <w:szCs w:val="24"/>
              </w:rPr>
            </w:pPr>
            <w:r>
              <w:t>Flood protection schemes</w:t>
            </w:r>
          </w:p>
          <w:p w:rsidR="000215C5" w:rsidRPr="00FD78F1" w:rsidRDefault="00703023">
            <w:pPr>
              <w:spacing w:after="120"/>
              <w:jc w:val="both"/>
              <w:rPr>
                <w:szCs w:val="24"/>
                <w:lang w:val="en-GB"/>
              </w:rPr>
            </w:pPr>
            <w:r w:rsidRPr="00FD78F1">
              <w:rPr>
                <w:lang w:val="en-GB"/>
              </w:rPr>
              <w:t>Navigation projects</w:t>
            </w:r>
          </w:p>
          <w:p w:rsidR="000215C5" w:rsidRPr="00FD78F1" w:rsidRDefault="00703023">
            <w:pPr>
              <w:spacing w:after="120"/>
              <w:jc w:val="both"/>
              <w:rPr>
                <w:szCs w:val="24"/>
                <w:lang w:val="en-GB"/>
              </w:rPr>
            </w:pPr>
            <w:r w:rsidRPr="00FD78F1">
              <w:rPr>
                <w:lang w:val="en-GB"/>
              </w:rPr>
              <w:t>Impoundment for drinking water supply</w:t>
            </w:r>
          </w:p>
          <w:p w:rsidR="000215C5" w:rsidRPr="00FD78F1" w:rsidRDefault="00703023">
            <w:pPr>
              <w:spacing w:after="120"/>
              <w:jc w:val="both"/>
              <w:rPr>
                <w:szCs w:val="24"/>
                <w:lang w:val="en-GB"/>
              </w:rPr>
            </w:pPr>
            <w:r w:rsidRPr="00FD78F1">
              <w:rPr>
                <w:lang w:val="en-GB"/>
              </w:rPr>
              <w:t>Mining project</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lang w:val="en-GB"/>
              </w:rPr>
              <w:t>Article 4(7) has not been applied</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Välj de modifikationer från uppräkningslistan som har gett upphov till tillämpning av undantag enligt artikel 4.7. Fler än en modifikation kan väljas. </w:t>
            </w:r>
          </w:p>
          <w:p w:rsidR="000215C5" w:rsidRDefault="00703023">
            <w:pPr>
              <w:spacing w:after="120"/>
              <w:jc w:val="both"/>
              <w:rPr>
                <w:szCs w:val="24"/>
              </w:rPr>
            </w:pPr>
            <w:r>
              <w:rPr>
                <w:b/>
              </w:rPr>
              <w:t>Kvalitetskontroller</w:t>
            </w:r>
            <w:r>
              <w:t>: Intern kontroll: alternativet ”Article 4(7) has not been applied” går inte att kombinera med andra alternativ.</w:t>
            </w:r>
          </w:p>
        </w:tc>
      </w:tr>
      <w:tr w:rsidR="000215C5">
        <w:tc>
          <w:tcPr>
            <w:tcW w:w="9853" w:type="dxa"/>
            <w:shd w:val="clear" w:color="auto" w:fill="auto"/>
          </w:tcPr>
          <w:p w:rsidR="000215C5" w:rsidRDefault="00703023">
            <w:pPr>
              <w:spacing w:after="120"/>
              <w:jc w:val="both"/>
              <w:rPr>
                <w:szCs w:val="24"/>
              </w:rPr>
            </w:pPr>
            <w:r>
              <w:rPr>
                <w:b/>
              </w:rPr>
              <w:t xml:space="preserve">Mallpost: </w:t>
            </w:r>
            <w:r>
              <w:t>gwExemptionsTransboundary</w:t>
            </w:r>
          </w:p>
          <w:p w:rsidR="000215C5" w:rsidRDefault="00703023">
            <w:pPr>
              <w:spacing w:after="120"/>
              <w:jc w:val="both"/>
              <w:rPr>
                <w:szCs w:val="24"/>
              </w:rPr>
            </w:pPr>
            <w:r>
              <w:rPr>
                <w:b/>
              </w:rPr>
              <w:t>Fälttyp/alternativ:</w:t>
            </w:r>
            <w:r>
              <w:t xml:space="preserve"> YesNoNotApplicable 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Ange om tillämpningen av undantag har samordnats i ett gränsöverskridande sammanhang. Ange ”Not applicable” om det inte finns några gränsöverskridande grundvattenförekomster. </w:t>
            </w:r>
          </w:p>
        </w:tc>
      </w:tr>
      <w:tr w:rsidR="000215C5">
        <w:tc>
          <w:tcPr>
            <w:tcW w:w="9853" w:type="dxa"/>
            <w:shd w:val="clear" w:color="auto" w:fill="auto"/>
          </w:tcPr>
          <w:p w:rsidR="000215C5" w:rsidRDefault="00703023">
            <w:pPr>
              <w:spacing w:after="120"/>
              <w:jc w:val="both"/>
              <w:rPr>
                <w:b/>
                <w:szCs w:val="24"/>
              </w:rPr>
            </w:pPr>
            <w:r>
              <w:rPr>
                <w:b/>
              </w:rPr>
              <w:t>Mallpost</w:t>
            </w:r>
            <w:r>
              <w:t>: gwExemptionsReference</w:t>
            </w:r>
          </w:p>
          <w:p w:rsidR="000215C5" w:rsidRDefault="00703023">
            <w:pPr>
              <w:spacing w:after="120"/>
              <w:jc w:val="both"/>
              <w:rPr>
                <w:szCs w:val="24"/>
              </w:rPr>
            </w:pPr>
            <w:r>
              <w:rPr>
                <w:b/>
              </w:rPr>
              <w:t xml:space="preserve">Fälttyp/alternativ: </w:t>
            </w:r>
            <w:r>
              <w:t xml:space="preserve">ReferenceType (se bilaga 9)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hänvisningar eller hyperlänkar till relevanta dokument och avsnitt som innehåller specifik information om tillämpning av undantag för grundvattenförekomster. Vägledning om vilka uppgifter som bör ingå i detta dokument ges i avsnitt</w:t>
            </w:r>
            <w:r w:rsidR="00C435C4">
              <w:t> </w:t>
            </w:r>
            <w:r>
              <w:fldChar w:fldCharType="begin"/>
            </w:r>
            <w:r>
              <w:instrText xml:space="preserve"> REF _Ref402959231 \r \h  \* MERGEFORMAT </w:instrText>
            </w:r>
            <w:r>
              <w:fldChar w:fldCharType="separate"/>
            </w:r>
            <w:r>
              <w:rPr>
                <w:szCs w:val="24"/>
              </w:rPr>
              <w:t>8.5.3.3</w:t>
            </w:r>
            <w:r>
              <w:fldChar w:fldCharType="end"/>
            </w:r>
            <w:r>
              <w:t>.</w:t>
            </w:r>
          </w:p>
        </w:tc>
      </w:tr>
      <w:tr w:rsidR="000215C5">
        <w:tc>
          <w:tcPr>
            <w:tcW w:w="9853" w:type="dxa"/>
            <w:shd w:val="clear" w:color="auto" w:fill="auto"/>
          </w:tcPr>
          <w:p w:rsidR="000215C5" w:rsidRDefault="00703023">
            <w:pPr>
              <w:spacing w:after="120"/>
              <w:jc w:val="both"/>
              <w:rPr>
                <w:b/>
                <w:szCs w:val="24"/>
              </w:rPr>
            </w:pPr>
            <w:r>
              <w:rPr>
                <w:b/>
              </w:rPr>
              <w:t>Mallpost</w:t>
            </w:r>
            <w:r>
              <w:t>: driversGWExemptionsReference</w:t>
            </w:r>
          </w:p>
          <w:p w:rsidR="000215C5" w:rsidRDefault="00703023">
            <w:pPr>
              <w:spacing w:after="120"/>
              <w:jc w:val="both"/>
            </w:pPr>
            <w:r>
              <w:rPr>
                <w:b/>
              </w:rPr>
              <w:t xml:space="preserve">Fälttyp/alternativ: </w:t>
            </w:r>
            <w:r>
              <w:t xml:space="preserve">ReferenceType (se bilaga 9)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hänvisningar eller hyperlänkar till relevanta dokument och avsnitt som innehåller information om drivkrafter som ger upphov till undantag för grundvattenförekomster. Vägledning om vilka uppgifter som bör ingå i detta dokument ges i avsnitt</w:t>
            </w:r>
            <w:r w:rsidR="00C435C4">
              <w:t> </w:t>
            </w:r>
            <w:r>
              <w:fldChar w:fldCharType="begin"/>
            </w:r>
            <w:r>
              <w:instrText xml:space="preserve"> REF _Ref402959231 \r \h  \* MERGEFORMAT </w:instrText>
            </w:r>
            <w:r>
              <w:fldChar w:fldCharType="separate"/>
            </w:r>
            <w:r>
              <w:rPr>
                <w:szCs w:val="24"/>
              </w:rPr>
              <w:t>8.5.3.3</w:t>
            </w:r>
            <w:r>
              <w:fldChar w:fldCharType="end"/>
            </w:r>
            <w:r>
              <w:t>.</w:t>
            </w:r>
          </w:p>
        </w:tc>
      </w:tr>
    </w:tbl>
    <w:p w:rsidR="000215C5" w:rsidRDefault="000215C5">
      <w:pPr>
        <w:jc w:val="both"/>
      </w:pPr>
    </w:p>
    <w:p w:rsidR="000215C5" w:rsidRDefault="00703023">
      <w:pPr>
        <w:pStyle w:val="Rubrik4"/>
      </w:pPr>
      <w:bookmarkStart w:id="611" w:name="_Ref402959231"/>
      <w:r>
        <w:t>Vägledning om innehållet i förvaltningsplanerna för avrinningsdistrikt/bakgrundsdokument</w:t>
      </w:r>
      <w:bookmarkEnd w:id="611"/>
    </w:p>
    <w:p w:rsidR="000215C5" w:rsidRDefault="00703023">
      <w:pPr>
        <w:jc w:val="both"/>
      </w:pPr>
      <w:r>
        <w:t>Nedan ges vägledning om de uppgifter som kommissionen förväntar sig att medlemsstaterna lämnar i de relevanta kapitlen om undantag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numPr>
          <w:ilvl w:val="0"/>
          <w:numId w:val="39"/>
        </w:numPr>
        <w:jc w:val="both"/>
      </w:pPr>
      <w:r>
        <w:t>Analysverktyg som användes i bedömningen av oproportionerliga kostnader.</w:t>
      </w:r>
    </w:p>
    <w:p w:rsidR="000215C5" w:rsidRDefault="00703023">
      <w:pPr>
        <w:numPr>
          <w:ilvl w:val="0"/>
          <w:numId w:val="39"/>
        </w:numPr>
        <w:jc w:val="both"/>
      </w:pPr>
      <w:r>
        <w:t>Alternativa finansieringsmöjligheter som övervägts för att kompensera för oproportionerligt höga kostnader samt skäl till att dessa möjligheter inte utnyttjats.</w:t>
      </w:r>
    </w:p>
    <w:p w:rsidR="000215C5" w:rsidRDefault="00703023">
      <w:pPr>
        <w:numPr>
          <w:ilvl w:val="0"/>
          <w:numId w:val="39"/>
        </w:numPr>
        <w:jc w:val="both"/>
      </w:pPr>
      <w:r>
        <w:t>Om kostnaden för de grundläggande åtgärder har undantagits från bedömningen av oproportionerliga kostnader.</w:t>
      </w:r>
    </w:p>
    <w:p w:rsidR="000215C5" w:rsidRDefault="00703023">
      <w:pPr>
        <w:numPr>
          <w:ilvl w:val="0"/>
          <w:numId w:val="39"/>
        </w:numPr>
        <w:jc w:val="both"/>
      </w:pPr>
      <w:r>
        <w:t>Definition av teknisk omöjlighet.</w:t>
      </w:r>
    </w:p>
    <w:p w:rsidR="000215C5" w:rsidRDefault="00703023">
      <w:pPr>
        <w:numPr>
          <w:ilvl w:val="0"/>
          <w:numId w:val="39"/>
        </w:numPr>
        <w:jc w:val="both"/>
      </w:pPr>
      <w:r>
        <w:t>De faktorer som har övervägts i beslutet att naturliga förhållanden kräver ett undantag enligt artikel 4.4 och 4.5.</w:t>
      </w:r>
    </w:p>
    <w:p w:rsidR="000215C5" w:rsidRDefault="00703023">
      <w:pPr>
        <w:numPr>
          <w:ilvl w:val="0"/>
          <w:numId w:val="39"/>
        </w:numPr>
        <w:jc w:val="both"/>
      </w:pPr>
      <w:r>
        <w:t>Om artikel 4.6 tillämpas:</w:t>
      </w:r>
    </w:p>
    <w:p w:rsidR="000215C5" w:rsidRDefault="00703023">
      <w:pPr>
        <w:numPr>
          <w:ilvl w:val="1"/>
          <w:numId w:val="39"/>
        </w:numPr>
        <w:jc w:val="both"/>
      </w:pPr>
      <w:r>
        <w:t xml:space="preserve">Beskrivning av de förhållanden under vilka omständigheter som inte rimligen kunde ha förutsätts får anges, inklusive använda indikatorer. </w:t>
      </w:r>
    </w:p>
    <w:p w:rsidR="000215C5" w:rsidRDefault="00703023">
      <w:pPr>
        <w:numPr>
          <w:ilvl w:val="1"/>
          <w:numId w:val="39"/>
        </w:numPr>
        <w:jc w:val="both"/>
      </w:pPr>
      <w:r>
        <w:t>Beskrivning av de fall där artikel 4.6 har tillämpats, skäl, vid vilken indikatornivå omständigheterna blir exceptionella, påverkade grundvattenförekomster och effekternas omfattning, åtgärder som vidtagits för att återställa de påverkade grundvattenförekomsterna samt effekterna av sådana åtgärder.</w:t>
      </w:r>
    </w:p>
    <w:p w:rsidR="000215C5" w:rsidRDefault="00703023">
      <w:pPr>
        <w:numPr>
          <w:ilvl w:val="0"/>
          <w:numId w:val="39"/>
        </w:numPr>
        <w:jc w:val="both"/>
      </w:pPr>
      <w:r>
        <w:t>För varje fall där artikel 4.7 tillämpas, motivera och förklara skälen till projektet och uppfyllandet av villkoren enligt artikel 4.7, inklusive följande:</w:t>
      </w:r>
    </w:p>
    <w:p w:rsidR="000215C5" w:rsidRDefault="00703023">
      <w:pPr>
        <w:numPr>
          <w:ilvl w:val="1"/>
          <w:numId w:val="39"/>
        </w:numPr>
        <w:jc w:val="both"/>
      </w:pPr>
      <w:r>
        <w:t>Uppgifter om hur projektet har bedömts när det gäller försämrad status eller underlåtande att uppnå vattendirektivets miljömål, baserat på kvalitetsfaktorer.</w:t>
      </w:r>
    </w:p>
    <w:p w:rsidR="000215C5" w:rsidRDefault="00703023">
      <w:pPr>
        <w:numPr>
          <w:ilvl w:val="1"/>
          <w:numId w:val="39"/>
        </w:numPr>
        <w:jc w:val="both"/>
      </w:pPr>
      <w:r>
        <w:t>Hur bedömningen av kumulativa effekter har beaktats i samband med tillämpningen av artikel 4.7.</w:t>
      </w:r>
    </w:p>
    <w:p w:rsidR="000215C5" w:rsidRDefault="00703023">
      <w:pPr>
        <w:numPr>
          <w:ilvl w:val="1"/>
          <w:numId w:val="39"/>
        </w:numPr>
        <w:jc w:val="both"/>
      </w:pPr>
      <w:r>
        <w:t>De lindrande åtgärder som har införts i samband med tillämpningen av artikel 4.7.</w:t>
      </w:r>
    </w:p>
    <w:p w:rsidR="000215C5" w:rsidRDefault="00703023">
      <w:pPr>
        <w:numPr>
          <w:ilvl w:val="1"/>
          <w:numId w:val="39"/>
        </w:numPr>
        <w:jc w:val="both"/>
      </w:pPr>
      <w:r>
        <w:t>Metoden för att bedöma trängande behov som är av allmänt intresse i samband med tillämpningen av artikel 4.7.</w:t>
      </w:r>
    </w:p>
    <w:p w:rsidR="000215C5" w:rsidRDefault="00703023">
      <w:pPr>
        <w:numPr>
          <w:ilvl w:val="1"/>
          <w:numId w:val="39"/>
        </w:numPr>
        <w:jc w:val="both"/>
      </w:pPr>
      <w:r>
        <w:t>Metoden för att bedöma fördelarna med tillämpningen av artikel 4.7.</w:t>
      </w:r>
    </w:p>
    <w:p w:rsidR="000215C5" w:rsidRDefault="00703023">
      <w:pPr>
        <w:numPr>
          <w:ilvl w:val="1"/>
          <w:numId w:val="39"/>
        </w:numPr>
        <w:jc w:val="both"/>
      </w:pPr>
      <w:r>
        <w:t>Uppgifter om de bättre alternativ för miljön har beaktats i samband med tillämpningen av artikel 4.7.</w:t>
      </w:r>
    </w:p>
    <w:p w:rsidR="000215C5" w:rsidRDefault="00703023">
      <w:pPr>
        <w:numPr>
          <w:ilvl w:val="0"/>
          <w:numId w:val="39"/>
        </w:numPr>
        <w:jc w:val="both"/>
      </w:pPr>
      <w:r>
        <w:t>Den metod som används för att fastställa undantag enligt artikel 6.3 i grundvattendirektivet.</w:t>
      </w:r>
    </w:p>
    <w:p w:rsidR="000215C5" w:rsidRDefault="00703023">
      <w:pPr>
        <w:numPr>
          <w:ilvl w:val="0"/>
          <w:numId w:val="39"/>
        </w:numPr>
        <w:jc w:val="both"/>
      </w:pPr>
      <w:r>
        <w:t>Uppgifter om gränsöverskridande samordning i samband med tillämpningen av undantag.</w:t>
      </w:r>
    </w:p>
    <w:p w:rsidR="000215C5" w:rsidRDefault="00703023">
      <w:pPr>
        <w:jc w:val="both"/>
        <w:rPr>
          <w:b/>
        </w:rPr>
      </w:pPr>
      <w:r>
        <w:rPr>
          <w:b/>
        </w:rPr>
        <w:t>Drivkrafter och effekter som ger upphov till undantag</w:t>
      </w:r>
    </w:p>
    <w:p w:rsidR="000215C5" w:rsidRDefault="00703023">
      <w:pPr>
        <w:numPr>
          <w:ilvl w:val="0"/>
          <w:numId w:val="22"/>
        </w:numPr>
        <w:jc w:val="both"/>
      </w:pPr>
      <w:r>
        <w:t>Ta med följande tabell om drivkrafter och effekter som ger upphov till undantag från god status i förvaltningsplanen eller bakgrundsdokumenten. Fälten ska innehålla antalet grundvattenförekomster för vilka ett undantag av någon typ har tillämpats som är relevanta för varje drivkraft och effekt. Fler än en kombination av drivkrafter och effekter kan leda till att grundvattenförekomster omfattas av undantag. När de rapporterade värdena summeras förväntas de därför inte motsvara det totala antalet undantagna grundvattenförekomster.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851"/>
        <w:gridCol w:w="708"/>
        <w:gridCol w:w="567"/>
        <w:gridCol w:w="709"/>
        <w:gridCol w:w="820"/>
        <w:gridCol w:w="680"/>
        <w:gridCol w:w="680"/>
        <w:gridCol w:w="797"/>
        <w:gridCol w:w="709"/>
        <w:gridCol w:w="850"/>
        <w:gridCol w:w="709"/>
      </w:tblGrid>
      <w:tr w:rsidR="000215C5" w:rsidTr="00BD5C38">
        <w:trPr>
          <w:tblHeader/>
        </w:trPr>
        <w:tc>
          <w:tcPr>
            <w:tcW w:w="1384" w:type="dxa"/>
            <w:shd w:val="clear" w:color="auto" w:fill="auto"/>
          </w:tcPr>
          <w:p w:rsidR="000215C5" w:rsidRDefault="00703023">
            <w:pPr>
              <w:spacing w:after="0"/>
              <w:jc w:val="both"/>
              <w:rPr>
                <w:b/>
                <w:sz w:val="16"/>
              </w:rPr>
            </w:pPr>
            <w:r>
              <w:rPr>
                <w:b/>
                <w:sz w:val="16"/>
              </w:rPr>
              <w:t>Drivkraft/effekt</w:t>
            </w:r>
          </w:p>
        </w:tc>
        <w:tc>
          <w:tcPr>
            <w:tcW w:w="567" w:type="dxa"/>
          </w:tcPr>
          <w:p w:rsidR="000215C5" w:rsidRDefault="00703023">
            <w:pPr>
              <w:spacing w:after="0"/>
              <w:jc w:val="both"/>
              <w:rPr>
                <w:sz w:val="12"/>
              </w:rPr>
            </w:pPr>
            <w:r>
              <w:rPr>
                <w:sz w:val="12"/>
              </w:rPr>
              <w:t>Jord</w:t>
            </w:r>
            <w:r w:rsidR="00BD5C38">
              <w:rPr>
                <w:sz w:val="12"/>
              </w:rPr>
              <w:t>-</w:t>
            </w:r>
            <w:r>
              <w:rPr>
                <w:sz w:val="12"/>
              </w:rPr>
              <w:t>bruk</w:t>
            </w:r>
          </w:p>
        </w:tc>
        <w:tc>
          <w:tcPr>
            <w:tcW w:w="851" w:type="dxa"/>
          </w:tcPr>
          <w:p w:rsidR="000215C5" w:rsidRDefault="00703023">
            <w:pPr>
              <w:spacing w:after="0"/>
              <w:jc w:val="both"/>
              <w:rPr>
                <w:sz w:val="12"/>
              </w:rPr>
            </w:pPr>
            <w:r>
              <w:rPr>
                <w:sz w:val="12"/>
              </w:rPr>
              <w:t>Klimat</w:t>
            </w:r>
            <w:r w:rsidR="00BD5C38">
              <w:rPr>
                <w:sz w:val="12"/>
              </w:rPr>
              <w:t>-</w:t>
            </w:r>
            <w:r>
              <w:rPr>
                <w:sz w:val="12"/>
              </w:rPr>
              <w:t>förändring</w:t>
            </w:r>
          </w:p>
        </w:tc>
        <w:tc>
          <w:tcPr>
            <w:tcW w:w="708" w:type="dxa"/>
          </w:tcPr>
          <w:p w:rsidR="000215C5" w:rsidRDefault="00703023">
            <w:pPr>
              <w:spacing w:after="0"/>
              <w:jc w:val="both"/>
              <w:rPr>
                <w:sz w:val="12"/>
              </w:rPr>
            </w:pPr>
            <w:r>
              <w:rPr>
                <w:sz w:val="12"/>
              </w:rPr>
              <w:t>Energi/</w:t>
            </w:r>
            <w:r w:rsidR="00BD5C38">
              <w:rPr>
                <w:sz w:val="12"/>
              </w:rPr>
              <w:t xml:space="preserve"> </w:t>
            </w:r>
            <w:r>
              <w:rPr>
                <w:sz w:val="12"/>
              </w:rPr>
              <w:t>vatten</w:t>
            </w:r>
            <w:r w:rsidR="00BD5C38">
              <w:rPr>
                <w:sz w:val="12"/>
              </w:rPr>
              <w:t>-</w:t>
            </w:r>
            <w:r>
              <w:rPr>
                <w:sz w:val="12"/>
              </w:rPr>
              <w:t>kraft</w:t>
            </w:r>
          </w:p>
        </w:tc>
        <w:tc>
          <w:tcPr>
            <w:tcW w:w="567" w:type="dxa"/>
          </w:tcPr>
          <w:p w:rsidR="000215C5" w:rsidRDefault="00703023">
            <w:pPr>
              <w:spacing w:after="0"/>
              <w:jc w:val="both"/>
              <w:rPr>
                <w:sz w:val="12"/>
              </w:rPr>
            </w:pPr>
            <w:r>
              <w:rPr>
                <w:sz w:val="12"/>
              </w:rPr>
              <w:t>Energi/annat än vatten</w:t>
            </w:r>
            <w:r w:rsidR="00BD5C38">
              <w:rPr>
                <w:sz w:val="12"/>
              </w:rPr>
              <w:t>-</w:t>
            </w:r>
            <w:r>
              <w:rPr>
                <w:sz w:val="12"/>
              </w:rPr>
              <w:t>kraft</w:t>
            </w:r>
          </w:p>
        </w:tc>
        <w:tc>
          <w:tcPr>
            <w:tcW w:w="709" w:type="dxa"/>
          </w:tcPr>
          <w:p w:rsidR="000215C5" w:rsidRDefault="00703023">
            <w:pPr>
              <w:spacing w:after="0"/>
              <w:jc w:val="both"/>
              <w:rPr>
                <w:sz w:val="12"/>
              </w:rPr>
            </w:pPr>
            <w:r>
              <w:rPr>
                <w:sz w:val="12"/>
              </w:rPr>
              <w:t>Fiske och vatten</w:t>
            </w:r>
            <w:r w:rsidR="00BD5C38">
              <w:rPr>
                <w:sz w:val="12"/>
              </w:rPr>
              <w:t>-</w:t>
            </w:r>
            <w:r>
              <w:rPr>
                <w:sz w:val="12"/>
              </w:rPr>
              <w:t>bruk</w:t>
            </w:r>
          </w:p>
        </w:tc>
        <w:tc>
          <w:tcPr>
            <w:tcW w:w="820" w:type="dxa"/>
          </w:tcPr>
          <w:p w:rsidR="000215C5" w:rsidRDefault="00703023">
            <w:pPr>
              <w:spacing w:after="0"/>
              <w:jc w:val="both"/>
              <w:rPr>
                <w:sz w:val="12"/>
              </w:rPr>
            </w:pPr>
            <w:r>
              <w:rPr>
                <w:sz w:val="12"/>
              </w:rPr>
              <w:t>Skydd mot över</w:t>
            </w:r>
            <w:r w:rsidR="00BD5C38">
              <w:rPr>
                <w:sz w:val="12"/>
              </w:rPr>
              <w:t>-</w:t>
            </w:r>
            <w:r>
              <w:rPr>
                <w:sz w:val="12"/>
              </w:rPr>
              <w:t>svämningar</w:t>
            </w:r>
          </w:p>
        </w:tc>
        <w:tc>
          <w:tcPr>
            <w:tcW w:w="680" w:type="dxa"/>
          </w:tcPr>
          <w:p w:rsidR="000215C5" w:rsidRDefault="00703023">
            <w:pPr>
              <w:spacing w:after="0"/>
              <w:jc w:val="both"/>
              <w:rPr>
                <w:sz w:val="12"/>
              </w:rPr>
            </w:pPr>
            <w:r>
              <w:rPr>
                <w:sz w:val="12"/>
              </w:rPr>
              <w:t>Skogs</w:t>
            </w:r>
            <w:r w:rsidR="00BD5C38">
              <w:rPr>
                <w:sz w:val="12"/>
              </w:rPr>
              <w:t>-</w:t>
            </w:r>
            <w:r>
              <w:rPr>
                <w:sz w:val="12"/>
              </w:rPr>
              <w:t>bruk</w:t>
            </w:r>
          </w:p>
        </w:tc>
        <w:tc>
          <w:tcPr>
            <w:tcW w:w="680" w:type="dxa"/>
          </w:tcPr>
          <w:p w:rsidR="000215C5" w:rsidRDefault="00703023">
            <w:pPr>
              <w:spacing w:after="0"/>
              <w:jc w:val="both"/>
              <w:rPr>
                <w:sz w:val="12"/>
              </w:rPr>
            </w:pPr>
            <w:r>
              <w:rPr>
                <w:sz w:val="12"/>
              </w:rPr>
              <w:t>Industri</w:t>
            </w:r>
          </w:p>
        </w:tc>
        <w:tc>
          <w:tcPr>
            <w:tcW w:w="797" w:type="dxa"/>
          </w:tcPr>
          <w:p w:rsidR="000215C5" w:rsidRDefault="00703023">
            <w:pPr>
              <w:spacing w:after="0"/>
              <w:jc w:val="both"/>
              <w:rPr>
                <w:sz w:val="12"/>
              </w:rPr>
            </w:pPr>
            <w:r>
              <w:rPr>
                <w:sz w:val="12"/>
              </w:rPr>
              <w:t>Turism och rekreation</w:t>
            </w:r>
          </w:p>
        </w:tc>
        <w:tc>
          <w:tcPr>
            <w:tcW w:w="709" w:type="dxa"/>
          </w:tcPr>
          <w:p w:rsidR="000215C5" w:rsidRDefault="00703023">
            <w:pPr>
              <w:spacing w:after="0"/>
              <w:jc w:val="both"/>
              <w:rPr>
                <w:sz w:val="12"/>
              </w:rPr>
            </w:pPr>
            <w:r>
              <w:rPr>
                <w:sz w:val="12"/>
              </w:rPr>
              <w:t>Transport</w:t>
            </w:r>
          </w:p>
        </w:tc>
        <w:tc>
          <w:tcPr>
            <w:tcW w:w="850" w:type="dxa"/>
          </w:tcPr>
          <w:p w:rsidR="000215C5" w:rsidRDefault="00703023">
            <w:pPr>
              <w:spacing w:after="0"/>
              <w:jc w:val="both"/>
              <w:rPr>
                <w:sz w:val="12"/>
                <w:szCs w:val="12"/>
              </w:rPr>
            </w:pPr>
            <w:r>
              <w:rPr>
                <w:sz w:val="12"/>
              </w:rPr>
              <w:t>Stads</w:t>
            </w:r>
            <w:r w:rsidR="00BD5C38">
              <w:rPr>
                <w:sz w:val="12"/>
              </w:rPr>
              <w:t>-</w:t>
            </w:r>
            <w:r>
              <w:rPr>
                <w:sz w:val="12"/>
              </w:rPr>
              <w:t>utveckling</w:t>
            </w:r>
          </w:p>
        </w:tc>
        <w:tc>
          <w:tcPr>
            <w:tcW w:w="709" w:type="dxa"/>
          </w:tcPr>
          <w:p w:rsidR="000215C5" w:rsidRDefault="00703023">
            <w:pPr>
              <w:spacing w:after="0"/>
              <w:jc w:val="both"/>
              <w:rPr>
                <w:sz w:val="12"/>
                <w:szCs w:val="12"/>
              </w:rPr>
            </w:pPr>
            <w:r>
              <w:rPr>
                <w:sz w:val="12"/>
              </w:rPr>
              <w:t>Okänt/</w:t>
            </w:r>
            <w:r w:rsidR="00BD5C38">
              <w:rPr>
                <w:sz w:val="12"/>
              </w:rPr>
              <w:t xml:space="preserve"> </w:t>
            </w:r>
            <w:r>
              <w:rPr>
                <w:sz w:val="12"/>
              </w:rPr>
              <w:t>annat</w:t>
            </w:r>
          </w:p>
        </w:tc>
      </w:tr>
      <w:tr w:rsidR="000215C5" w:rsidTr="00BD5C38">
        <w:tc>
          <w:tcPr>
            <w:tcW w:w="1384" w:type="dxa"/>
            <w:shd w:val="clear" w:color="auto" w:fill="auto"/>
          </w:tcPr>
          <w:p w:rsidR="000215C5" w:rsidRDefault="00703023">
            <w:pPr>
              <w:spacing w:after="0"/>
              <w:jc w:val="both"/>
              <w:rPr>
                <w:sz w:val="16"/>
              </w:rPr>
            </w:pPr>
            <w:r>
              <w:rPr>
                <w:sz w:val="16"/>
              </w:rPr>
              <w:t>N Föroreningar</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c>
          <w:tcPr>
            <w:tcW w:w="1384" w:type="dxa"/>
            <w:shd w:val="clear" w:color="auto" w:fill="auto"/>
          </w:tcPr>
          <w:p w:rsidR="000215C5" w:rsidRDefault="00703023">
            <w:pPr>
              <w:spacing w:after="0"/>
              <w:jc w:val="both"/>
              <w:rPr>
                <w:sz w:val="16"/>
              </w:rPr>
            </w:pPr>
            <w:r>
              <w:rPr>
                <w:sz w:val="16"/>
              </w:rPr>
              <w:t>P Föroreningar</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c>
          <w:tcPr>
            <w:tcW w:w="1384" w:type="dxa"/>
            <w:shd w:val="clear" w:color="auto" w:fill="auto"/>
          </w:tcPr>
          <w:p w:rsidR="000215C5" w:rsidRDefault="00703023">
            <w:pPr>
              <w:spacing w:after="0"/>
              <w:jc w:val="both"/>
              <w:rPr>
                <w:sz w:val="16"/>
              </w:rPr>
            </w:pPr>
            <w:r>
              <w:rPr>
                <w:sz w:val="16"/>
              </w:rPr>
              <w:t>Organiska föroreningar</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c>
          <w:tcPr>
            <w:tcW w:w="1384" w:type="dxa"/>
            <w:shd w:val="clear" w:color="auto" w:fill="auto"/>
          </w:tcPr>
          <w:p w:rsidR="000215C5" w:rsidRDefault="00703023">
            <w:pPr>
              <w:spacing w:after="0"/>
              <w:jc w:val="both"/>
              <w:rPr>
                <w:sz w:val="16"/>
              </w:rPr>
            </w:pPr>
            <w:r>
              <w:rPr>
                <w:sz w:val="16"/>
              </w:rPr>
              <w:t xml:space="preserve">Kemiska föroreningar </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c>
          <w:tcPr>
            <w:tcW w:w="1384" w:type="dxa"/>
            <w:shd w:val="clear" w:color="auto" w:fill="auto"/>
          </w:tcPr>
          <w:p w:rsidR="000215C5" w:rsidRDefault="00703023">
            <w:pPr>
              <w:spacing w:after="0"/>
              <w:jc w:val="both"/>
              <w:rPr>
                <w:sz w:val="16"/>
              </w:rPr>
            </w:pPr>
            <w:r>
              <w:rPr>
                <w:sz w:val="16"/>
              </w:rPr>
              <w:t>Saltföroreningar</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c>
          <w:tcPr>
            <w:tcW w:w="1384" w:type="dxa"/>
            <w:shd w:val="clear" w:color="auto" w:fill="auto"/>
          </w:tcPr>
          <w:p w:rsidR="000215C5" w:rsidRDefault="00703023">
            <w:pPr>
              <w:spacing w:after="0"/>
              <w:jc w:val="both"/>
              <w:rPr>
                <w:sz w:val="16"/>
              </w:rPr>
            </w:pPr>
            <w:r>
              <w:rPr>
                <w:sz w:val="16"/>
              </w:rPr>
              <w:t>Försurning</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c>
          <w:tcPr>
            <w:tcW w:w="1384" w:type="dxa"/>
            <w:shd w:val="clear" w:color="auto" w:fill="auto"/>
          </w:tcPr>
          <w:p w:rsidR="000215C5" w:rsidRDefault="00703023">
            <w:pPr>
              <w:spacing w:after="0"/>
              <w:jc w:val="both"/>
              <w:rPr>
                <w:sz w:val="16"/>
              </w:rPr>
            </w:pPr>
            <w:r>
              <w:rPr>
                <w:sz w:val="16"/>
              </w:rPr>
              <w:t>Förhöjda temperaturer</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c>
          <w:tcPr>
            <w:tcW w:w="1384" w:type="dxa"/>
            <w:shd w:val="clear" w:color="auto" w:fill="auto"/>
          </w:tcPr>
          <w:p w:rsidR="000215C5" w:rsidRDefault="00703023">
            <w:pPr>
              <w:spacing w:after="0"/>
              <w:jc w:val="both"/>
              <w:rPr>
                <w:sz w:val="16"/>
              </w:rPr>
            </w:pPr>
            <w:r>
              <w:rPr>
                <w:sz w:val="16"/>
              </w:rPr>
              <w:t>Ändrade livsmiljöer till följd av hydrologiska förändringar</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c>
          <w:tcPr>
            <w:tcW w:w="1384" w:type="dxa"/>
            <w:shd w:val="clear" w:color="auto" w:fill="auto"/>
          </w:tcPr>
          <w:p w:rsidR="000215C5" w:rsidRDefault="00703023">
            <w:pPr>
              <w:spacing w:after="0"/>
              <w:jc w:val="both"/>
              <w:rPr>
                <w:sz w:val="16"/>
              </w:rPr>
            </w:pPr>
            <w:r>
              <w:rPr>
                <w:sz w:val="16"/>
              </w:rPr>
              <w:t>Ändrade livsmiljöer till följd av morfologiska förändringar</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rPr>
          <w:trHeight w:val="205"/>
        </w:trPr>
        <w:tc>
          <w:tcPr>
            <w:tcW w:w="1384" w:type="dxa"/>
            <w:shd w:val="clear" w:color="auto" w:fill="auto"/>
          </w:tcPr>
          <w:p w:rsidR="000215C5" w:rsidRDefault="00703023">
            <w:pPr>
              <w:spacing w:after="0"/>
              <w:jc w:val="both"/>
              <w:rPr>
                <w:sz w:val="16"/>
              </w:rPr>
            </w:pPr>
            <w:r>
              <w:rPr>
                <w:sz w:val="16"/>
              </w:rPr>
              <w:t>Mikrobiologiska föroreningar</w:t>
            </w:r>
          </w:p>
        </w:tc>
        <w:tc>
          <w:tcPr>
            <w:tcW w:w="567" w:type="dxa"/>
          </w:tcPr>
          <w:p w:rsidR="000215C5" w:rsidRDefault="000215C5">
            <w:pPr>
              <w:spacing w:after="0"/>
              <w:jc w:val="both"/>
              <w:rPr>
                <w:sz w:val="16"/>
              </w:rPr>
            </w:pPr>
          </w:p>
        </w:tc>
        <w:tc>
          <w:tcPr>
            <w:tcW w:w="851" w:type="dxa"/>
          </w:tcPr>
          <w:p w:rsidR="000215C5" w:rsidRDefault="000215C5">
            <w:pPr>
              <w:spacing w:after="0"/>
              <w:jc w:val="both"/>
              <w:rPr>
                <w:sz w:val="16"/>
              </w:rPr>
            </w:pPr>
          </w:p>
        </w:tc>
        <w:tc>
          <w:tcPr>
            <w:tcW w:w="708" w:type="dxa"/>
          </w:tcPr>
          <w:p w:rsidR="000215C5" w:rsidRDefault="000215C5">
            <w:pPr>
              <w:spacing w:after="0"/>
              <w:jc w:val="both"/>
              <w:rPr>
                <w:sz w:val="16"/>
              </w:rPr>
            </w:pPr>
          </w:p>
        </w:tc>
        <w:tc>
          <w:tcPr>
            <w:tcW w:w="56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2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680" w:type="dxa"/>
          </w:tcPr>
          <w:p w:rsidR="000215C5" w:rsidRDefault="000215C5">
            <w:pPr>
              <w:spacing w:after="0"/>
              <w:jc w:val="both"/>
              <w:rPr>
                <w:sz w:val="16"/>
              </w:rPr>
            </w:pPr>
          </w:p>
        </w:tc>
        <w:tc>
          <w:tcPr>
            <w:tcW w:w="797" w:type="dxa"/>
          </w:tcPr>
          <w:p w:rsidR="000215C5" w:rsidRDefault="000215C5">
            <w:pPr>
              <w:spacing w:after="0"/>
              <w:jc w:val="both"/>
              <w:rPr>
                <w:sz w:val="16"/>
              </w:rPr>
            </w:pPr>
          </w:p>
        </w:tc>
        <w:tc>
          <w:tcPr>
            <w:tcW w:w="709" w:type="dxa"/>
          </w:tcPr>
          <w:p w:rsidR="000215C5" w:rsidRDefault="000215C5">
            <w:pPr>
              <w:spacing w:after="0"/>
              <w:jc w:val="both"/>
              <w:rPr>
                <w:sz w:val="16"/>
              </w:rPr>
            </w:pPr>
          </w:p>
        </w:tc>
        <w:tc>
          <w:tcPr>
            <w:tcW w:w="850" w:type="dxa"/>
          </w:tcPr>
          <w:p w:rsidR="000215C5" w:rsidRDefault="000215C5">
            <w:pPr>
              <w:spacing w:after="0"/>
              <w:jc w:val="both"/>
              <w:rPr>
                <w:sz w:val="16"/>
                <w:szCs w:val="16"/>
              </w:rPr>
            </w:pPr>
          </w:p>
        </w:tc>
        <w:tc>
          <w:tcPr>
            <w:tcW w:w="709" w:type="dxa"/>
          </w:tcPr>
          <w:p w:rsidR="000215C5" w:rsidRDefault="000215C5">
            <w:pPr>
              <w:spacing w:after="0"/>
              <w:jc w:val="both"/>
              <w:rPr>
                <w:sz w:val="16"/>
                <w:szCs w:val="16"/>
              </w:rPr>
            </w:pPr>
          </w:p>
        </w:tc>
      </w:tr>
      <w:tr w:rsidR="000215C5" w:rsidTr="00BD5C38">
        <w:trPr>
          <w:trHeight w:val="205"/>
        </w:trPr>
        <w:tc>
          <w:tcPr>
            <w:tcW w:w="1384"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0"/>
              <w:jc w:val="both"/>
              <w:rPr>
                <w:sz w:val="16"/>
              </w:rPr>
            </w:pPr>
            <w:r>
              <w:rPr>
                <w:sz w:val="16"/>
              </w:rPr>
              <w:t>Andra betydande effekter</w:t>
            </w:r>
          </w:p>
        </w:tc>
        <w:tc>
          <w:tcPr>
            <w:tcW w:w="567"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51"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2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68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68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0215C5" w:rsidRDefault="000215C5">
            <w:pPr>
              <w:spacing w:after="0"/>
              <w:jc w:val="both"/>
              <w:rPr>
                <w:sz w:val="16"/>
                <w:szCs w:val="16"/>
              </w:rPr>
            </w:pPr>
          </w:p>
        </w:tc>
      </w:tr>
    </w:tbl>
    <w:p w:rsidR="000215C5" w:rsidRDefault="000215C5">
      <w:pPr>
        <w:jc w:val="both"/>
        <w:rPr>
          <w:szCs w:val="24"/>
        </w:rPr>
      </w:pPr>
    </w:p>
    <w:p w:rsidR="000215C5" w:rsidRDefault="00703023">
      <w:pPr>
        <w:jc w:val="both"/>
        <w:rPr>
          <w:szCs w:val="24"/>
        </w:rPr>
      </w:pPr>
      <w:r>
        <w:t>I vissa fall finns inte uppgifter och information tillgängliga för att ta fram en sådan här tabell. Så kan särskilt vara fallet för vissa typer av påverkan som är svårare att kvantifiera och/eller komplexa avrinningsdistrikt som är utsatta för många typer av påverkan, där det är svårt att skilja mellan påverkan och åtgärder.</w:t>
      </w:r>
    </w:p>
    <w:p w:rsidR="000215C5" w:rsidRDefault="00703023">
      <w:pPr>
        <w:jc w:val="both"/>
        <w:rPr>
          <w:szCs w:val="24"/>
        </w:rPr>
      </w:pPr>
      <w:r>
        <w:t>Medlemsstaterna uppmanas därför att rapportera så mycket uppgifter och information som de kan. När det gäller påverkan ska de rapportera om informationen finns tillgänglig eller kan härledas med rimliga ansträngningar. Om medlemsstaterna inte rapporterar information i detta avseende anses detta inte utgöra bristande efterlevnad av vattendirektivets bestämmelser.</w:t>
      </w:r>
    </w:p>
    <w:p w:rsidR="000215C5" w:rsidRDefault="00703023">
      <w:pPr>
        <w:pStyle w:val="Rubrik1"/>
        <w:jc w:val="both"/>
      </w:pPr>
      <w:bookmarkStart w:id="612" w:name="_Toc400669559"/>
      <w:bookmarkStart w:id="613" w:name="_Toc400670025"/>
      <w:bookmarkStart w:id="614" w:name="_Toc400670363"/>
      <w:bookmarkStart w:id="615" w:name="_Toc400670697"/>
      <w:bookmarkStart w:id="616" w:name="_Toc400671005"/>
      <w:bookmarkStart w:id="617" w:name="_Toc400671309"/>
      <w:bookmarkStart w:id="618" w:name="_Toc400671614"/>
      <w:bookmarkStart w:id="619" w:name="_Toc400671908"/>
      <w:bookmarkStart w:id="620" w:name="_Toc400714740"/>
      <w:bookmarkStart w:id="621" w:name="_Toc400714967"/>
      <w:bookmarkStart w:id="622" w:name="_Toc400715191"/>
      <w:bookmarkStart w:id="623" w:name="_Toc400715411"/>
      <w:bookmarkStart w:id="624" w:name="_Toc400715626"/>
      <w:bookmarkStart w:id="625" w:name="_Toc400715838"/>
      <w:bookmarkStart w:id="626" w:name="_Toc400716045"/>
      <w:bookmarkStart w:id="627" w:name="_Toc400716251"/>
      <w:bookmarkStart w:id="628" w:name="_Toc400716451"/>
      <w:bookmarkStart w:id="629" w:name="_Toc400716649"/>
      <w:bookmarkStart w:id="630" w:name="_Toc400716837"/>
      <w:bookmarkStart w:id="631" w:name="_Toc400717016"/>
      <w:bookmarkStart w:id="632" w:name="_Toc400717192"/>
      <w:bookmarkStart w:id="633" w:name="_Toc400717363"/>
      <w:bookmarkStart w:id="634" w:name="_Toc400717527"/>
      <w:bookmarkStart w:id="635" w:name="_Toc400717694"/>
      <w:bookmarkStart w:id="636" w:name="_Toc400717844"/>
      <w:bookmarkStart w:id="637" w:name="_Toc400717976"/>
      <w:bookmarkStart w:id="638" w:name="_Toc400720374"/>
      <w:bookmarkStart w:id="639" w:name="_Toc388280332"/>
      <w:bookmarkStart w:id="640" w:name="_Toc425522076"/>
      <w:bookmarkStart w:id="641" w:name="_Toc432666088"/>
      <w:bookmarkStart w:id="642" w:name="_Toc437520284"/>
      <w:bookmarkStart w:id="643" w:name="_Toc386464263"/>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t>Rapportering på nivån för avrinningsdistrikt/delavrinningsdistrikt för förvaltningsplaner (mallen RBMPPoM)</w:t>
      </w:r>
      <w:bookmarkEnd w:id="639"/>
      <w:bookmarkEnd w:id="640"/>
      <w:bookmarkEnd w:id="641"/>
      <w:bookmarkEnd w:id="642"/>
    </w:p>
    <w:p w:rsidR="000215C5" w:rsidRDefault="00703023">
      <w:pPr>
        <w:pStyle w:val="Rubrik2"/>
        <w:jc w:val="both"/>
      </w:pPr>
      <w:bookmarkStart w:id="644" w:name="_Toc425522077"/>
      <w:bookmarkStart w:id="645" w:name="_Toc432666089"/>
      <w:bookmarkStart w:id="646" w:name="_Toc437520285"/>
      <w:bookmarkStart w:id="647" w:name="_Toc375220111"/>
      <w:bookmarkStart w:id="648" w:name="_Toc381689454"/>
      <w:bookmarkStart w:id="649" w:name="_Toc386464250"/>
      <w:bookmarkStart w:id="650" w:name="_Toc388280333"/>
      <w:r>
        <w:t>Översikt av rapporteringen av information om förvaltningsplanerna</w:t>
      </w:r>
      <w:bookmarkEnd w:id="644"/>
      <w:bookmarkEnd w:id="645"/>
      <w:bookmarkEnd w:id="646"/>
    </w:p>
    <w:p w:rsidR="000215C5" w:rsidRDefault="00703023">
      <w:pPr>
        <w:jc w:val="both"/>
      </w:pPr>
      <w:r>
        <w:t>Rapporteringen av information om förvaltningsplanen och åtgärdsprogrammet görs för varje avrinningsdistrikt eller delavrinningsdistrikt. Innehållet i rapporteringen struktureras i följande kapitel i denna vägledning:</w:t>
      </w:r>
    </w:p>
    <w:p w:rsidR="000215C5" w:rsidRDefault="00703023">
      <w:pPr>
        <w:pStyle w:val="Liststycke"/>
        <w:numPr>
          <w:ilvl w:val="0"/>
          <w:numId w:val="79"/>
        </w:numPr>
        <w:jc w:val="both"/>
      </w:pPr>
      <w:r>
        <w:t xml:space="preserve">Allmän information om förvaltningsplanen: datum, antagande, innehållsförteckning, mer detaljerade program och kopplingar till andra politikområden (avsnitt </w:t>
      </w:r>
      <w:r>
        <w:fldChar w:fldCharType="begin"/>
      </w:r>
      <w:r>
        <w:instrText xml:space="preserve"> REF _Ref425264275 \r \h  \* MERGEFORMAT </w:instrText>
      </w:r>
      <w:r>
        <w:fldChar w:fldCharType="separate"/>
      </w:r>
      <w:r>
        <w:t>9.2</w:t>
      </w:r>
      <w:r>
        <w:fldChar w:fldCharType="end"/>
      </w:r>
      <w:r>
        <w:t>)</w:t>
      </w:r>
    </w:p>
    <w:p w:rsidR="000215C5" w:rsidRDefault="00703023">
      <w:pPr>
        <w:pStyle w:val="Liststycke"/>
        <w:numPr>
          <w:ilvl w:val="0"/>
          <w:numId w:val="79"/>
        </w:numPr>
        <w:jc w:val="both"/>
      </w:pPr>
      <w:r>
        <w:t xml:space="preserve">Information om utsläpp av förorenande ämnen till yt- och grundvatten, inklusive register över utsläpp och spill från prioriterade ämnen (avsnitt </w:t>
      </w:r>
      <w:r>
        <w:fldChar w:fldCharType="begin"/>
      </w:r>
      <w:r>
        <w:instrText xml:space="preserve"> REF _Ref386463381 \r \h  \* MERGEFORMAT </w:instrText>
      </w:r>
      <w:r>
        <w:fldChar w:fldCharType="separate"/>
      </w:r>
      <w:r>
        <w:t>9.3</w:t>
      </w:r>
      <w:r>
        <w:fldChar w:fldCharType="end"/>
      </w:r>
      <w:r>
        <w:t>)</w:t>
      </w:r>
    </w:p>
    <w:p w:rsidR="000215C5" w:rsidRDefault="00703023">
      <w:pPr>
        <w:pStyle w:val="Liststycke"/>
        <w:numPr>
          <w:ilvl w:val="0"/>
          <w:numId w:val="79"/>
        </w:numPr>
        <w:jc w:val="both"/>
      </w:pPr>
      <w:r>
        <w:t xml:space="preserve">Information om vattenuttag och utnyttjande av vattenresurser (avsnitt </w:t>
      </w:r>
      <w:r>
        <w:fldChar w:fldCharType="begin"/>
      </w:r>
      <w:r>
        <w:instrText xml:space="preserve"> REF _Ref425264426 \r \h  \* MERGEFORMAT </w:instrText>
      </w:r>
      <w:r>
        <w:fldChar w:fldCharType="separate"/>
      </w:r>
      <w:r>
        <w:t>9.4</w:t>
      </w:r>
      <w:r>
        <w:fldChar w:fldCharType="end"/>
      </w:r>
      <w:r>
        <w:t>)</w:t>
      </w:r>
    </w:p>
    <w:p w:rsidR="000215C5" w:rsidRDefault="00703023">
      <w:pPr>
        <w:pStyle w:val="Liststycke"/>
        <w:numPr>
          <w:ilvl w:val="0"/>
          <w:numId w:val="79"/>
        </w:numPr>
        <w:jc w:val="both"/>
      </w:pPr>
      <w:r>
        <w:t xml:space="preserve">Information om åtgärdsprogrammet (kapitel </w:t>
      </w:r>
      <w:r>
        <w:fldChar w:fldCharType="begin"/>
      </w:r>
      <w:r>
        <w:instrText xml:space="preserve"> REF _Ref425264453 \r \h  \* MERGEFORMAT </w:instrText>
      </w:r>
      <w:r>
        <w:fldChar w:fldCharType="separate"/>
      </w:r>
      <w:r>
        <w:t>10</w:t>
      </w:r>
      <w:r>
        <w:fldChar w:fldCharType="end"/>
      </w:r>
      <w:r>
        <w:t xml:space="preserve">) </w:t>
      </w:r>
    </w:p>
    <w:p w:rsidR="000215C5" w:rsidRDefault="00703023">
      <w:pPr>
        <w:pStyle w:val="Liststycke"/>
        <w:numPr>
          <w:ilvl w:val="0"/>
          <w:numId w:val="79"/>
        </w:numPr>
        <w:jc w:val="both"/>
      </w:pPr>
      <w:r>
        <w:t xml:space="preserve">Information om ekonomiska analyser och täckning av kostnader (kapitel </w:t>
      </w:r>
      <w:r>
        <w:fldChar w:fldCharType="begin"/>
      </w:r>
      <w:r>
        <w:instrText xml:space="preserve"> REF _Ref425264505 \r \h  \* MERGEFORMAT </w:instrText>
      </w:r>
      <w:r>
        <w:fldChar w:fldCharType="separate"/>
      </w:r>
      <w:r>
        <w:t>11</w:t>
      </w:r>
      <w:r>
        <w:fldChar w:fldCharType="end"/>
      </w:r>
      <w:r>
        <w:t>)</w:t>
      </w:r>
    </w:p>
    <w:p w:rsidR="000215C5" w:rsidRDefault="00703023">
      <w:pPr>
        <w:jc w:val="both"/>
      </w:pPr>
      <w:r>
        <w:t>Innehållet i rapporteringen beskrivs i följande avsnitt. UML-diagrammet i RBMPPoM-mallen finns i bilaga 10.7.</w:t>
      </w:r>
    </w:p>
    <w:p w:rsidR="000215C5" w:rsidRDefault="00703023">
      <w:pPr>
        <w:pStyle w:val="Rubrik2"/>
        <w:jc w:val="both"/>
      </w:pPr>
      <w:bookmarkStart w:id="651" w:name="_Ref425264275"/>
      <w:bookmarkStart w:id="652" w:name="_Toc425522078"/>
      <w:bookmarkStart w:id="653" w:name="_Toc432666090"/>
      <w:bookmarkStart w:id="654" w:name="_Toc437520286"/>
      <w:r>
        <w:t>Förvaltningsplaner: datum, innehållsförteckning, mer detaljerade program, motiveringar samt allmänhetens deltagande</w:t>
      </w:r>
      <w:bookmarkEnd w:id="647"/>
      <w:bookmarkEnd w:id="648"/>
      <w:bookmarkEnd w:id="649"/>
      <w:bookmarkEnd w:id="650"/>
      <w:bookmarkEnd w:id="651"/>
      <w:bookmarkEnd w:id="652"/>
      <w:bookmarkEnd w:id="653"/>
      <w:bookmarkEnd w:id="654"/>
    </w:p>
    <w:p w:rsidR="000215C5" w:rsidRDefault="00703023">
      <w:pPr>
        <w:pStyle w:val="Rubrik3"/>
      </w:pPr>
      <w:bookmarkStart w:id="655" w:name="_Toc388280334"/>
      <w:bookmarkStart w:id="656" w:name="_Toc375220112"/>
      <w:r>
        <w:t>Inledning</w:t>
      </w:r>
      <w:bookmarkEnd w:id="655"/>
    </w:p>
    <w:p w:rsidR="000215C5" w:rsidRDefault="00703023">
      <w:pPr>
        <w:jc w:val="both"/>
      </w:pPr>
      <w:r>
        <w:t>Förvaltningsplanerna för avrinningsdistrikt (RBMP) är det huvudsakliga verktyget för vattenförvaltningen av alla yt- och grundvattenförekomster inom ett visst avrinningsdistrikt. Innehållet i förvaltningsplanerna anges i bilaga VII till vattendirektivet. När det gäller vattenförvaltning ska förvaltningsplanerna innehålla följande: en allmän beskrivning av avrinningsdistriktet, en sammanfattning av betydande påverkan och effekter på yt- och grundvattenförekomster, en sammanfattning av de åtgärder som är avsedda att begränsa de identifierade effekterna, ett register över eventuella mer detaljerade planer som föreslagits för delavrinningsområden, sektorer, frågor eller vattentyper, en sammanfattning av offentliga samråd samt en förteckning över behöriga myndigheter, inklusive deras förhållande till andra myndigheter som samordnas inom medlemsstaten och en sammanfattning av de institutionella förbindelser som upprättats för att säkerställa samordning i internationella avrinningsdistrikt.</w:t>
      </w:r>
    </w:p>
    <w:p w:rsidR="000215C5" w:rsidRDefault="00703023">
      <w:pPr>
        <w:jc w:val="both"/>
      </w:pPr>
      <w:r>
        <w:t>I vattendirektivet fastställs miljömål som medlemsstaterna ska uppfylla för yt- och grundvatten. Standardmålet är god status till 2015 (om inte undantag är tillämpliga eller ytvattenförekomsten uppfyller villkoren för konstgjorda eller kraftigt modifierade vattenförekomster). Förvaltningsplanerna är det centrala verktyget för att uppnå dessa rättsligt bindande miljömål och kan formellt betraktas som en färdplan för genomförandet. Förvaltningsplanerna kan bli föremål för granskning.</w:t>
      </w:r>
    </w:p>
    <w:p w:rsidR="000215C5" w:rsidRDefault="00703023">
      <w:pPr>
        <w:jc w:val="both"/>
      </w:pPr>
      <w:r>
        <w:t>I vattendirektivet anges ett stegvist tillvägagångssätt för utarbetandet av förvaltningsplanerna. Om ett krav inte är fullständigt uppfyllt eller har genomförts på fel sätt kan detta hindra nästa steg i genomförandeprocessen.</w:t>
      </w:r>
    </w:p>
    <w:p w:rsidR="000215C5" w:rsidRDefault="00703023">
      <w:pPr>
        <w:jc w:val="both"/>
      </w:pPr>
      <w:r>
        <w:t>Det är också viktigt att förvaltningsplanerna är tydliga och fullständiga när det gäller ansvarsfrågan, eftersom de utgör det främsta verktyget för kommunikationen med berörda parter, inklusive allmänheten, om hur den integrerade vattenförvaltningen genomförs eller kommer att genomföras. Fullständiga utkast till förvaltningsplaner, i förekommande fall med tillhörande utkast till bakgrundsdokument, ska tillhandahållas i god tid via förfarandet för offentliga samråd för att se till att berörda parter får tillräckligt med information för att kunna yttra sig om förvaltningsplanerna på ett meningsfullt sätt.</w:t>
      </w:r>
    </w:p>
    <w:p w:rsidR="000215C5" w:rsidRDefault="00703023">
      <w:pPr>
        <w:pStyle w:val="Rubrik3"/>
      </w:pPr>
      <w:bookmarkStart w:id="657" w:name="_Toc388280335"/>
      <w:r>
        <w:t>Hur kommer kommissionen och Europeiska miljöbyrån att använda den rapporterade informationen?</w:t>
      </w:r>
      <w:bookmarkEnd w:id="657"/>
    </w:p>
    <w:p w:rsidR="000215C5" w:rsidRDefault="00703023">
      <w:pPr>
        <w:jc w:val="both"/>
      </w:pPr>
      <w:r>
        <w:t>Kommissionen kommer att använda den information som rapporteras för att försäkra sig om att medlemsstaterna har genomfört vattendirektivet på ett lämpligt sätt, att de har upprättat register över mer detaljerade program och förvaltningsplaner (se GIS-vägledningsdokument nr 8</w:t>
      </w:r>
      <w:r>
        <w:rPr>
          <w:rStyle w:val="Fotnotsreferens"/>
        </w:rPr>
        <w:footnoteReference w:id="103"/>
      </w:r>
      <w:r>
        <w:t>) och allmänheten har informerats enligt vattendirektivet.</w:t>
      </w:r>
    </w:p>
    <w:p w:rsidR="000215C5" w:rsidRDefault="00703023">
      <w:pPr>
        <w:jc w:val="both"/>
      </w:pPr>
      <w:r>
        <w:t>Kommissionen kommer dessutom att använda informationen för att ta fram framtida vattenpolitiska instrument.</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4"/>
      </w:pPr>
      <w:r>
        <w:t>Produkter från rapporteringen</w:t>
      </w:r>
    </w:p>
    <w:p w:rsidR="000215C5" w:rsidRDefault="00703023">
      <w:pPr>
        <w:jc w:val="both"/>
      </w:pPr>
      <w:r>
        <w:t>Generellt sett kan statistik härledas från de huvudsakliga metodologiska strategier och faktauppgifter som rapporteras.</w:t>
      </w:r>
    </w:p>
    <w:p w:rsidR="000215C5" w:rsidRDefault="00703023">
      <w:pPr>
        <w:pStyle w:val="Rubrik3"/>
      </w:pPr>
      <w:bookmarkStart w:id="658" w:name="_Toc388280336"/>
      <w:r>
        <w:t>Innehåll i rapporteringen 2016</w:t>
      </w:r>
      <w:bookmarkEnd w:id="656"/>
      <w:bookmarkEnd w:id="658"/>
      <w:r>
        <w:t xml:space="preserve"> </w:t>
      </w:r>
    </w:p>
    <w:p w:rsidR="000215C5" w:rsidRDefault="00703023">
      <w:pPr>
        <w:keepNext/>
        <w:numPr>
          <w:ilvl w:val="3"/>
          <w:numId w:val="1"/>
        </w:numPr>
        <w:tabs>
          <w:tab w:val="num" w:pos="851"/>
        </w:tabs>
        <w:ind w:left="2705" w:hanging="2705"/>
        <w:jc w:val="both"/>
        <w:outlineLvl w:val="3"/>
      </w:pPr>
      <w:r>
        <w:t>Skiss över mallarna</w:t>
      </w:r>
    </w:p>
    <w:p w:rsidR="000215C5" w:rsidRDefault="00703023">
      <w:pPr>
        <w:jc w:val="both"/>
      </w:pPr>
      <w:r>
        <w:t>Se bilaga 10.7.</w:t>
      </w:r>
    </w:p>
    <w:p w:rsidR="000215C5" w:rsidRDefault="00703023">
      <w:pPr>
        <w:pStyle w:val="Rubrik4"/>
      </w:pPr>
      <w:r>
        <w:t>Information och uppgifter som ska rapporteras med hjälp av mallarna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RBMPPoM</w:t>
            </w:r>
          </w:p>
        </w:tc>
      </w:tr>
      <w:tr w:rsidR="000215C5">
        <w:tc>
          <w:tcPr>
            <w:tcW w:w="9853" w:type="dxa"/>
            <w:shd w:val="clear" w:color="auto" w:fill="auto"/>
          </w:tcPr>
          <w:p w:rsidR="000215C5" w:rsidRDefault="00703023">
            <w:pPr>
              <w:spacing w:after="120"/>
              <w:jc w:val="both"/>
              <w:rPr>
                <w:b/>
                <w:i/>
                <w:szCs w:val="24"/>
              </w:rPr>
            </w:pPr>
            <w:r>
              <w:rPr>
                <w:b/>
                <w:i/>
              </w:rPr>
              <w:t>Class RBMP</w:t>
            </w:r>
          </w:p>
          <w:p w:rsidR="000215C5" w:rsidRDefault="00703023">
            <w:pPr>
              <w:spacing w:after="120"/>
              <w:jc w:val="both"/>
              <w:rPr>
                <w:i/>
                <w:szCs w:val="24"/>
              </w:rPr>
            </w:pPr>
            <w:r>
              <w:rPr>
                <w:b/>
                <w:i/>
              </w:rPr>
              <w:t xml:space="preserve">Egenskaper: </w:t>
            </w:r>
            <w:r>
              <w:rPr>
                <w:i/>
              </w:rPr>
              <w:t>maxOccurs = 1 minOccurs = 1</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rbmpName</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Förvaltningsplanens titel på engelska.</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rbmpTimetablePublicationDate</w:t>
            </w:r>
          </w:p>
          <w:p w:rsidR="000215C5" w:rsidRDefault="00703023">
            <w:pPr>
              <w:spacing w:after="120"/>
              <w:jc w:val="both"/>
              <w:rPr>
                <w:szCs w:val="24"/>
              </w:rPr>
            </w:pPr>
            <w:r>
              <w:rPr>
                <w:b/>
              </w:rPr>
              <w:t xml:space="preserve">Fälttyp/alternativ: </w:t>
            </w:r>
            <w:r>
              <w:t>DateType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Publiceringsdatum för tidsplanen för utarbetandet av förvaltningsplanen, i formatet ÅÅÅÅ-MM-DD.</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rbmpProgrammePublicationDate</w:t>
            </w:r>
          </w:p>
          <w:p w:rsidR="000215C5" w:rsidRDefault="00703023">
            <w:pPr>
              <w:spacing w:after="120"/>
              <w:jc w:val="both"/>
              <w:rPr>
                <w:szCs w:val="24"/>
              </w:rPr>
            </w:pPr>
            <w:r>
              <w:rPr>
                <w:b/>
              </w:rPr>
              <w:t xml:space="preserve">Fälttyp/alternativ: </w:t>
            </w:r>
            <w:r>
              <w:t>DateType</w:t>
            </w:r>
          </w:p>
          <w:p w:rsidR="000215C5" w:rsidRDefault="00703023">
            <w:pPr>
              <w:spacing w:after="120"/>
              <w:jc w:val="both"/>
              <w:rPr>
                <w:szCs w:val="24"/>
              </w:rPr>
            </w:pPr>
            <w:r>
              <w:rPr>
                <w:b/>
              </w:rPr>
              <w:t xml:space="preserve">Egenskaper: </w:t>
            </w:r>
            <w:r>
              <w:t>maxOccurs = 1 minOccurs = 1</w:t>
            </w:r>
          </w:p>
          <w:p w:rsidR="000215C5" w:rsidRDefault="00703023">
            <w:pPr>
              <w:tabs>
                <w:tab w:val="left" w:pos="1845"/>
              </w:tabs>
              <w:spacing w:after="120"/>
              <w:jc w:val="both"/>
              <w:rPr>
                <w:szCs w:val="24"/>
              </w:rPr>
            </w:pPr>
            <w:r>
              <w:rPr>
                <w:b/>
              </w:rPr>
              <w:t>Vägledning om hur man fyller i mallposten</w:t>
            </w:r>
            <w:r>
              <w:t>: Krävs. Publiceringsdatum för arbetsprogrammet för utarbetandet av förvaltningsplanen, i formatet ÅÅÅÅ-MM-DD.</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rbmpConsultationPublicationDate</w:t>
            </w:r>
          </w:p>
          <w:p w:rsidR="000215C5" w:rsidRDefault="00703023">
            <w:pPr>
              <w:spacing w:after="120"/>
              <w:jc w:val="both"/>
              <w:rPr>
                <w:szCs w:val="24"/>
              </w:rPr>
            </w:pPr>
            <w:r>
              <w:rPr>
                <w:b/>
              </w:rPr>
              <w:t xml:space="preserve">Fälttyp/alternativ: </w:t>
            </w:r>
            <w:r>
              <w:t>DateType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Publiceringsdatum för samråden inför utarbetandet av förvaltningsplanen, i formatet ÅÅÅÅ-MM-DD.</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rbmpInterimOverviewDate</w:t>
            </w:r>
          </w:p>
          <w:p w:rsidR="000215C5" w:rsidRDefault="00703023">
            <w:pPr>
              <w:spacing w:after="120"/>
              <w:jc w:val="both"/>
              <w:rPr>
                <w:szCs w:val="24"/>
              </w:rPr>
            </w:pPr>
            <w:r>
              <w:rPr>
                <w:b/>
              </w:rPr>
              <w:t xml:space="preserve">Fälttyp/alternativ: </w:t>
            </w:r>
            <w:r>
              <w:t>DateType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Publiceringsdatum för halvtidsöversynen av viktiga vattenförvaltningsfrågor, i formatet ÅÅÅÅ-MM-DD.</w:t>
            </w:r>
          </w:p>
        </w:tc>
      </w:tr>
      <w:tr w:rsidR="000215C5">
        <w:tc>
          <w:tcPr>
            <w:tcW w:w="9853" w:type="dxa"/>
            <w:shd w:val="clear" w:color="auto" w:fill="auto"/>
          </w:tcPr>
          <w:p w:rsidR="000215C5" w:rsidRDefault="00703023">
            <w:pPr>
              <w:spacing w:after="120"/>
              <w:jc w:val="both"/>
              <w:rPr>
                <w:b/>
                <w:szCs w:val="24"/>
              </w:rPr>
            </w:pPr>
            <w:r>
              <w:rPr>
                <w:b/>
              </w:rPr>
              <w:t>Mallpost</w:t>
            </w:r>
            <w:r>
              <w:t>: rbmpDraftVersionDate</w:t>
            </w:r>
          </w:p>
          <w:p w:rsidR="000215C5" w:rsidRDefault="00703023">
            <w:pPr>
              <w:spacing w:after="120"/>
              <w:jc w:val="both"/>
              <w:rPr>
                <w:szCs w:val="24"/>
              </w:rPr>
            </w:pPr>
            <w:r>
              <w:rPr>
                <w:b/>
              </w:rPr>
              <w:t xml:space="preserve">Fälttyp/alternativ: </w:t>
            </w:r>
            <w:r>
              <w:t>DateType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Publiceringsdatum för utkasten till förvaltningsplan, i formatet ÅÅÅÅ-MM-DD.</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finalRBMPPublicationDate</w:t>
            </w:r>
          </w:p>
          <w:p w:rsidR="000215C5" w:rsidRDefault="00703023">
            <w:pPr>
              <w:spacing w:after="120"/>
              <w:jc w:val="both"/>
              <w:rPr>
                <w:szCs w:val="24"/>
              </w:rPr>
            </w:pPr>
            <w:r>
              <w:rPr>
                <w:b/>
              </w:rPr>
              <w:t xml:space="preserve">Fälttyp/alternativ: </w:t>
            </w:r>
            <w:r>
              <w:t>DateType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Publiceringsdatum för den slutliga förvaltningsplanen, i formatet ÅÅÅÅ-MM-DD.</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subPlans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det finns särskilda delplaner enligt artikel 13.5 i vattendirektivet.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subPlansCoverage</w:t>
            </w:r>
          </w:p>
          <w:p w:rsidR="000215C5" w:rsidRDefault="00703023">
            <w:pPr>
              <w:spacing w:after="120"/>
              <w:jc w:val="both"/>
              <w:rPr>
                <w:szCs w:val="24"/>
              </w:rPr>
            </w:pPr>
            <w:r>
              <w:rPr>
                <w:b/>
              </w:rPr>
              <w:t xml:space="preserve">Fälttyp/alternativ: </w:t>
            </w:r>
            <w:r>
              <w:t>SubPlansCoverage_Enum:</w:t>
            </w:r>
          </w:p>
          <w:p w:rsidR="000215C5" w:rsidRPr="00FD78F1" w:rsidRDefault="00703023">
            <w:pPr>
              <w:spacing w:after="120"/>
              <w:jc w:val="both"/>
              <w:rPr>
                <w:szCs w:val="24"/>
                <w:lang w:val="en-GB"/>
              </w:rPr>
            </w:pPr>
            <w:r w:rsidRPr="00FD78F1">
              <w:rPr>
                <w:lang w:val="en-GB"/>
              </w:rPr>
              <w:t>Agriculture</w:t>
            </w:r>
          </w:p>
          <w:p w:rsidR="000215C5" w:rsidRPr="00FD78F1" w:rsidRDefault="00703023">
            <w:pPr>
              <w:spacing w:after="120"/>
              <w:jc w:val="both"/>
              <w:rPr>
                <w:szCs w:val="24"/>
                <w:lang w:val="en-GB"/>
              </w:rPr>
            </w:pPr>
            <w:r w:rsidRPr="00FD78F1">
              <w:rPr>
                <w:lang w:val="en-GB"/>
              </w:rPr>
              <w:t>Chemical industry</w:t>
            </w:r>
          </w:p>
          <w:p w:rsidR="000215C5" w:rsidRPr="00FD78F1" w:rsidRDefault="00703023">
            <w:pPr>
              <w:spacing w:after="120"/>
              <w:jc w:val="both"/>
              <w:rPr>
                <w:szCs w:val="24"/>
                <w:lang w:val="en-GB"/>
              </w:rPr>
            </w:pPr>
            <w:r w:rsidRPr="00FD78F1">
              <w:rPr>
                <w:lang w:val="en-GB"/>
              </w:rPr>
              <w:t>Hydropower</w:t>
            </w:r>
          </w:p>
          <w:p w:rsidR="000215C5" w:rsidRPr="00FD78F1" w:rsidRDefault="00703023">
            <w:pPr>
              <w:spacing w:after="120"/>
              <w:jc w:val="both"/>
              <w:rPr>
                <w:szCs w:val="24"/>
                <w:lang w:val="en-GB"/>
              </w:rPr>
            </w:pPr>
            <w:r w:rsidRPr="00FD78F1">
              <w:rPr>
                <w:lang w:val="en-GB"/>
              </w:rPr>
              <w:t>Transport</w:t>
            </w:r>
          </w:p>
          <w:p w:rsidR="000215C5" w:rsidRPr="00FD78F1" w:rsidRDefault="00703023">
            <w:pPr>
              <w:spacing w:after="120"/>
              <w:jc w:val="both"/>
              <w:rPr>
                <w:szCs w:val="24"/>
                <w:lang w:val="en-GB"/>
              </w:rPr>
            </w:pPr>
            <w:r w:rsidRPr="00FD78F1">
              <w:rPr>
                <w:lang w:val="en-GB"/>
              </w:rPr>
              <w:t>Water Scarcity and droughts</w:t>
            </w:r>
          </w:p>
          <w:p w:rsidR="000215C5" w:rsidRPr="00FD78F1" w:rsidRDefault="00703023">
            <w:pPr>
              <w:spacing w:after="120"/>
              <w:jc w:val="both"/>
              <w:rPr>
                <w:szCs w:val="24"/>
                <w:lang w:val="en-GB"/>
              </w:rPr>
            </w:pPr>
            <w:r w:rsidRPr="00FD78F1">
              <w:rPr>
                <w:lang w:val="en-GB"/>
              </w:rPr>
              <w:t>Climate change</w:t>
            </w:r>
          </w:p>
          <w:p w:rsidR="000215C5" w:rsidRPr="00FD78F1" w:rsidRDefault="00703023">
            <w:pPr>
              <w:spacing w:after="120"/>
              <w:jc w:val="both"/>
              <w:rPr>
                <w:szCs w:val="24"/>
                <w:lang w:val="en-GB"/>
              </w:rPr>
            </w:pPr>
            <w:r w:rsidRPr="00FD78F1">
              <w:rPr>
                <w:lang w:val="en-GB"/>
              </w:rPr>
              <w:t>Coastal erosion</w:t>
            </w:r>
          </w:p>
          <w:p w:rsidR="000215C5" w:rsidRPr="00FD78F1" w:rsidRDefault="00703023">
            <w:pPr>
              <w:spacing w:after="120"/>
              <w:jc w:val="both"/>
              <w:rPr>
                <w:szCs w:val="24"/>
                <w:lang w:val="en-GB"/>
              </w:rPr>
            </w:pPr>
            <w:r w:rsidRPr="00FD78F1">
              <w:rPr>
                <w:lang w:val="en-GB"/>
              </w:rPr>
              <w:t>Rural planning</w:t>
            </w:r>
          </w:p>
          <w:p w:rsidR="000215C5" w:rsidRPr="00FD78F1" w:rsidRDefault="00703023">
            <w:pPr>
              <w:spacing w:after="120"/>
              <w:jc w:val="both"/>
              <w:rPr>
                <w:szCs w:val="24"/>
                <w:lang w:val="en-GB"/>
              </w:rPr>
            </w:pPr>
            <w:r w:rsidRPr="00FD78F1">
              <w:rPr>
                <w:lang w:val="en-GB"/>
              </w:rPr>
              <w:t>Urban planning</w:t>
            </w:r>
          </w:p>
          <w:p w:rsidR="000215C5" w:rsidRPr="00FD78F1" w:rsidRDefault="00703023">
            <w:pPr>
              <w:spacing w:after="120"/>
              <w:jc w:val="both"/>
              <w:rPr>
                <w:szCs w:val="24"/>
                <w:lang w:val="en-GB"/>
              </w:rPr>
            </w:pPr>
            <w:r w:rsidRPr="00FD78F1">
              <w:rPr>
                <w:lang w:val="en-GB"/>
              </w:rPr>
              <w:t>Nutrient enrichment</w:t>
            </w:r>
          </w:p>
          <w:p w:rsidR="000215C5" w:rsidRPr="00FD78F1" w:rsidRDefault="00703023">
            <w:pPr>
              <w:spacing w:after="120"/>
              <w:jc w:val="both"/>
              <w:rPr>
                <w:szCs w:val="24"/>
                <w:lang w:val="en-GB"/>
              </w:rPr>
            </w:pPr>
            <w:r w:rsidRPr="00FD78F1">
              <w:rPr>
                <w:lang w:val="en-GB"/>
              </w:rPr>
              <w:t>Chemical pollution</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b/>
                <w:lang w:val="en-GB"/>
              </w:rPr>
              <w:t xml:space="preserve">Egenskaper: </w:t>
            </w:r>
            <w:r w:rsidRPr="00FD78F1">
              <w:rPr>
                <w:lang w:val="en-GB"/>
              </w:rPr>
              <w:t>maxOccurs = unbounded minOccurs = 0</w:t>
            </w:r>
          </w:p>
          <w:p w:rsidR="000215C5" w:rsidRDefault="00703023">
            <w:pPr>
              <w:spacing w:after="120"/>
              <w:jc w:val="both"/>
              <w:rPr>
                <w:szCs w:val="24"/>
              </w:rPr>
            </w:pPr>
            <w:r>
              <w:rPr>
                <w:b/>
              </w:rPr>
              <w:t>Vägledning om hur man fyller i mallposten</w:t>
            </w:r>
            <w:r>
              <w:t>: Villkorlig. Om det finns särskilda delplaner, välj de frågor de omfattar från uppräkningslistan. Om ”Other” väljs, ange den eller de frågor som behandlas i subPlansCoverageOther.</w:t>
            </w:r>
          </w:p>
          <w:p w:rsidR="000215C5" w:rsidRDefault="00703023">
            <w:pPr>
              <w:spacing w:after="120"/>
              <w:jc w:val="both"/>
              <w:rPr>
                <w:b/>
                <w:szCs w:val="24"/>
              </w:rPr>
            </w:pPr>
            <w:r>
              <w:rPr>
                <w:b/>
              </w:rPr>
              <w:t>Kvalitetskontroller</w:t>
            </w:r>
            <w:r>
              <w:t>: Villkorlig kontroll: Rapportera om subPlans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subPlansCoverageOther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”Other” väljs från uppräkningslistan under subPlansCoverage, ange den eller de frågor som behandlas.</w:t>
            </w:r>
          </w:p>
          <w:p w:rsidR="000215C5" w:rsidRDefault="00703023">
            <w:pPr>
              <w:spacing w:after="120"/>
              <w:jc w:val="both"/>
              <w:rPr>
                <w:b/>
                <w:szCs w:val="24"/>
              </w:rPr>
            </w:pPr>
            <w:r>
              <w:rPr>
                <w:b/>
              </w:rPr>
              <w:t>Kvalitetskontroller</w:t>
            </w:r>
            <w:r>
              <w:t>: Villkorlig kontroll: Rapportera om subPlans är ”Yes” och subPlansCoverage är ”Other”.</w:t>
            </w:r>
          </w:p>
        </w:tc>
      </w:tr>
      <w:tr w:rsidR="000215C5">
        <w:tc>
          <w:tcPr>
            <w:tcW w:w="9853" w:type="dxa"/>
            <w:shd w:val="clear" w:color="auto" w:fill="auto"/>
          </w:tcPr>
          <w:p w:rsidR="000215C5" w:rsidRDefault="00703023">
            <w:pPr>
              <w:spacing w:after="120"/>
              <w:jc w:val="both"/>
              <w:rPr>
                <w:b/>
                <w:szCs w:val="24"/>
              </w:rPr>
            </w:pPr>
            <w:r>
              <w:rPr>
                <w:b/>
              </w:rPr>
              <w:t xml:space="preserve">Mallpost: </w:t>
            </w:r>
            <w:r>
              <w:t>subPlansReference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b/>
                <w:szCs w:val="24"/>
              </w:rPr>
            </w:pPr>
            <w:r>
              <w:rPr>
                <w:b/>
              </w:rPr>
              <w:t xml:space="preserve">Vägledning om hur man fyller i mallposten: </w:t>
            </w:r>
            <w:r>
              <w:t xml:space="preserve">Villkorlig. Ange hänvisningar eller hyperlänkar till de dokument och avsnitt som innehåller relevant information om delplaner. Länkar till delplanerna i sig kan också lämnas. </w:t>
            </w:r>
          </w:p>
          <w:p w:rsidR="000215C5" w:rsidRDefault="00703023">
            <w:pPr>
              <w:spacing w:after="120"/>
              <w:jc w:val="both"/>
              <w:rPr>
                <w:b/>
                <w:szCs w:val="24"/>
              </w:rPr>
            </w:pPr>
            <w:r>
              <w:rPr>
                <w:b/>
              </w:rPr>
              <w:t xml:space="preserve">Kvalitetskontroller: </w:t>
            </w:r>
            <w:r>
              <w:t>Villkorlig kontroll: Rapportera om subPlans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sea</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strategiska miljöbedömningar (SMB) har gjorts av förvaltningsplanen och åtgärdsplanen. </w:t>
            </w:r>
          </w:p>
        </w:tc>
      </w:tr>
      <w:tr w:rsidR="000215C5">
        <w:tc>
          <w:tcPr>
            <w:tcW w:w="9853" w:type="dxa"/>
            <w:shd w:val="clear" w:color="auto" w:fill="auto"/>
          </w:tcPr>
          <w:p w:rsidR="000215C5" w:rsidRDefault="00703023">
            <w:pPr>
              <w:spacing w:after="120"/>
              <w:jc w:val="both"/>
              <w:rPr>
                <w:b/>
                <w:szCs w:val="24"/>
              </w:rPr>
            </w:pPr>
            <w:r>
              <w:rPr>
                <w:b/>
              </w:rPr>
              <w:t xml:space="preserve">Mallpost: </w:t>
            </w:r>
            <w:r>
              <w:t>seaReference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b/>
                <w:szCs w:val="24"/>
              </w:rPr>
            </w:pPr>
            <w:r>
              <w:rPr>
                <w:b/>
              </w:rPr>
              <w:t xml:space="preserve">Vägledning om hur man fyller i mallposten: </w:t>
            </w:r>
            <w:r>
              <w:t>Villkorlig. Ange hänvisni</w:t>
            </w:r>
            <w:r w:rsidR="00C35BC3">
              <w:t>ngar eller hyperlänkar till SMB</w:t>
            </w:r>
            <w:r w:rsidR="00C35BC3">
              <w:noBreakHyphen/>
            </w:r>
            <w:r>
              <w:t xml:space="preserve">dokument. </w:t>
            </w:r>
          </w:p>
          <w:p w:rsidR="000215C5" w:rsidRDefault="00703023">
            <w:pPr>
              <w:spacing w:after="120"/>
              <w:jc w:val="both"/>
              <w:rPr>
                <w:b/>
                <w:szCs w:val="24"/>
              </w:rPr>
            </w:pPr>
            <w:r>
              <w:rPr>
                <w:b/>
              </w:rPr>
              <w:t xml:space="preserve">Kvalitetskontroller: </w:t>
            </w:r>
            <w:r>
              <w:t>Villkorlig kontroll: Rapportera om sea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publicConsultationInformation</w:t>
            </w:r>
          </w:p>
          <w:p w:rsidR="000215C5" w:rsidRDefault="00703023">
            <w:pPr>
              <w:spacing w:after="120"/>
              <w:jc w:val="both"/>
              <w:rPr>
                <w:szCs w:val="24"/>
              </w:rPr>
            </w:pPr>
            <w:r>
              <w:rPr>
                <w:b/>
              </w:rPr>
              <w:t xml:space="preserve">Fälttyp/alternativ: </w:t>
            </w:r>
            <w:r>
              <w:t>PublicConsultationInformation_Enum:</w:t>
            </w:r>
          </w:p>
          <w:p w:rsidR="000215C5" w:rsidRPr="00D95552" w:rsidRDefault="00703023">
            <w:pPr>
              <w:spacing w:after="120"/>
              <w:jc w:val="both"/>
              <w:rPr>
                <w:szCs w:val="24"/>
              </w:rPr>
            </w:pPr>
            <w:r w:rsidRPr="00D95552">
              <w:t>Media (papers, TV, radio)</w:t>
            </w:r>
          </w:p>
          <w:p w:rsidR="000215C5" w:rsidRPr="00D95552" w:rsidRDefault="00703023">
            <w:pPr>
              <w:spacing w:after="120"/>
              <w:jc w:val="both"/>
              <w:rPr>
                <w:szCs w:val="24"/>
              </w:rPr>
            </w:pPr>
            <w:r w:rsidRPr="00D95552">
              <w:t>Internet</w:t>
            </w:r>
          </w:p>
          <w:p w:rsidR="000215C5" w:rsidRPr="00D95552" w:rsidRDefault="00703023">
            <w:pPr>
              <w:spacing w:after="120"/>
              <w:jc w:val="both"/>
              <w:rPr>
                <w:szCs w:val="24"/>
              </w:rPr>
            </w:pPr>
            <w:r w:rsidRPr="00D95552">
              <w:t>Social networking (Twitter, Facebook etc.)</w:t>
            </w:r>
          </w:p>
          <w:p w:rsidR="000215C5" w:rsidRPr="00FD78F1" w:rsidRDefault="00703023">
            <w:pPr>
              <w:spacing w:after="120"/>
              <w:jc w:val="both"/>
              <w:rPr>
                <w:szCs w:val="24"/>
                <w:lang w:val="en-GB"/>
              </w:rPr>
            </w:pPr>
            <w:r w:rsidRPr="00FD78F1">
              <w:rPr>
                <w:lang w:val="en-GB"/>
              </w:rPr>
              <w:t>Printed material</w:t>
            </w:r>
          </w:p>
          <w:p w:rsidR="000215C5" w:rsidRPr="00FD78F1" w:rsidRDefault="00703023">
            <w:pPr>
              <w:spacing w:after="120"/>
              <w:jc w:val="both"/>
              <w:rPr>
                <w:szCs w:val="24"/>
                <w:lang w:val="en-GB"/>
              </w:rPr>
            </w:pPr>
            <w:r w:rsidRPr="00FD78F1">
              <w:rPr>
                <w:lang w:val="en-GB"/>
              </w:rPr>
              <w:t>Direct mailing</w:t>
            </w:r>
          </w:p>
          <w:p w:rsidR="000215C5" w:rsidRPr="00FD78F1" w:rsidRDefault="00703023">
            <w:pPr>
              <w:spacing w:after="120"/>
              <w:jc w:val="both"/>
              <w:rPr>
                <w:szCs w:val="24"/>
                <w:lang w:val="en-GB"/>
              </w:rPr>
            </w:pPr>
            <w:r w:rsidRPr="00FD78F1">
              <w:rPr>
                <w:lang w:val="en-GB"/>
              </w:rPr>
              <w:t>Invitations to stakeholders</w:t>
            </w:r>
          </w:p>
          <w:p w:rsidR="000215C5" w:rsidRPr="00FD78F1" w:rsidRDefault="00703023">
            <w:pPr>
              <w:spacing w:after="120"/>
              <w:jc w:val="both"/>
              <w:rPr>
                <w:szCs w:val="24"/>
                <w:lang w:val="en-GB"/>
              </w:rPr>
            </w:pPr>
            <w:r w:rsidRPr="00FD78F1">
              <w:rPr>
                <w:lang w:val="en-GB"/>
              </w:rPr>
              <w:t>Local Authorities</w:t>
            </w:r>
          </w:p>
          <w:p w:rsidR="000215C5" w:rsidRPr="00FD78F1" w:rsidRDefault="00703023">
            <w:pPr>
              <w:spacing w:after="120"/>
              <w:jc w:val="both"/>
              <w:rPr>
                <w:szCs w:val="24"/>
                <w:lang w:val="en-GB"/>
              </w:rPr>
            </w:pPr>
            <w:r w:rsidRPr="00FD78F1">
              <w:rPr>
                <w:lang w:val="en-GB"/>
              </w:rPr>
              <w:t>Meetings</w:t>
            </w:r>
          </w:p>
          <w:p w:rsidR="000215C5" w:rsidRPr="00FD78F1" w:rsidRDefault="00703023">
            <w:pPr>
              <w:spacing w:after="120"/>
              <w:jc w:val="both"/>
              <w:rPr>
                <w:szCs w:val="24"/>
                <w:lang w:val="en-GB"/>
              </w:rPr>
            </w:pPr>
            <w:r w:rsidRPr="00FD78F1">
              <w:rPr>
                <w:lang w:val="en-GB"/>
              </w:rPr>
              <w:t>Written consultation</w:t>
            </w:r>
          </w:p>
          <w:p w:rsidR="000215C5" w:rsidRPr="00FD78F1" w:rsidRDefault="00703023">
            <w:pPr>
              <w:spacing w:after="120"/>
              <w:jc w:val="both"/>
              <w:rPr>
                <w:szCs w:val="24"/>
                <w:lang w:val="en-GB"/>
              </w:rPr>
            </w:pPr>
            <w:r w:rsidRPr="00FD78F1">
              <w:rPr>
                <w:lang w:val="en-GB"/>
              </w:rPr>
              <w:t>Other</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Välj den eller de mekanismer som har använts för att informera allmänheten och berörda parter om samråden om utkastet till förvaltningsplanen från uppräkningslistan. Fler än en mekanism kan väljas. Om ”Other” väljs, ange den eller de frågor som behandlas i publicConsultationInformationOther.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publicConsultationInformationOther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”Other” väljs från uppräkningslistan under publicConsultationInformation, ange den eller de mekanismer som använts.</w:t>
            </w:r>
          </w:p>
          <w:p w:rsidR="000215C5" w:rsidRDefault="00703023">
            <w:pPr>
              <w:spacing w:after="120"/>
              <w:jc w:val="both"/>
              <w:rPr>
                <w:b/>
                <w:szCs w:val="24"/>
              </w:rPr>
            </w:pPr>
            <w:r>
              <w:rPr>
                <w:b/>
              </w:rPr>
              <w:t>Kvalitetskontroller</w:t>
            </w:r>
            <w:r>
              <w:t>: Villkorlig kontroll: Rapportera om publicConsultationInformation är ”Other”.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rbmpConsultation</w:t>
            </w:r>
          </w:p>
          <w:p w:rsidR="000215C5" w:rsidRDefault="00703023">
            <w:pPr>
              <w:spacing w:after="120"/>
              <w:jc w:val="both"/>
              <w:rPr>
                <w:szCs w:val="24"/>
              </w:rPr>
            </w:pPr>
            <w:r>
              <w:rPr>
                <w:b/>
              </w:rPr>
              <w:t xml:space="preserve">Fälttyp/alternativ: </w:t>
            </w:r>
            <w:r>
              <w:t>RBMPConsultation_Enum:</w:t>
            </w:r>
          </w:p>
          <w:p w:rsidR="000215C5" w:rsidRDefault="00703023">
            <w:pPr>
              <w:spacing w:after="120"/>
              <w:jc w:val="both"/>
              <w:rPr>
                <w:szCs w:val="24"/>
              </w:rPr>
            </w:pPr>
            <w:r>
              <w:t>Via internet</w:t>
            </w:r>
          </w:p>
          <w:p w:rsidR="000215C5" w:rsidRPr="00360D19" w:rsidRDefault="00703023">
            <w:pPr>
              <w:spacing w:after="120"/>
              <w:jc w:val="both"/>
              <w:rPr>
                <w:szCs w:val="24"/>
                <w:lang w:val="en-US"/>
              </w:rPr>
            </w:pPr>
            <w:r w:rsidRPr="00360D19">
              <w:rPr>
                <w:lang w:val="en-US"/>
              </w:rPr>
              <w:t>Via Twitter</w:t>
            </w:r>
          </w:p>
          <w:p w:rsidR="000215C5" w:rsidRPr="00360D19" w:rsidRDefault="00703023">
            <w:pPr>
              <w:spacing w:after="120"/>
              <w:jc w:val="both"/>
              <w:rPr>
                <w:szCs w:val="24"/>
                <w:lang w:val="en-US"/>
              </w:rPr>
            </w:pPr>
            <w:r w:rsidRPr="00360D19">
              <w:rPr>
                <w:lang w:val="en-US"/>
              </w:rPr>
              <w:t>Via Facebook</w:t>
            </w:r>
          </w:p>
          <w:p w:rsidR="000215C5" w:rsidRPr="00360D19" w:rsidRDefault="00703023">
            <w:pPr>
              <w:spacing w:after="120"/>
              <w:jc w:val="both"/>
              <w:rPr>
                <w:szCs w:val="24"/>
                <w:lang w:val="en-US"/>
              </w:rPr>
            </w:pPr>
            <w:r w:rsidRPr="00360D19">
              <w:rPr>
                <w:lang w:val="en-US"/>
              </w:rPr>
              <w:t>Via other social networking</w:t>
            </w:r>
          </w:p>
          <w:p w:rsidR="000215C5" w:rsidRPr="00360D19" w:rsidRDefault="00703023">
            <w:pPr>
              <w:spacing w:after="120"/>
              <w:jc w:val="both"/>
              <w:rPr>
                <w:szCs w:val="24"/>
                <w:lang w:val="en-US"/>
              </w:rPr>
            </w:pPr>
            <w:r w:rsidRPr="00360D19">
              <w:rPr>
                <w:lang w:val="en-US"/>
              </w:rPr>
              <w:t>Direct invitation</w:t>
            </w:r>
          </w:p>
          <w:p w:rsidR="000215C5" w:rsidRPr="00360D19" w:rsidRDefault="00703023">
            <w:pPr>
              <w:spacing w:after="120"/>
              <w:jc w:val="both"/>
              <w:rPr>
                <w:szCs w:val="24"/>
                <w:lang w:val="en-US"/>
              </w:rPr>
            </w:pPr>
            <w:r w:rsidRPr="00360D19">
              <w:rPr>
                <w:lang w:val="en-US"/>
              </w:rPr>
              <w:t>Exhibitions</w:t>
            </w:r>
          </w:p>
          <w:p w:rsidR="000215C5" w:rsidRPr="00360D19" w:rsidRDefault="00703023">
            <w:pPr>
              <w:spacing w:after="120"/>
              <w:jc w:val="both"/>
              <w:rPr>
                <w:szCs w:val="24"/>
                <w:lang w:val="en-US"/>
              </w:rPr>
            </w:pPr>
            <w:r w:rsidRPr="00360D19">
              <w:rPr>
                <w:lang w:val="en-US"/>
              </w:rPr>
              <w:t>Other outreach methods (e.g. game shows, board games, web-based material for schools)</w:t>
            </w:r>
          </w:p>
          <w:p w:rsidR="000215C5" w:rsidRPr="00FD78F1" w:rsidRDefault="00703023">
            <w:pPr>
              <w:spacing w:after="120"/>
              <w:jc w:val="both"/>
              <w:rPr>
                <w:szCs w:val="24"/>
                <w:lang w:val="en-GB"/>
              </w:rPr>
            </w:pPr>
            <w:r w:rsidRPr="00FD78F1">
              <w:rPr>
                <w:lang w:val="en-GB"/>
              </w:rPr>
              <w:t>Telephone surveys</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lang w:val="en-GB"/>
              </w:rPr>
              <w:t>Direct involvement in drafting RBMP</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Välj det eller de verktyg som använts för att genomföra det offentliga samrådet om utkastet till förvaltningsplan från uppräkningslistan. Fler än ett verktyg kan väljas. Om ”Other” väljs, ange den eller de frågor som behandlas i rbmpConsultationOther.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rbmpConsultationOther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”Other” väljs från uppräkningslistan under rbmpConsultation, ange det eller de verktyg som använts.</w:t>
            </w:r>
          </w:p>
          <w:p w:rsidR="000215C5" w:rsidRDefault="00703023">
            <w:pPr>
              <w:spacing w:after="120"/>
              <w:jc w:val="both"/>
              <w:rPr>
                <w:b/>
                <w:szCs w:val="24"/>
              </w:rPr>
            </w:pPr>
            <w:r>
              <w:rPr>
                <w:b/>
              </w:rPr>
              <w:t>Kvalitetskontroller</w:t>
            </w:r>
            <w:r>
              <w:t>: Villkorlig kontroll: Rapportera om rbmpConsultation är ”Other”.</w:t>
            </w:r>
          </w:p>
        </w:tc>
      </w:tr>
      <w:tr w:rsidR="000215C5">
        <w:tc>
          <w:tcPr>
            <w:tcW w:w="9853" w:type="dxa"/>
            <w:shd w:val="clear" w:color="auto" w:fill="auto"/>
          </w:tcPr>
          <w:p w:rsidR="000215C5" w:rsidRDefault="00703023">
            <w:pPr>
              <w:spacing w:after="120"/>
              <w:jc w:val="both"/>
            </w:pPr>
            <w:r>
              <w:rPr>
                <w:b/>
              </w:rPr>
              <w:t>Mallpost</w:t>
            </w:r>
            <w:r>
              <w:t>:</w:t>
            </w:r>
            <w:r>
              <w:rPr>
                <w:b/>
              </w:rPr>
              <w:t xml:space="preserve"> </w:t>
            </w:r>
            <w:r>
              <w:t xml:space="preserve">documentProvision </w:t>
            </w:r>
          </w:p>
          <w:p w:rsidR="000215C5" w:rsidRDefault="00703023">
            <w:pPr>
              <w:spacing w:after="120"/>
              <w:jc w:val="both"/>
            </w:pPr>
            <w:r>
              <w:rPr>
                <w:b/>
              </w:rPr>
              <w:t xml:space="preserve">Fälttyp/alternativ: </w:t>
            </w:r>
            <w:r>
              <w:t>DocumentProvision_Enum:</w:t>
            </w:r>
          </w:p>
          <w:p w:rsidR="000215C5" w:rsidRDefault="00703023">
            <w:pPr>
              <w:spacing w:after="120"/>
              <w:jc w:val="both"/>
              <w:rPr>
                <w:szCs w:val="24"/>
              </w:rPr>
            </w:pPr>
            <w:r>
              <w:t>Downloadable</w:t>
            </w:r>
          </w:p>
          <w:p w:rsidR="000215C5" w:rsidRDefault="00703023">
            <w:pPr>
              <w:spacing w:after="120"/>
              <w:jc w:val="both"/>
              <w:rPr>
                <w:szCs w:val="24"/>
              </w:rPr>
            </w:pPr>
            <w:r>
              <w:t>Direct mailing (e-mail)</w:t>
            </w:r>
          </w:p>
          <w:p w:rsidR="000215C5" w:rsidRPr="00FD78F1" w:rsidRDefault="00703023">
            <w:pPr>
              <w:spacing w:after="120"/>
              <w:jc w:val="both"/>
              <w:rPr>
                <w:szCs w:val="24"/>
                <w:lang w:val="en-GB"/>
              </w:rPr>
            </w:pPr>
            <w:r w:rsidRPr="00FD78F1">
              <w:rPr>
                <w:lang w:val="en-GB"/>
              </w:rPr>
              <w:t>Direct mailing (post)</w:t>
            </w:r>
          </w:p>
          <w:p w:rsidR="000215C5" w:rsidRPr="00FD78F1" w:rsidRDefault="00703023">
            <w:pPr>
              <w:spacing w:after="120"/>
              <w:jc w:val="both"/>
              <w:rPr>
                <w:szCs w:val="24"/>
                <w:lang w:val="en-GB"/>
              </w:rPr>
            </w:pPr>
            <w:r w:rsidRPr="00FD78F1">
              <w:rPr>
                <w:lang w:val="en-GB"/>
              </w:rPr>
              <w:t>Paper copies distributed at exhibitions</w:t>
            </w:r>
          </w:p>
          <w:p w:rsidR="000215C5" w:rsidRPr="00FD78F1" w:rsidRDefault="00703023">
            <w:pPr>
              <w:spacing w:after="120"/>
              <w:jc w:val="both"/>
              <w:rPr>
                <w:szCs w:val="24"/>
                <w:lang w:val="en-GB"/>
              </w:rPr>
            </w:pPr>
            <w:r w:rsidRPr="00FD78F1">
              <w:rPr>
                <w:lang w:val="en-GB"/>
              </w:rPr>
              <w:t>Paper copies available in municipal buildings (town hall, library etc.)</w:t>
            </w:r>
          </w:p>
          <w:p w:rsidR="000215C5" w:rsidRPr="00D95552" w:rsidRDefault="00703023">
            <w:pPr>
              <w:spacing w:after="120"/>
              <w:jc w:val="both"/>
              <w:rPr>
                <w:szCs w:val="24"/>
              </w:rPr>
            </w:pPr>
            <w:r w:rsidRPr="00D95552">
              <w:t>Other</w:t>
            </w:r>
          </w:p>
          <w:p w:rsidR="000215C5" w:rsidRPr="00D95552" w:rsidRDefault="00703023">
            <w:pPr>
              <w:spacing w:after="120"/>
              <w:jc w:val="both"/>
              <w:rPr>
                <w:szCs w:val="24"/>
              </w:rPr>
            </w:pPr>
            <w:r w:rsidRPr="00D95552">
              <w:rPr>
                <w:b/>
              </w:rPr>
              <w:t xml:space="preserve">Egenskaper: </w:t>
            </w:r>
            <w:r w:rsidRPr="00D95552">
              <w:t>maxOccurs = unbounded minOccurs = 1</w:t>
            </w:r>
          </w:p>
          <w:p w:rsidR="000215C5" w:rsidRDefault="00703023">
            <w:pPr>
              <w:spacing w:after="120"/>
              <w:jc w:val="both"/>
              <w:rPr>
                <w:szCs w:val="24"/>
              </w:rPr>
            </w:pPr>
            <w:r>
              <w:rPr>
                <w:b/>
              </w:rPr>
              <w:t>Vägledning om hur man fyller i mallposten</w:t>
            </w:r>
            <w:r>
              <w:t>: Krävs. Välj den eller de metoder som har använts för att förse allmänheten och berörda parter med samrådsdokument (t.ex. utkastet till förvaltningsplan och bakgrundsdokument) från uppräkningslistan. Fler än en metod kan väljas. Om ”Other” väljs, ange den eller de metoder som har använts i documentProvisionOther.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documentProvisionOther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”Other” väljs från uppräkningslistan under documentProvision, ange den eller de metoder som använts.</w:t>
            </w:r>
          </w:p>
          <w:p w:rsidR="000215C5" w:rsidRDefault="00703023">
            <w:pPr>
              <w:spacing w:after="120"/>
              <w:jc w:val="both"/>
              <w:rPr>
                <w:b/>
                <w:szCs w:val="24"/>
              </w:rPr>
            </w:pPr>
            <w:r>
              <w:rPr>
                <w:b/>
              </w:rPr>
              <w:t>Kvalitetskontroller</w:t>
            </w:r>
            <w:r>
              <w:t>: Kvalitetskontroller: Villkorlig kontroll: Rapportera om documentProvision är ”Other”.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documentAvailability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samrådsdokumenten (t.ex. utkastet till förvaltningsplan och bakgrundsdokument) fanns tillgängliga för återkoppling under sex månader.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ongoingStakeholderInvolvement</w:t>
            </w:r>
          </w:p>
          <w:p w:rsidR="000215C5" w:rsidRDefault="00703023">
            <w:pPr>
              <w:spacing w:after="120"/>
              <w:jc w:val="both"/>
              <w:rPr>
                <w:szCs w:val="24"/>
              </w:rPr>
            </w:pPr>
            <w:r>
              <w:rPr>
                <w:b/>
              </w:rPr>
              <w:t xml:space="preserve">Fälttyp/alternativ: </w:t>
            </w:r>
            <w:r>
              <w:t>OngoingStakeholderInvolvement_Enum:</w:t>
            </w:r>
          </w:p>
          <w:p w:rsidR="000215C5" w:rsidRPr="00D95552" w:rsidRDefault="00703023">
            <w:pPr>
              <w:spacing w:after="120"/>
              <w:jc w:val="both"/>
              <w:rPr>
                <w:szCs w:val="24"/>
                <w:lang w:val="en-GB"/>
              </w:rPr>
            </w:pPr>
            <w:r w:rsidRPr="00D95552">
              <w:rPr>
                <w:lang w:val="en-GB"/>
              </w:rPr>
              <w:t>Regular exhibitions</w:t>
            </w:r>
          </w:p>
          <w:p w:rsidR="000215C5" w:rsidRPr="00FD78F1" w:rsidRDefault="00703023">
            <w:pPr>
              <w:spacing w:after="120"/>
              <w:jc w:val="both"/>
              <w:rPr>
                <w:szCs w:val="24"/>
                <w:lang w:val="en-GB"/>
              </w:rPr>
            </w:pPr>
            <w:r w:rsidRPr="00FD78F1">
              <w:rPr>
                <w:lang w:val="en-GB"/>
              </w:rPr>
              <w:t>Establishment of advisory groups</w:t>
            </w:r>
          </w:p>
          <w:p w:rsidR="000215C5" w:rsidRPr="00FD78F1" w:rsidRDefault="00703023">
            <w:pPr>
              <w:spacing w:after="120"/>
              <w:jc w:val="both"/>
              <w:rPr>
                <w:szCs w:val="24"/>
                <w:lang w:val="en-GB"/>
              </w:rPr>
            </w:pPr>
            <w:r w:rsidRPr="00FD78F1">
              <w:rPr>
                <w:lang w:val="en-GB"/>
              </w:rPr>
              <w:t>Involvement in drafting</w:t>
            </w:r>
          </w:p>
          <w:p w:rsidR="000215C5" w:rsidRPr="00FD78F1" w:rsidRDefault="00703023">
            <w:pPr>
              <w:spacing w:after="120"/>
              <w:jc w:val="both"/>
              <w:rPr>
                <w:szCs w:val="24"/>
                <w:lang w:val="en-GB"/>
              </w:rPr>
            </w:pPr>
            <w:r w:rsidRPr="00FD78F1">
              <w:rPr>
                <w:lang w:val="en-GB"/>
              </w:rPr>
              <w:t>Other outreach activities</w:t>
            </w:r>
          </w:p>
          <w:p w:rsidR="000215C5" w:rsidRPr="00FD78F1" w:rsidRDefault="00703023">
            <w:pPr>
              <w:spacing w:after="120"/>
              <w:jc w:val="both"/>
              <w:rPr>
                <w:szCs w:val="24"/>
                <w:lang w:val="en-GB"/>
              </w:rPr>
            </w:pPr>
            <w:r w:rsidRPr="00FD78F1">
              <w:rPr>
                <w:lang w:val="en-GB"/>
              </w:rPr>
              <w:t>Formation of alliances</w:t>
            </w:r>
          </w:p>
          <w:p w:rsidR="000215C5" w:rsidRPr="00FD78F1" w:rsidRDefault="00703023">
            <w:pPr>
              <w:spacing w:after="120"/>
              <w:jc w:val="both"/>
              <w:rPr>
                <w:szCs w:val="24"/>
                <w:lang w:val="en-GB"/>
              </w:rPr>
            </w:pPr>
            <w:r w:rsidRPr="00FD78F1">
              <w:rPr>
                <w:lang w:val="en-GB"/>
              </w:rPr>
              <w:t>Other</w:t>
            </w:r>
          </w:p>
          <w:p w:rsidR="000215C5" w:rsidRPr="00FD78F1" w:rsidRDefault="00703023">
            <w:pPr>
              <w:spacing w:after="120"/>
              <w:jc w:val="both"/>
              <w:rPr>
                <w:szCs w:val="24"/>
                <w:lang w:val="en-GB"/>
              </w:rPr>
            </w:pPr>
            <w:r w:rsidRPr="00FD78F1">
              <w:rPr>
                <w:b/>
                <w:lang w:val="en-GB"/>
              </w:rPr>
              <w:t xml:space="preserve">Egenskaper: </w:t>
            </w:r>
            <w:r w:rsidRPr="00FD78F1">
              <w:rPr>
                <w:lang w:val="en-GB"/>
              </w:rPr>
              <w:t>maxOccurs = unbounded minOccurs = 1</w:t>
            </w:r>
          </w:p>
          <w:p w:rsidR="000215C5" w:rsidRDefault="00703023">
            <w:pPr>
              <w:spacing w:after="120"/>
              <w:jc w:val="both"/>
              <w:rPr>
                <w:szCs w:val="24"/>
              </w:rPr>
            </w:pPr>
            <w:r>
              <w:rPr>
                <w:b/>
              </w:rPr>
              <w:t>Vägledning om hur man fyller i mallposten</w:t>
            </w:r>
            <w:r>
              <w:t>: Krävs. Välj det eller de verktyg som använts för att främja ett fortsatt aktivt deltagande för intressenterna i genomförandet av vattendirektivet från uppräkningslistan. Fler än ett verktyg kan väljas. Om ”Other outreach activities” väljs, ange den eller de utåtriktade verksamheter som genomförts i ongoingStakeholderInvolvementOtherOutreach. Om ”Other” väljs, ange den eller de metoder som har använts i ongoingStakeholderInvolvementOther.</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ongoingStakeholderInvolvementOtherOutreach</w:t>
            </w:r>
          </w:p>
          <w:p w:rsidR="000215C5" w:rsidRPr="00D95552" w:rsidRDefault="00703023">
            <w:pPr>
              <w:spacing w:after="120"/>
              <w:jc w:val="both"/>
              <w:rPr>
                <w:szCs w:val="24"/>
              </w:rPr>
            </w:pPr>
            <w:r w:rsidRPr="00D95552">
              <w:rPr>
                <w:b/>
              </w:rPr>
              <w:t xml:space="preserve">Fälttyp/alternativ: </w:t>
            </w:r>
            <w:r w:rsidRPr="00D95552">
              <w:t>String1000Type</w:t>
            </w:r>
          </w:p>
          <w:p w:rsidR="000215C5" w:rsidRPr="00D95552" w:rsidRDefault="00703023">
            <w:pPr>
              <w:spacing w:after="120"/>
              <w:jc w:val="both"/>
              <w:rPr>
                <w:szCs w:val="24"/>
              </w:rPr>
            </w:pPr>
            <w:r w:rsidRPr="00D95552">
              <w:rPr>
                <w:b/>
              </w:rPr>
              <w:t xml:space="preserve">Egenskaper: </w:t>
            </w:r>
            <w:r w:rsidRPr="00D95552">
              <w:t>maxOccurs = 1 minOccurs = 0</w:t>
            </w:r>
          </w:p>
          <w:p w:rsidR="000215C5" w:rsidRDefault="00703023">
            <w:pPr>
              <w:spacing w:after="120"/>
              <w:jc w:val="both"/>
              <w:rPr>
                <w:szCs w:val="24"/>
              </w:rPr>
            </w:pPr>
            <w:r>
              <w:rPr>
                <w:b/>
              </w:rPr>
              <w:t>Vägledning om hur man fyller i mallposten</w:t>
            </w:r>
            <w:r>
              <w:t>: Villkorlig. Om ”Other outreach activities” väljs från uppräkningslistan under ongoingStakeholderInvolvement, ange den eller de utåtriktade verksamheter som genomförts.</w:t>
            </w:r>
          </w:p>
          <w:p w:rsidR="000215C5" w:rsidRDefault="00703023">
            <w:pPr>
              <w:spacing w:after="120"/>
              <w:jc w:val="both"/>
              <w:rPr>
                <w:b/>
                <w:szCs w:val="24"/>
              </w:rPr>
            </w:pPr>
            <w:r>
              <w:rPr>
                <w:b/>
              </w:rPr>
              <w:t>Kvalitetskontroller</w:t>
            </w:r>
            <w:r>
              <w:t>: Villkorlig kontroll: Rapportera om ongoingStakeholderInvolvement är ”Other outreach activities”.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ongoingStakeholderInvolvementOther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”Other” väljs från uppräkningslistan under ongoingStakeholderInvolvement, ange det eller de verktyg som använts.</w:t>
            </w:r>
          </w:p>
          <w:p w:rsidR="000215C5" w:rsidRDefault="00703023">
            <w:pPr>
              <w:spacing w:after="120"/>
              <w:jc w:val="both"/>
              <w:rPr>
                <w:b/>
                <w:szCs w:val="24"/>
              </w:rPr>
            </w:pPr>
            <w:r>
              <w:rPr>
                <w:b/>
              </w:rPr>
              <w:t>Kvalitetskontroller</w:t>
            </w:r>
            <w:r>
              <w:t>: Villkorlig kontroll: Rapportera om ongoingStakeholderInvolvement är ”Other”.</w:t>
            </w:r>
          </w:p>
        </w:tc>
      </w:tr>
      <w:tr w:rsidR="000215C5">
        <w:tc>
          <w:tcPr>
            <w:tcW w:w="9853" w:type="dxa"/>
            <w:shd w:val="clear" w:color="auto" w:fill="auto"/>
          </w:tcPr>
          <w:p w:rsidR="000215C5" w:rsidRPr="00D95552" w:rsidRDefault="00703023">
            <w:pPr>
              <w:spacing w:after="120"/>
              <w:jc w:val="both"/>
              <w:rPr>
                <w:b/>
                <w:szCs w:val="24"/>
                <w:lang w:val="en-GB"/>
              </w:rPr>
            </w:pPr>
            <w:r w:rsidRPr="00D95552">
              <w:rPr>
                <w:b/>
                <w:lang w:val="en-GB"/>
              </w:rPr>
              <w:t>Mallpost</w:t>
            </w:r>
            <w:r w:rsidRPr="00D95552">
              <w:rPr>
                <w:lang w:val="en-GB"/>
              </w:rPr>
              <w:t>:</w:t>
            </w:r>
            <w:r w:rsidRPr="00D95552">
              <w:rPr>
                <w:b/>
                <w:lang w:val="en-GB"/>
              </w:rPr>
              <w:t xml:space="preserve"> </w:t>
            </w:r>
            <w:r w:rsidRPr="00D95552">
              <w:rPr>
                <w:lang w:val="en-GB"/>
              </w:rPr>
              <w:t>stakeholderGroups</w:t>
            </w:r>
          </w:p>
          <w:p w:rsidR="000215C5" w:rsidRPr="00D95552" w:rsidRDefault="00703023">
            <w:pPr>
              <w:spacing w:after="120"/>
              <w:jc w:val="both"/>
              <w:rPr>
                <w:szCs w:val="24"/>
                <w:lang w:val="en-GB"/>
              </w:rPr>
            </w:pPr>
            <w:r w:rsidRPr="00D95552">
              <w:rPr>
                <w:b/>
                <w:lang w:val="en-GB"/>
              </w:rPr>
              <w:t xml:space="preserve">Fälttyp/alternativ: </w:t>
            </w:r>
            <w:r w:rsidRPr="00D95552">
              <w:rPr>
                <w:lang w:val="en-GB"/>
              </w:rPr>
              <w:t>StakeholderGroups_Enum:</w:t>
            </w:r>
          </w:p>
          <w:p w:rsidR="000215C5" w:rsidRPr="00FD78F1" w:rsidRDefault="00703023">
            <w:pPr>
              <w:spacing w:after="120"/>
              <w:jc w:val="both"/>
              <w:rPr>
                <w:szCs w:val="24"/>
                <w:lang w:val="en-GB"/>
              </w:rPr>
            </w:pPr>
            <w:r w:rsidRPr="00FD78F1">
              <w:rPr>
                <w:lang w:val="en-GB"/>
              </w:rPr>
              <w:t>Water supply and sanitation</w:t>
            </w:r>
          </w:p>
          <w:p w:rsidR="000215C5" w:rsidRPr="00FD78F1" w:rsidRDefault="00703023">
            <w:pPr>
              <w:spacing w:after="120"/>
              <w:jc w:val="both"/>
              <w:rPr>
                <w:szCs w:val="24"/>
                <w:lang w:val="en-GB"/>
              </w:rPr>
            </w:pPr>
            <w:r w:rsidRPr="00FD78F1">
              <w:rPr>
                <w:lang w:val="en-GB"/>
              </w:rPr>
              <w:t>Agriculture / farmers</w:t>
            </w:r>
          </w:p>
          <w:p w:rsidR="000215C5" w:rsidRPr="00FD78F1" w:rsidRDefault="00703023">
            <w:pPr>
              <w:spacing w:after="120"/>
              <w:jc w:val="both"/>
              <w:rPr>
                <w:szCs w:val="24"/>
                <w:lang w:val="en-GB"/>
              </w:rPr>
            </w:pPr>
            <w:r w:rsidRPr="00FD78F1">
              <w:rPr>
                <w:lang w:val="en-GB"/>
              </w:rPr>
              <w:t>Energy / hydropower</w:t>
            </w:r>
          </w:p>
          <w:p w:rsidR="000215C5" w:rsidRPr="00FD78F1" w:rsidRDefault="00703023">
            <w:pPr>
              <w:spacing w:after="120"/>
              <w:jc w:val="both"/>
              <w:rPr>
                <w:szCs w:val="24"/>
                <w:lang w:val="en-GB"/>
              </w:rPr>
            </w:pPr>
            <w:r w:rsidRPr="00FD78F1">
              <w:rPr>
                <w:lang w:val="en-GB"/>
              </w:rPr>
              <w:t>Navigation / ports</w:t>
            </w:r>
          </w:p>
          <w:p w:rsidR="000215C5" w:rsidRPr="00FD78F1" w:rsidRDefault="00703023">
            <w:pPr>
              <w:spacing w:after="120"/>
              <w:jc w:val="both"/>
              <w:rPr>
                <w:szCs w:val="24"/>
                <w:lang w:val="en-GB"/>
              </w:rPr>
            </w:pPr>
            <w:r w:rsidRPr="00FD78F1">
              <w:rPr>
                <w:lang w:val="en-GB"/>
              </w:rPr>
              <w:t>Fisheries / aquaculture</w:t>
            </w:r>
          </w:p>
          <w:p w:rsidR="000215C5" w:rsidRPr="00FD78F1" w:rsidRDefault="00703023">
            <w:pPr>
              <w:spacing w:after="120"/>
              <w:jc w:val="both"/>
              <w:rPr>
                <w:szCs w:val="24"/>
                <w:lang w:val="en-GB"/>
              </w:rPr>
            </w:pPr>
            <w:r w:rsidRPr="00FD78F1">
              <w:rPr>
                <w:lang w:val="en-GB"/>
              </w:rPr>
              <w:t>Industry</w:t>
            </w:r>
          </w:p>
          <w:p w:rsidR="000215C5" w:rsidRPr="00FD78F1" w:rsidRDefault="00703023">
            <w:pPr>
              <w:spacing w:after="120"/>
              <w:jc w:val="both"/>
              <w:rPr>
                <w:szCs w:val="24"/>
                <w:lang w:val="en-GB"/>
              </w:rPr>
            </w:pPr>
            <w:r w:rsidRPr="00FD78F1">
              <w:rPr>
                <w:lang w:val="en-GB"/>
              </w:rPr>
              <w:t>NGOs / nature protection</w:t>
            </w:r>
          </w:p>
          <w:p w:rsidR="000215C5" w:rsidRPr="00FD78F1" w:rsidRDefault="00703023">
            <w:pPr>
              <w:spacing w:after="120"/>
              <w:jc w:val="both"/>
              <w:rPr>
                <w:szCs w:val="24"/>
                <w:lang w:val="en-GB"/>
              </w:rPr>
            </w:pPr>
            <w:r w:rsidRPr="00FD78F1">
              <w:rPr>
                <w:lang w:val="en-GB"/>
              </w:rPr>
              <w:t>Consumer groups</w:t>
            </w:r>
          </w:p>
          <w:p w:rsidR="000215C5" w:rsidRPr="00FD78F1" w:rsidRDefault="00703023">
            <w:pPr>
              <w:spacing w:after="120"/>
              <w:jc w:val="both"/>
              <w:rPr>
                <w:szCs w:val="24"/>
                <w:lang w:val="en-GB"/>
              </w:rPr>
            </w:pPr>
            <w:r w:rsidRPr="00FD78F1">
              <w:rPr>
                <w:lang w:val="en-GB"/>
              </w:rPr>
              <w:t>Local / regional authorities</w:t>
            </w:r>
          </w:p>
          <w:p w:rsidR="000215C5" w:rsidRPr="00FD78F1" w:rsidRDefault="00703023">
            <w:pPr>
              <w:spacing w:after="120"/>
              <w:jc w:val="both"/>
              <w:rPr>
                <w:szCs w:val="24"/>
                <w:lang w:val="en-GB"/>
              </w:rPr>
            </w:pPr>
            <w:r w:rsidRPr="00FD78F1">
              <w:rPr>
                <w:lang w:val="en-GB"/>
              </w:rPr>
              <w:t>Other</w:t>
            </w:r>
          </w:p>
          <w:p w:rsidR="000215C5" w:rsidRPr="00D95552" w:rsidRDefault="00703023">
            <w:pPr>
              <w:spacing w:after="120"/>
              <w:jc w:val="both"/>
              <w:rPr>
                <w:szCs w:val="24"/>
              </w:rPr>
            </w:pPr>
            <w:r w:rsidRPr="00D95552">
              <w:rPr>
                <w:b/>
              </w:rPr>
              <w:t>Egenskaper</w:t>
            </w:r>
            <w:r w:rsidRPr="00D95552">
              <w:t>: maxOccurs = unbounded minOccurs = 1</w:t>
            </w:r>
          </w:p>
          <w:p w:rsidR="000215C5" w:rsidRDefault="00703023">
            <w:pPr>
              <w:spacing w:after="120"/>
              <w:jc w:val="both"/>
              <w:rPr>
                <w:szCs w:val="24"/>
              </w:rPr>
            </w:pPr>
            <w:r>
              <w:rPr>
                <w:b/>
              </w:rPr>
              <w:t>Vägledning om hur man fyller i mallposten</w:t>
            </w:r>
            <w:r>
              <w:t>: Krävs. Välj de intressentgrupper som aktivt har deltagit i utformningen av förvaltningsplanen från uppräkningslistan. Fler än en intressentgrupp kan väljas. Om ”Other” väljs, ange intressentgrupperna i stakeholderGroupsOther.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stakeholderGroupsOther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kontroll: Rapportera om stakeholderGroups är ”Other”.</w:t>
            </w:r>
          </w:p>
          <w:p w:rsidR="000215C5" w:rsidRDefault="00703023">
            <w:pPr>
              <w:spacing w:after="120"/>
              <w:jc w:val="both"/>
              <w:rPr>
                <w:b/>
                <w:szCs w:val="24"/>
              </w:rPr>
            </w:pPr>
            <w:r>
              <w:rPr>
                <w:b/>
              </w:rPr>
              <w:t>Kvalitetskontroller</w:t>
            </w:r>
            <w:r>
              <w:t>: Villkorlig kontroll: Rapportera om stakeholderGroups är ”Other”.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impactPublicParticipation</w:t>
            </w:r>
          </w:p>
          <w:p w:rsidR="000215C5" w:rsidRDefault="00703023">
            <w:pPr>
              <w:spacing w:after="120"/>
              <w:jc w:val="both"/>
              <w:rPr>
                <w:szCs w:val="24"/>
              </w:rPr>
            </w:pPr>
            <w:r>
              <w:rPr>
                <w:b/>
              </w:rPr>
              <w:t xml:space="preserve">Fälttyp/alternativ: </w:t>
            </w:r>
            <w:r>
              <w:t>ImpactPublicParticipation_Enum:</w:t>
            </w:r>
          </w:p>
          <w:p w:rsidR="000215C5" w:rsidRPr="00FD78F1" w:rsidRDefault="00703023">
            <w:pPr>
              <w:spacing w:after="120"/>
              <w:jc w:val="both"/>
              <w:rPr>
                <w:szCs w:val="24"/>
                <w:lang w:val="en-GB"/>
              </w:rPr>
            </w:pPr>
            <w:r w:rsidRPr="00FD78F1">
              <w:rPr>
                <w:lang w:val="en-GB"/>
              </w:rPr>
              <w:t>Changes to selection of measures</w:t>
            </w:r>
          </w:p>
          <w:p w:rsidR="000215C5" w:rsidRPr="00FD78F1" w:rsidRDefault="00703023">
            <w:pPr>
              <w:spacing w:after="120"/>
              <w:jc w:val="both"/>
              <w:rPr>
                <w:szCs w:val="24"/>
                <w:lang w:val="en-GB"/>
              </w:rPr>
            </w:pPr>
            <w:r w:rsidRPr="00FD78F1">
              <w:rPr>
                <w:lang w:val="en-GB"/>
              </w:rPr>
              <w:t>Adjustment to specific measures</w:t>
            </w:r>
          </w:p>
          <w:p w:rsidR="000215C5" w:rsidRPr="00FD78F1" w:rsidRDefault="00703023">
            <w:pPr>
              <w:spacing w:after="120"/>
              <w:jc w:val="both"/>
              <w:rPr>
                <w:szCs w:val="24"/>
                <w:lang w:val="en-GB"/>
              </w:rPr>
            </w:pPr>
            <w:r w:rsidRPr="00FD78F1">
              <w:rPr>
                <w:lang w:val="en-GB"/>
              </w:rPr>
              <w:t>Addition of new information</w:t>
            </w:r>
          </w:p>
          <w:p w:rsidR="000215C5" w:rsidRPr="00FD78F1" w:rsidRDefault="00703023">
            <w:pPr>
              <w:spacing w:after="120"/>
              <w:jc w:val="both"/>
              <w:rPr>
                <w:szCs w:val="24"/>
                <w:lang w:val="en-GB"/>
              </w:rPr>
            </w:pPr>
            <w:r w:rsidRPr="00FD78F1">
              <w:rPr>
                <w:lang w:val="en-GB"/>
              </w:rPr>
              <w:t>Changes to the methodology used</w:t>
            </w:r>
          </w:p>
          <w:p w:rsidR="000215C5" w:rsidRPr="00FD78F1" w:rsidRDefault="00703023">
            <w:pPr>
              <w:spacing w:after="120"/>
              <w:jc w:val="both"/>
              <w:rPr>
                <w:szCs w:val="24"/>
                <w:lang w:val="en-GB"/>
              </w:rPr>
            </w:pPr>
            <w:r w:rsidRPr="00FD78F1">
              <w:rPr>
                <w:lang w:val="en-GB"/>
              </w:rPr>
              <w:t>Commitment to further research</w:t>
            </w:r>
          </w:p>
          <w:p w:rsidR="000215C5" w:rsidRPr="00FD78F1" w:rsidRDefault="00703023">
            <w:pPr>
              <w:spacing w:after="120"/>
              <w:jc w:val="both"/>
              <w:rPr>
                <w:szCs w:val="24"/>
                <w:lang w:val="en-GB"/>
              </w:rPr>
            </w:pPr>
            <w:r w:rsidRPr="00FD78F1">
              <w:rPr>
                <w:lang w:val="en-GB"/>
              </w:rPr>
              <w:t>Commitment to action in the next RBMP cycle</w:t>
            </w:r>
          </w:p>
          <w:p w:rsidR="000215C5" w:rsidRPr="00D95552" w:rsidRDefault="00703023">
            <w:pPr>
              <w:spacing w:after="120"/>
              <w:jc w:val="both"/>
              <w:rPr>
                <w:szCs w:val="24"/>
              </w:rPr>
            </w:pPr>
            <w:r w:rsidRPr="00D95552">
              <w:t>Other</w:t>
            </w:r>
          </w:p>
          <w:p w:rsidR="000215C5" w:rsidRPr="00D95552" w:rsidRDefault="00703023">
            <w:pPr>
              <w:spacing w:after="120"/>
              <w:jc w:val="both"/>
              <w:rPr>
                <w:szCs w:val="24"/>
              </w:rPr>
            </w:pPr>
            <w:r w:rsidRPr="00D95552">
              <w:rPr>
                <w:b/>
              </w:rPr>
              <w:t xml:space="preserve">Egenskaper: </w:t>
            </w:r>
            <w:r w:rsidRPr="00D95552">
              <w:t>maxOccurs = unbounded minOccurs = 1</w:t>
            </w:r>
          </w:p>
          <w:p w:rsidR="000215C5" w:rsidRDefault="00703023">
            <w:pPr>
              <w:spacing w:after="120"/>
              <w:jc w:val="both"/>
              <w:rPr>
                <w:szCs w:val="24"/>
              </w:rPr>
            </w:pPr>
            <w:r>
              <w:rPr>
                <w:b/>
              </w:rPr>
              <w:t>Vägledning om hur man fyller i mallposten</w:t>
            </w:r>
            <w:r>
              <w:t xml:space="preserve">: Krävs. Välj de resultat som förfarandet för offentligt samråd avseende förvaltningsplanen har gett från uppräkningslistan. Detta rör hela samrådsprocessen avseende förvaltningsplanen, inte bara sexmånaderssamrådet om utkastet till plan. </w:t>
            </w:r>
            <w:r w:rsidR="00A07D35">
              <w:t>Fler än en effekt kan väljas</w:t>
            </w:r>
            <w:r>
              <w:t>. Om ”Other” väljs, ange resultaten i impactPublicParticipationOther.</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impactPublicParticipationOther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”Other” väljs från uppräkningslistan under impactPublicParticipation, ange resultaten.</w:t>
            </w:r>
          </w:p>
          <w:p w:rsidR="000215C5" w:rsidRDefault="00703023">
            <w:pPr>
              <w:spacing w:after="120"/>
              <w:jc w:val="both"/>
              <w:rPr>
                <w:b/>
                <w:szCs w:val="24"/>
              </w:rPr>
            </w:pPr>
            <w:r>
              <w:rPr>
                <w:b/>
              </w:rPr>
              <w:t>Kvalitetskontroller</w:t>
            </w:r>
            <w:r>
              <w:t>: Villkorlig kontroll: Rapportera om impactPublicParticipation är ”Other”.</w:t>
            </w:r>
          </w:p>
        </w:tc>
      </w:tr>
      <w:tr w:rsidR="000215C5">
        <w:tc>
          <w:tcPr>
            <w:tcW w:w="9853" w:type="dxa"/>
            <w:shd w:val="clear" w:color="auto" w:fill="auto"/>
          </w:tcPr>
          <w:p w:rsidR="000215C5" w:rsidRPr="00360D19" w:rsidRDefault="00703023">
            <w:pPr>
              <w:spacing w:after="120"/>
              <w:jc w:val="both"/>
              <w:rPr>
                <w:b/>
                <w:szCs w:val="24"/>
                <w:lang w:val="en-US"/>
              </w:rPr>
            </w:pPr>
            <w:r w:rsidRPr="00360D19">
              <w:rPr>
                <w:b/>
                <w:lang w:val="en-US"/>
              </w:rPr>
              <w:t>Mallpost</w:t>
            </w:r>
            <w:r w:rsidRPr="00360D19">
              <w:rPr>
                <w:lang w:val="en-US"/>
              </w:rPr>
              <w:t>:</w:t>
            </w:r>
            <w:r w:rsidRPr="00360D19">
              <w:rPr>
                <w:b/>
                <w:lang w:val="en-US"/>
              </w:rPr>
              <w:t xml:space="preserve"> </w:t>
            </w:r>
            <w:r w:rsidRPr="00360D19">
              <w:rPr>
                <w:lang w:val="en-US"/>
              </w:rPr>
              <w:t>internationalCoOrdination</w:t>
            </w:r>
          </w:p>
          <w:p w:rsidR="000215C5" w:rsidRPr="00360D19" w:rsidRDefault="00703023">
            <w:pPr>
              <w:spacing w:after="120"/>
              <w:jc w:val="both"/>
              <w:rPr>
                <w:szCs w:val="24"/>
                <w:lang w:val="en-US"/>
              </w:rPr>
            </w:pPr>
            <w:r w:rsidRPr="00360D19">
              <w:rPr>
                <w:b/>
                <w:lang w:val="en-US"/>
              </w:rPr>
              <w:t xml:space="preserve">Fälttyp/alternativ: </w:t>
            </w:r>
            <w:r w:rsidRPr="00360D19">
              <w:rPr>
                <w:lang w:val="en-US"/>
              </w:rPr>
              <w:t>InternationalCoOrdination_Enum:</w:t>
            </w:r>
          </w:p>
          <w:p w:rsidR="000215C5" w:rsidRPr="00360D19" w:rsidRDefault="00703023">
            <w:pPr>
              <w:spacing w:after="120"/>
              <w:jc w:val="both"/>
              <w:rPr>
                <w:szCs w:val="24"/>
                <w:lang w:val="en-US"/>
              </w:rPr>
            </w:pPr>
            <w:r w:rsidRPr="00360D19">
              <w:rPr>
                <w:lang w:val="en-US"/>
              </w:rPr>
              <w:t>Category 1: International agreement, permanent co-operation body and international RBMP in place.</w:t>
            </w:r>
          </w:p>
          <w:p w:rsidR="000215C5" w:rsidRPr="00FD78F1" w:rsidRDefault="00703023">
            <w:pPr>
              <w:spacing w:after="120"/>
              <w:jc w:val="both"/>
              <w:rPr>
                <w:szCs w:val="24"/>
                <w:lang w:val="en-GB"/>
              </w:rPr>
            </w:pPr>
            <w:r w:rsidRPr="00FD78F1">
              <w:rPr>
                <w:lang w:val="en-GB"/>
              </w:rPr>
              <w:t>Category 2: International agreement and permanent co-operation body in place.</w:t>
            </w:r>
          </w:p>
          <w:p w:rsidR="000215C5" w:rsidRPr="00FD78F1" w:rsidRDefault="00703023">
            <w:pPr>
              <w:spacing w:after="120"/>
              <w:jc w:val="both"/>
              <w:rPr>
                <w:szCs w:val="24"/>
                <w:lang w:val="en-GB"/>
              </w:rPr>
            </w:pPr>
            <w:r w:rsidRPr="00FD78F1">
              <w:rPr>
                <w:lang w:val="en-GB"/>
              </w:rPr>
              <w:t>Category 3: International agreement in place.</w:t>
            </w:r>
          </w:p>
          <w:p w:rsidR="000215C5" w:rsidRPr="00FD78F1" w:rsidRDefault="00703023">
            <w:pPr>
              <w:spacing w:after="120"/>
              <w:jc w:val="both"/>
              <w:rPr>
                <w:szCs w:val="24"/>
                <w:lang w:val="en-GB"/>
              </w:rPr>
            </w:pPr>
            <w:r w:rsidRPr="00FD78F1">
              <w:rPr>
                <w:lang w:val="en-GB"/>
              </w:rPr>
              <w:t>Category 4: No co-operation formalised.</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w:t>
            </w:r>
            <w:r>
              <w:t xml:space="preserve">: Villkorlig. Om avrinningsdistriktet är internationellt, välj typ av internationellt samarbete eller internationella samordningsmekanismer som finns mellan grannmedlemsstaterna från uppräkningslistan. </w:t>
            </w:r>
          </w:p>
          <w:p w:rsidR="000215C5" w:rsidRDefault="00703023">
            <w:pPr>
              <w:spacing w:after="120"/>
              <w:jc w:val="both"/>
              <w:rPr>
                <w:szCs w:val="24"/>
              </w:rPr>
            </w:pPr>
            <w:r>
              <w:t xml:space="preserve">Samordningskategorierna har utvecklats inom ramen för projektet </w:t>
            </w:r>
            <w:r>
              <w:rPr>
                <w:i/>
              </w:rPr>
              <w:t>EC Comparative study of pressures and measures in the major river basin management plans in the EU, Water Governance report</w:t>
            </w:r>
            <w:r>
              <w:rPr>
                <w:rStyle w:val="Fotnotsreferens"/>
              </w:rPr>
              <w:footnoteReference w:id="104"/>
            </w:r>
            <w:r>
              <w:t xml:space="preserve">.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internationalCoOrdinationPublicParticipation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avrinningsdistriktet är internationellt, ange om allmänhetens deltagande och aktivt deltagande av berörda parter har samordnats på internationell nivå.</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53" w:type="dxa"/>
            <w:shd w:val="clear" w:color="auto" w:fill="auto"/>
          </w:tcPr>
          <w:p w:rsidR="000215C5" w:rsidRDefault="00703023">
            <w:pPr>
              <w:spacing w:after="120"/>
              <w:jc w:val="both"/>
              <w:rPr>
                <w:b/>
                <w:szCs w:val="24"/>
              </w:rPr>
            </w:pPr>
            <w:r>
              <w:rPr>
                <w:b/>
              </w:rPr>
              <w:t xml:space="preserve">Mallpost: </w:t>
            </w:r>
            <w:r>
              <w:t>publicParticipationReference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 xml:space="preserve">Vägledning om hur man fyller i mallposten: </w:t>
            </w:r>
            <w:r>
              <w:t xml:space="preserve">Krävs. Ange hänvisningar eller hyperlänkar till de dokument och avsnitt som innehåller relevant information om allmänhetens deltagande och hur effektivt det varit, inklusive information om internationell samordning (i förekommande fall). </w:t>
            </w:r>
          </w:p>
        </w:tc>
      </w:tr>
      <w:tr w:rsidR="000215C5">
        <w:tc>
          <w:tcPr>
            <w:tcW w:w="9853" w:type="dxa"/>
            <w:shd w:val="clear" w:color="auto" w:fill="auto"/>
          </w:tcPr>
          <w:p w:rsidR="000215C5" w:rsidRDefault="00703023">
            <w:pPr>
              <w:spacing w:after="120"/>
              <w:jc w:val="both"/>
              <w:rPr>
                <w:b/>
                <w:szCs w:val="24"/>
              </w:rPr>
            </w:pPr>
            <w:r>
              <w:rPr>
                <w:b/>
              </w:rPr>
              <w:t xml:space="preserve">Mallpost: </w:t>
            </w:r>
            <w:r>
              <w:t>consultationResponsesReference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 xml:space="preserve">Vägledning om hur man fyller i mallposten: </w:t>
            </w:r>
            <w:r>
              <w:t xml:space="preserve">Krävs. Ange hänvisningar eller hyperlänkar till de dokument och avsnitt som innehåller relevant information om svaren på det offentliga samrådet om förvaltningsplanen.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integrationFloodsDirective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förvaltningsplanerna och riskhanteringsplanerna för översvämningar enligt direktivet om översvämningar har integrerats i en enda plan.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coOrdinationFloodsDirective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ett gemensamt samråd genomfördes om förvaltningsplanerna och riskhanteringsplanerna för översvämningar. </w:t>
            </w:r>
          </w:p>
        </w:tc>
      </w:tr>
      <w:tr w:rsidR="000215C5">
        <w:tc>
          <w:tcPr>
            <w:tcW w:w="9853" w:type="dxa"/>
            <w:shd w:val="clear" w:color="auto" w:fill="auto"/>
          </w:tcPr>
          <w:p w:rsidR="000215C5" w:rsidRDefault="00703023">
            <w:pPr>
              <w:spacing w:after="120"/>
              <w:jc w:val="both"/>
              <w:rPr>
                <w:b/>
                <w:szCs w:val="24"/>
              </w:rPr>
            </w:pPr>
            <w:r>
              <w:rPr>
                <w:b/>
              </w:rPr>
              <w:t xml:space="preserve">Mallpost: </w:t>
            </w:r>
            <w:r>
              <w:t>fdCoordinationReference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 xml:space="preserve">Vägledning om hur man fyller i mallposten: </w:t>
            </w:r>
            <w:r>
              <w:t xml:space="preserve">Krävs. Ange hänvisningar eller hyperlänkar till de dokument och avsnitt som innehåller relevant information om samordningen av förvaltningsplanerna och genomförandet av direktivet om översvämningar.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coOrdinationMSFD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w:t>
            </w:r>
            <w:r>
              <w:t xml:space="preserve">: Krävs. Ange om ett gemensamt samråd genomfördes om förvaltningsplanerna och den marina strategin. </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 xml:space="preserve">Mallpost: </w:t>
            </w:r>
            <w:r>
              <w:t>msfdCoordinationReference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b/>
                <w:szCs w:val="24"/>
              </w:rPr>
            </w:pPr>
            <w:r>
              <w:rPr>
                <w:b/>
              </w:rPr>
              <w:t xml:space="preserve">Vägledning om hur man fyller i mallposten: </w:t>
            </w:r>
            <w:r>
              <w:t xml:space="preserve">Krävs. Ange hänvisningar eller hyperlänkar till de dokument och avsnitt som innehåller relevant information om samordningen av förvaltningsplanerna och genomförandet av ramdirektivet om en marin strategi. </w:t>
            </w:r>
          </w:p>
        </w:tc>
      </w:tr>
    </w:tbl>
    <w:p w:rsidR="000215C5" w:rsidRDefault="000215C5">
      <w:pPr>
        <w:jc w:val="both"/>
      </w:pPr>
    </w:p>
    <w:p w:rsidR="000215C5" w:rsidRDefault="00703023">
      <w:pPr>
        <w:pStyle w:val="Rubrik2"/>
        <w:jc w:val="both"/>
      </w:pPr>
      <w:bookmarkStart w:id="659" w:name="_Toc400669564"/>
      <w:bookmarkStart w:id="660" w:name="_Toc400670030"/>
      <w:bookmarkStart w:id="661" w:name="_Toc400670368"/>
      <w:bookmarkStart w:id="662" w:name="_Toc400670702"/>
      <w:bookmarkStart w:id="663" w:name="_Toc400671010"/>
      <w:bookmarkStart w:id="664" w:name="_Toc400671314"/>
      <w:bookmarkStart w:id="665" w:name="_Toc400671619"/>
      <w:bookmarkStart w:id="666" w:name="_Toc400671913"/>
      <w:bookmarkStart w:id="667" w:name="_Toc400720379"/>
      <w:bookmarkStart w:id="668" w:name="_Ref386463381"/>
      <w:bookmarkStart w:id="669" w:name="_Toc386464251"/>
      <w:bookmarkStart w:id="670" w:name="_Toc388280337"/>
      <w:bookmarkStart w:id="671" w:name="_Toc425522079"/>
      <w:bookmarkStart w:id="672" w:name="_Toc432666091"/>
      <w:bookmarkStart w:id="673" w:name="_Toc437520287"/>
      <w:bookmarkEnd w:id="659"/>
      <w:bookmarkEnd w:id="660"/>
      <w:bookmarkEnd w:id="661"/>
      <w:bookmarkEnd w:id="662"/>
      <w:bookmarkEnd w:id="663"/>
      <w:bookmarkEnd w:id="664"/>
      <w:bookmarkEnd w:id="665"/>
      <w:bookmarkEnd w:id="666"/>
      <w:bookmarkEnd w:id="667"/>
      <w:r>
        <w:t>Tillförsel av förorenande ämnen till ytvatten (och grundvatten), inklusive register över utsläpp och spill av ämnen som förtecknas i bilaga I till MKN-direktivet</w:t>
      </w:r>
      <w:bookmarkEnd w:id="668"/>
      <w:bookmarkEnd w:id="669"/>
      <w:bookmarkEnd w:id="670"/>
      <w:bookmarkEnd w:id="671"/>
      <w:bookmarkEnd w:id="672"/>
      <w:bookmarkEnd w:id="673"/>
    </w:p>
    <w:p w:rsidR="000215C5" w:rsidRDefault="00703023">
      <w:pPr>
        <w:pStyle w:val="Rubrik3"/>
      </w:pPr>
      <w:bookmarkStart w:id="674" w:name="_Toc388280338"/>
      <w:r>
        <w:t>Inledning</w:t>
      </w:r>
      <w:bookmarkEnd w:id="674"/>
    </w:p>
    <w:p w:rsidR="000215C5" w:rsidRDefault="00703023">
      <w:pPr>
        <w:jc w:val="both"/>
      </w:pPr>
      <w:r>
        <w:t>Enligt artikel 5 i MKN-direktivet (2008/105/EG)</w:t>
      </w:r>
      <w:r>
        <w:rPr>
          <w:rStyle w:val="Fotnotsreferens"/>
        </w:rPr>
        <w:footnoteReference w:id="105"/>
      </w:r>
      <w:r>
        <w:t xml:space="preserve"> ska medlemsstaterna på grundval av den information som har samlats in i enlighet med artiklarna 5 och 8 i vattendirektivet samt andra tillgängliga uppgifter, t.ex. de uppgifter som samlas in i enlighet med förordning (EG) nr 166/2006</w:t>
      </w:r>
      <w:r>
        <w:rPr>
          <w:rStyle w:val="Fotnotsreferens"/>
        </w:rPr>
        <w:footnoteReference w:id="106"/>
      </w:r>
      <w:r>
        <w:t>, upprätta ett register över utsläpp och spill för alla de prioriterade ämnen och de åtta andra förorenande ämnen som uppräknas i del A i bilaga I till MKN-direktivet, för varje avrinningsdistrikt eller del av ett avrinningsdistrikt inom medlemsstatens territoriu</w:t>
      </w:r>
      <w:r w:rsidR="00204C97">
        <w:t>m. CIS</w:t>
      </w:r>
      <w:r w:rsidR="00204C97">
        <w:noBreakHyphen/>
      </w:r>
      <w:r>
        <w:t>vägledningsdokument nr 28</w:t>
      </w:r>
      <w:r>
        <w:rPr>
          <w:vertAlign w:val="superscript"/>
        </w:rPr>
        <w:footnoteReference w:id="107"/>
      </w:r>
      <w:r>
        <w:t xml:space="preserve"> innehåller anvisningar om hur registren ska utformas för avrinningsdistrikten på nationell nivå.</w:t>
      </w:r>
    </w:p>
    <w:p w:rsidR="000215C5" w:rsidRDefault="00703023">
      <w:pPr>
        <w:jc w:val="both"/>
        <w:rPr>
          <w:szCs w:val="24"/>
        </w:rPr>
      </w:pPr>
      <w:r>
        <w:t xml:space="preserve">Enligt artikel 5 i vattendirektivet ska medlemsstaterna fastställa betydande mänsklig påverkan i avrinningsdistriktet som kan leda till att enskilda yt- och grundvattenförekomster har sämre än god status (eller riskerar att försämras). Detta är den så kallade analysen av påverkan och effekter. Enligt bilaga II 1.4 i vattendirektivet ska medlemsstaterna som ett led i fastställandet av påverkan uppskatta och identifiera betydande förorening från punktkällor och diffusa källor. </w:t>
      </w:r>
    </w:p>
    <w:p w:rsidR="000215C5" w:rsidRDefault="00703023">
      <w:pPr>
        <w:jc w:val="both"/>
      </w:pPr>
      <w:r>
        <w:t>Enligt artikel 5.5 i MKN-direktivet ska kommissionen senast 2018 kontrollera att registrets värden för utsläpp och spill enligt bilaga I till direktivet innebär framsteg mot efterlevnad av de mål rörande minskning eller upphörande som anges i vattendirektivet, dvs. att det finns en nedåtgående trend. Referensperioden för uppskattning av värden för förorenande ämnen i registret ska vara ett år (eller en period) mellan 2008 och 2010. Registret ska uppdateras mellan varje förvaltningsplan. Eftersom det första registret förväntas upprättas när förvaltningsplanerna offentliggörs 2015 kan nästa uppdatering inte officiellt förväntas förrän 2021. Analysen av framstegen fram till 2018 måste därför bygga på frivillig rapportering i förvaltningsplanen 2015, med tillskott i form av uppgifter om ämnen enligt bilaga I i MKN-direktivet. Rapporteringen bör ske vid två tidpunkter eller över två perioder, en period som täcker referensåret eller referensperioden och den andra ett senare år eller en senare period. Det är bara möjligt att fastställa tillförlitliga trender om beräkningen av uppgifterna är densamma för varje år eller period, eller om en korrigering görs för ytterligare täckning. I vissa fall kan det hända att medlemsstaterna bara kan lämna uppgifter för ett år eller en period som infaller senare än 2008–2010, vilket innebär att de inte kan fastställa en trend.</w:t>
      </w:r>
    </w:p>
    <w:p w:rsidR="000215C5" w:rsidRDefault="00703023">
      <w:pPr>
        <w:jc w:val="both"/>
      </w:pPr>
      <w:r>
        <w:t xml:space="preserve">Enligt artikel 5 i vattendirektivet ska medlemsstaterna utföra en liknande analys av påverkan för andra ämnen och parametrar, dvs. näringsämnen, ämnen som orsakar syrebrist (COD, BOD), saltutsläpp och RBSP, som släpps ut i avsevärda mängder till yt- och grundvattenförekomster i varje avrinningsdistrikt. </w:t>
      </w:r>
    </w:p>
    <w:p w:rsidR="000215C5" w:rsidRDefault="00703023">
      <w:pPr>
        <w:jc w:val="both"/>
      </w:pPr>
      <w:r>
        <w:t>Figur 2 på sidan 16 i CIS-vägledningsdokument nr 28 om register</w:t>
      </w:r>
      <w:r>
        <w:rPr>
          <w:rStyle w:val="Fotnotsreferens"/>
        </w:rPr>
        <w:footnoteReference w:id="108"/>
      </w:r>
      <w:r>
        <w:t>, som återges här (</w:t>
      </w:r>
      <w:r>
        <w:fldChar w:fldCharType="begin"/>
      </w:r>
      <w:r>
        <w:instrText xml:space="preserve"> REF _Ref403733932 \h  \* MERGEFORMAT </w:instrText>
      </w:r>
      <w:r>
        <w:fldChar w:fldCharType="separate"/>
      </w:r>
      <w:r w:rsidR="0008356D">
        <w:t>Figur 5</w:t>
      </w:r>
      <w:r>
        <w:fldChar w:fldCharType="end"/>
      </w:r>
      <w:r>
        <w:t>), åskådliggör de främsta vägarna för överföring av förorenande ämnen till ytvatten. Figuren visar fördelningen mellan källor och föroreningsvägar för tillförsel till ytvatten, även via uppströmsflöden. Anmärkningarna a–m och P1–P3 i figuren visar varje kategori av källor och föroreningsvägar som ska beaktas när förorening av ett kemiskt ämne har kvantifierats.</w:t>
      </w:r>
    </w:p>
    <w:p w:rsidR="000215C5" w:rsidRDefault="00703023">
      <w:pPr>
        <w:jc w:val="both"/>
      </w:pPr>
      <w:r>
        <w:t>Det kombinerade begreppet ”utsläpp och spill ” avser den förklaring som fjärde internationella konferensen om skydd av Nordsjön avgav i Esbjerg. Där kombineras alla kategorier av tillförsel av kemiska ämnen till ytvatten, som i detta sammanhang benämns ”tillförsel”</w:t>
      </w:r>
      <w:r>
        <w:rPr>
          <w:rStyle w:val="Fotnotsreferens"/>
        </w:rPr>
        <w:footnoteReference w:id="109"/>
      </w:r>
      <w:r>
        <w:t>. ”Spill” avser inte bibehållande eller försämring i jord, grundvatten eller ytvatten.</w:t>
      </w:r>
    </w:p>
    <w:p w:rsidR="000215C5" w:rsidRDefault="00703023">
      <w:pPr>
        <w:jc w:val="both"/>
      </w:pPr>
      <w:r>
        <w:t>I figur 2 i CIS-vägledningsdokument nr 28 (</w:t>
      </w:r>
      <w:r>
        <w:fldChar w:fldCharType="begin"/>
      </w:r>
      <w:r>
        <w:instrText xml:space="preserve"> REF _Ref403733932 \h  \* MERGEFORMAT </w:instrText>
      </w:r>
      <w:r>
        <w:fldChar w:fldCharType="separate"/>
      </w:r>
      <w:r>
        <w:t>Figure 5</w:t>
      </w:r>
      <w:r>
        <w:fldChar w:fldCharType="end"/>
      </w:r>
      <w:r>
        <w:t>) identifieras fyra sätt eller metoder för att upprätta register, dvs. information om punktkällor, belastning av vattendrag samt föroreningsvägar och föroreningskällor. Vägledningsdokumentet innehåller ett antal fallstudier. Metoderna för information om punktkällor och belastning av vattendrag baseras på övervakningsuppgifter. Informationen om punktkällor kan vara begränsad eftersom tillstånden inte alltid omfattas av krav på övervakning av koncentrationer av prioriterade ämnen och kvantifiering endast krävs för E-PRTR-anläggningar. Om informationen om punktkällor är begränsad kan användning av noggrant motiverade utsläppsfaktorer tillsammans med information om utsläppsmängder ge den mer fullständiga bild på regional nivå som krävs för registret.</w:t>
      </w:r>
    </w:p>
    <w:p w:rsidR="000215C5" w:rsidRDefault="00703023">
      <w:pPr>
        <w:jc w:val="both"/>
      </w:pPr>
      <w:r>
        <w:t>Metoden att använda belastning av vattendrag begränsas av den analytiska upplösningen och när det gäller tungmetaller även på grund av att endast den upplösta beståndsdelen (inte den fasta beståndsdelen) kan ha kvantifierats. Med denna metod anses det vara möjligt att få en ungefärlig uppskattning av total diffus tillförsel från ett tillrinningsområde om tillförseln av punktkällor är känd. I vägledningen rekommenderas dubbelkontroller av resultaten från de olika metoderna. Uppgifterna om belastning av vattendrag bör användas som valideringsinformation för de mer komplicerade metoderna.</w:t>
      </w:r>
    </w:p>
    <w:p w:rsidR="000215C5" w:rsidRDefault="00703023">
      <w:pPr>
        <w:jc w:val="both"/>
      </w:pPr>
      <w:r>
        <w:t>Metoden att använda föroreningsvägar (”pathway oriented approach” (RPA)) omfattar detaljerad modellering av överföringsprocesserna mot ytvattnet, och metoden att använda föroreningskällor tar en ännu mer komplicerad titt på hela systemet, t.ex. med användning av ämnesflödesanalys (”Substance Flow Analysis” (SFA)). De olika metoderna ger olika resultat när det gäller processinformation och rumslig upplösning. Generellt sett ger RPA-metoden således en bättre regionalisering av tillförseln, medan SFA-metoden ger en mer heltäckande bild av de faktiska miljöutsläppen. SFA-metoden är dock mer begränsad när det gäller rumslig upplösning. I vägledningen bekräftas värdet av uppdelning av källor för att fastställa lämpliga kontrollåtgärder.</w:t>
      </w:r>
    </w:p>
    <w:p w:rsidR="000215C5" w:rsidRDefault="00703023">
      <w:pPr>
        <w:jc w:val="both"/>
      </w:pPr>
      <w:r>
        <w:br w:type="page"/>
      </w:r>
      <w:r>
        <w:rPr>
          <w:noProof/>
          <w:lang w:bidi="ar-SA"/>
        </w:rPr>
        <mc:AlternateContent>
          <mc:Choice Requires="wpg">
            <w:drawing>
              <wp:inline distT="0" distB="0" distL="0" distR="0">
                <wp:extent cx="5753100" cy="4560570"/>
                <wp:effectExtent l="0" t="0" r="0" b="1905"/>
                <wp:docPr id="24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560570"/>
                          <a:chOff x="0" y="0"/>
                          <a:chExt cx="57531" cy="45605"/>
                        </a:xfrm>
                      </wpg:grpSpPr>
                      <wps:wsp>
                        <wps:cNvPr id="241" name="Text Box 185"/>
                        <wps:cNvSpPr txBox="1">
                          <a:spLocks noChangeArrowheads="1"/>
                        </wps:cNvSpPr>
                        <wps:spPr bwMode="auto">
                          <a:xfrm>
                            <a:off x="49244" y="43053"/>
                            <a:ext cx="6559"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3F7836" w:rsidRDefault="003F7836" w:rsidP="00703023">
                              <w:r>
                                <w:t>RLout</w:t>
                              </w:r>
                            </w:p>
                          </w:txbxContent>
                        </wps:txbx>
                        <wps:bodyPr rot="0" vert="horz" wrap="square" lIns="91440" tIns="45720" rIns="91440" bIns="45720" anchor="t" anchorCtr="0" upright="1">
                          <a:noAutofit/>
                        </wps:bodyPr>
                      </wps:wsp>
                      <wps:wsp>
                        <wps:cNvPr id="242" name="Text Box 186"/>
                        <wps:cNvSpPr txBox="1">
                          <a:spLocks noChangeArrowheads="1"/>
                        </wps:cNvSpPr>
                        <wps:spPr bwMode="auto">
                          <a:xfrm>
                            <a:off x="49244" y="0"/>
                            <a:ext cx="5124"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3F7836" w:rsidRDefault="003F7836" w:rsidP="00703023">
                              <w:r>
                                <w:t>RLin)</w:t>
                              </w:r>
                            </w:p>
                          </w:txbxContent>
                        </wps:txbx>
                        <wps:bodyPr rot="0" vert="horz" wrap="square" lIns="91440" tIns="45720" rIns="91440" bIns="45720" anchor="t" anchorCtr="0" upright="1">
                          <a:noAutofit/>
                        </wps:bodyPr>
                      </wps:wsp>
                      <pic:pic xmlns:pic="http://schemas.openxmlformats.org/drawingml/2006/picture">
                        <pic:nvPicPr>
                          <pic:cNvPr id="243" name="Picture 49" descr="Harmonized Sketch"/>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476"/>
                            <a:ext cx="57531" cy="41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2" o:spid="_x0000_s1026" style="width:453pt;height:359.1pt;mso-position-horizontal-relative:char;mso-position-vertical-relative:line" coordsize="57531,4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">
                <v:shapetype id="_x0000_t202" coordsize="21600,21600" o:spt="202" path="m,l,21600r21600,l21600,xe">
                  <v:stroke joinstyle="miter"/>
                  <v:path gradientshapeok="t" o:connecttype="rect"/>
                </v:shapetype>
                <v:shape id="Text Box 185" o:spid="_x0000_s1027" type="#_x0000_t202" style="position:absolute;left:49244;top:43053;width:655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SsUA&#10;AADcAAAADwAAAGRycy9kb3ducmV2LnhtbESPQWvCQBSE70L/w/IKvYhuIqVIdCMltiA9CFrB6yP7&#10;zMZm38bsGtN/7wqFHoeZ+YZZrgbbiJ46XztWkE4TEMSl0zVXCg7fn5M5CB+QNTaOScEveVjlT6Ml&#10;ZtrdeEf9PlQiQthnqMCE0GZS+tKQRT91LXH0Tq6zGKLsKqk7vEW4beQsSd6kxZrjgsGWCkPlz/5q&#10;FVTFlb7OR1NeDh9yne6K7Rg3W6Venof3BYhAQ/gP/7U3WsHsNYXH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6ZKxQAAANwAAAAPAAAAAAAAAAAAAAAAAJgCAABkcnMv&#10;ZG93bnJldi54bWxQSwUGAAAAAAQABAD1AAAAigMAAAAA&#10;" filled="f" stroked="f" strokecolor="white" strokeweight="0">
                  <v:textbox>
                    <w:txbxContent>
                      <w:p w:rsidR="003F7836" w:rsidRDefault="003F7836" w:rsidP="00703023">
                        <w:r>
                          <w:t>RLout</w:t>
                        </w:r>
                      </w:p>
                    </w:txbxContent>
                  </v:textbox>
                </v:shape>
                <v:shape id="Text Box 186" o:spid="_x0000_s1028" type="#_x0000_t202" style="position:absolute;left:49244;width:5124;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PcUA&#10;AADcAAAADwAAAGRycy9kb3ducmV2LnhtbESPQWvCQBSE74X+h+UVvBTdGIqU6EYkVZAeBK3Q6yP7&#10;zEazb9PsGuO/7xaEHoeZ+YZZLAfbiJ46XztWMJ0kIIhLp2uuFBy/NuN3ED4ga2wck4I7eVjmz08L&#10;zLS78Z76Q6hEhLDPUIEJoc2k9KUhi37iWuLonVxnMUTZVVJ3eItw28g0SWbSYs1xwWBLhaHycrha&#10;BVVxpc/ztyl/jmv5Md0Xu1fc7pQavQyrOYhAQ/gPP9pbrSB9S+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g9xQAAANwAAAAPAAAAAAAAAAAAAAAAAJgCAABkcnMv&#10;ZG93bnJldi54bWxQSwUGAAAAAAQABAD1AAAAigMAAAAA&#10;" filled="f" stroked="f" strokecolor="white" strokeweight="0">
                  <v:textbox>
                    <w:txbxContent>
                      <w:p w:rsidR="003F7836" w:rsidRDefault="003F7836" w:rsidP="00703023">
                        <w:r>
                          <w:t>RLin)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alt="Harmonized Sketch" style="position:absolute;top:2476;width:57531;height:4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XPHAAAA3AAAAA8AAABkcnMvZG93bnJldi54bWxEj09rwkAUxO+FfoflFbxI3TQt0kZX0YJW&#10;QQ+m6vmRffmj2bchu2r67bsFocdhZn7DjKedqcWVWldZVvAyiEAQZ1ZXXCjYfy+e30E4j6yxtkwK&#10;fsjBdPL4MMZE2xvv6Jr6QgQIuwQVlN43iZQuK8mgG9iGOHi5bQ36INtC6hZvAW5qGUfRUBqsOCyU&#10;2NBnSdk5vRgF0bK/O5yOc/c1X6XbePORr08yV6r31M1GIDx1/j98b6+0gvjtFf7OhCMgJ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sXPHAAAA3AAAAA8AAAAAAAAAAAAA&#10;AAAAnwIAAGRycy9kb3ducmV2LnhtbFBLBQYAAAAABAAEAPcAAACTAwAAAAA=&#10;">
                  <v:imagedata r:id="rId26" o:title="Harmonized Sketch"/>
                  <v:path arrowok="t"/>
                </v:shape>
                <w10:anchorlock/>
              </v:group>
            </w:pict>
          </mc:Fallback>
        </mc:AlternateContent>
      </w:r>
    </w:p>
    <w:p w:rsidR="000215C5" w:rsidRDefault="000215C5">
      <w:pPr>
        <w:jc w:val="both"/>
        <w:rPr>
          <w:noProof/>
          <w:szCs w:val="24"/>
        </w:rPr>
      </w:pPr>
    </w:p>
    <w:tbl>
      <w:tblPr>
        <w:tblW w:w="0" w:type="auto"/>
        <w:tblLook w:val="04A0" w:firstRow="1" w:lastRow="0" w:firstColumn="1" w:lastColumn="0" w:noHBand="0" w:noVBand="1"/>
      </w:tblPr>
      <w:tblGrid>
        <w:gridCol w:w="3070"/>
        <w:gridCol w:w="3070"/>
        <w:gridCol w:w="3071"/>
      </w:tblGrid>
      <w:tr w:rsidR="000215C5">
        <w:tc>
          <w:tcPr>
            <w:tcW w:w="3070" w:type="dxa"/>
          </w:tcPr>
          <w:p w:rsidR="000215C5" w:rsidRDefault="00703023">
            <w:pPr>
              <w:spacing w:before="40" w:after="40"/>
              <w:jc w:val="both"/>
              <w:rPr>
                <w:szCs w:val="24"/>
              </w:rPr>
            </w:pPr>
            <w:r>
              <w:rPr>
                <w:sz w:val="16"/>
              </w:rPr>
              <w:t>P1: Utsläpp från atmosfären direkt till ytvatten.</w:t>
            </w:r>
          </w:p>
        </w:tc>
        <w:tc>
          <w:tcPr>
            <w:tcW w:w="3070" w:type="dxa"/>
          </w:tcPr>
          <w:p w:rsidR="000215C5" w:rsidRDefault="00703023">
            <w:pPr>
              <w:spacing w:before="40" w:after="40"/>
              <w:jc w:val="both"/>
              <w:rPr>
                <w:szCs w:val="24"/>
              </w:rPr>
            </w:pPr>
            <w:r>
              <w:rPr>
                <w:sz w:val="16"/>
              </w:rPr>
              <w:t>P2: Erosion.</w:t>
            </w:r>
          </w:p>
        </w:tc>
        <w:tc>
          <w:tcPr>
            <w:tcW w:w="3071" w:type="dxa"/>
          </w:tcPr>
          <w:p w:rsidR="000215C5" w:rsidRDefault="00703023">
            <w:pPr>
              <w:spacing w:before="40" w:after="40"/>
              <w:jc w:val="both"/>
              <w:rPr>
                <w:szCs w:val="24"/>
              </w:rPr>
            </w:pPr>
            <w:r>
              <w:rPr>
                <w:sz w:val="16"/>
              </w:rPr>
              <w:t>P3: Ytvattenavrinning från oförseglade områden.</w:t>
            </w:r>
          </w:p>
        </w:tc>
      </w:tr>
      <w:tr w:rsidR="000215C5">
        <w:tc>
          <w:tcPr>
            <w:tcW w:w="3070" w:type="dxa"/>
          </w:tcPr>
          <w:p w:rsidR="000215C5" w:rsidRDefault="00703023">
            <w:pPr>
              <w:spacing w:before="40" w:after="40"/>
              <w:jc w:val="both"/>
              <w:rPr>
                <w:szCs w:val="24"/>
              </w:rPr>
            </w:pPr>
            <w:r>
              <w:rPr>
                <w:sz w:val="16"/>
              </w:rPr>
              <w:t>P4: Grundvattenströmning, täckdikning och grundvatten.</w:t>
            </w:r>
            <w:r>
              <w:rPr>
                <w:rStyle w:val="Fotnotsreferens"/>
                <w:sz w:val="16"/>
              </w:rPr>
              <w:footnoteReference w:id="110"/>
            </w:r>
          </w:p>
        </w:tc>
        <w:tc>
          <w:tcPr>
            <w:tcW w:w="3070" w:type="dxa"/>
          </w:tcPr>
          <w:p w:rsidR="000215C5" w:rsidRDefault="00703023">
            <w:pPr>
              <w:spacing w:before="40" w:after="40"/>
              <w:jc w:val="both"/>
              <w:rPr>
                <w:szCs w:val="24"/>
              </w:rPr>
            </w:pPr>
            <w:r>
              <w:rPr>
                <w:sz w:val="16"/>
              </w:rPr>
              <w:t>P5: Direkta utsläpp och spridning.</w:t>
            </w:r>
          </w:p>
        </w:tc>
        <w:tc>
          <w:tcPr>
            <w:tcW w:w="3071" w:type="dxa"/>
          </w:tcPr>
          <w:p w:rsidR="000215C5" w:rsidRDefault="00703023">
            <w:pPr>
              <w:spacing w:before="40" w:after="40"/>
              <w:jc w:val="both"/>
              <w:rPr>
                <w:szCs w:val="24"/>
              </w:rPr>
            </w:pPr>
            <w:r>
              <w:rPr>
                <w:sz w:val="16"/>
              </w:rPr>
              <w:t>P6: Ytvattenavrinning från förseglade områden.</w:t>
            </w:r>
          </w:p>
        </w:tc>
      </w:tr>
      <w:tr w:rsidR="000215C5">
        <w:tc>
          <w:tcPr>
            <w:tcW w:w="3070" w:type="dxa"/>
          </w:tcPr>
          <w:p w:rsidR="000215C5" w:rsidRDefault="00703023">
            <w:pPr>
              <w:spacing w:before="40" w:after="40"/>
              <w:jc w:val="both"/>
              <w:rPr>
                <w:szCs w:val="24"/>
              </w:rPr>
            </w:pPr>
            <w:r>
              <w:rPr>
                <w:sz w:val="16"/>
              </w:rPr>
              <w:t>P7: Avrinning av dagvatten, kombinerade avloppssystem för dag- och spillvatten och ej anslutna avloppssystem.</w:t>
            </w:r>
          </w:p>
        </w:tc>
        <w:tc>
          <w:tcPr>
            <w:tcW w:w="3070" w:type="dxa"/>
          </w:tcPr>
          <w:p w:rsidR="000215C5" w:rsidRDefault="00703023">
            <w:pPr>
              <w:spacing w:before="40" w:after="40"/>
              <w:jc w:val="both"/>
              <w:rPr>
                <w:szCs w:val="24"/>
              </w:rPr>
            </w:pPr>
            <w:r>
              <w:rPr>
                <w:sz w:val="16"/>
              </w:rPr>
              <w:t>P8: Rening av avloppsvatten från tätbebyggelse.</w:t>
            </w:r>
          </w:p>
        </w:tc>
        <w:tc>
          <w:tcPr>
            <w:tcW w:w="3071" w:type="dxa"/>
          </w:tcPr>
          <w:p w:rsidR="000215C5" w:rsidRDefault="00703023">
            <w:pPr>
              <w:spacing w:before="40" w:after="40"/>
              <w:jc w:val="both"/>
              <w:rPr>
                <w:szCs w:val="24"/>
              </w:rPr>
            </w:pPr>
            <w:r>
              <w:rPr>
                <w:sz w:val="16"/>
              </w:rPr>
              <w:t>P9: Individuellt – renat och orenat avloppsvatten från hushåll.</w:t>
            </w:r>
          </w:p>
        </w:tc>
      </w:tr>
      <w:tr w:rsidR="000215C5">
        <w:tc>
          <w:tcPr>
            <w:tcW w:w="3070" w:type="dxa"/>
          </w:tcPr>
          <w:p w:rsidR="000215C5" w:rsidRDefault="00703023">
            <w:pPr>
              <w:spacing w:before="40" w:after="40"/>
              <w:jc w:val="both"/>
              <w:rPr>
                <w:szCs w:val="24"/>
              </w:rPr>
            </w:pPr>
            <w:r>
              <w:rPr>
                <w:sz w:val="16"/>
              </w:rPr>
              <w:t>P10: Rening av avloppsvatten från industrin.</w:t>
            </w:r>
          </w:p>
        </w:tc>
        <w:tc>
          <w:tcPr>
            <w:tcW w:w="3070" w:type="dxa"/>
          </w:tcPr>
          <w:p w:rsidR="000215C5" w:rsidRDefault="00703023">
            <w:pPr>
              <w:spacing w:before="40" w:after="40"/>
              <w:jc w:val="both"/>
              <w:rPr>
                <w:szCs w:val="24"/>
              </w:rPr>
            </w:pPr>
            <w:r>
              <w:rPr>
                <w:sz w:val="16"/>
              </w:rPr>
              <w:t>P11: Direkta utsläpp från gruvområden.</w:t>
            </w:r>
            <w:r>
              <w:rPr>
                <w:rStyle w:val="Fotnotsreferens"/>
                <w:sz w:val="16"/>
              </w:rPr>
              <w:footnoteReference w:id="111"/>
            </w:r>
          </w:p>
        </w:tc>
        <w:tc>
          <w:tcPr>
            <w:tcW w:w="3071" w:type="dxa"/>
          </w:tcPr>
          <w:p w:rsidR="000215C5" w:rsidRDefault="00703023">
            <w:pPr>
              <w:spacing w:before="40" w:after="40"/>
              <w:jc w:val="both"/>
              <w:rPr>
                <w:szCs w:val="24"/>
              </w:rPr>
            </w:pPr>
            <w:r>
              <w:rPr>
                <w:sz w:val="16"/>
              </w:rPr>
              <w:t>P12: Direkta utsläpp från sjötrafik.</w:t>
            </w:r>
            <w:r>
              <w:rPr>
                <w:rStyle w:val="Fotnotsreferens"/>
                <w:sz w:val="16"/>
              </w:rPr>
              <w:footnoteReference w:id="112"/>
            </w:r>
          </w:p>
        </w:tc>
      </w:tr>
      <w:tr w:rsidR="000215C5">
        <w:tc>
          <w:tcPr>
            <w:tcW w:w="3070" w:type="dxa"/>
          </w:tcPr>
          <w:p w:rsidR="000215C5" w:rsidRDefault="00703023">
            <w:pPr>
              <w:spacing w:before="40" w:after="40"/>
              <w:jc w:val="both"/>
              <w:rPr>
                <w:sz w:val="16"/>
                <w:szCs w:val="16"/>
              </w:rPr>
            </w:pPr>
            <w:r>
              <w:rPr>
                <w:sz w:val="16"/>
              </w:rPr>
              <w:t>P13: Naturlig bakgrund.</w:t>
            </w:r>
          </w:p>
        </w:tc>
        <w:tc>
          <w:tcPr>
            <w:tcW w:w="3070" w:type="dxa"/>
          </w:tcPr>
          <w:p w:rsidR="000215C5" w:rsidRDefault="000215C5">
            <w:pPr>
              <w:spacing w:before="40" w:after="40"/>
              <w:jc w:val="both"/>
              <w:rPr>
                <w:sz w:val="16"/>
                <w:szCs w:val="16"/>
              </w:rPr>
            </w:pPr>
          </w:p>
        </w:tc>
        <w:tc>
          <w:tcPr>
            <w:tcW w:w="3071" w:type="dxa"/>
          </w:tcPr>
          <w:p w:rsidR="000215C5" w:rsidRDefault="000215C5">
            <w:pPr>
              <w:spacing w:before="40" w:after="40"/>
              <w:jc w:val="both"/>
              <w:rPr>
                <w:sz w:val="16"/>
                <w:szCs w:val="16"/>
              </w:rPr>
            </w:pPr>
          </w:p>
        </w:tc>
      </w:tr>
    </w:tbl>
    <w:p w:rsidR="000215C5" w:rsidRDefault="00703023">
      <w:pPr>
        <w:pStyle w:val="Beskrivning"/>
        <w:jc w:val="both"/>
      </w:pPr>
      <w:r>
        <w:rPr>
          <w:sz w:val="16"/>
        </w:rPr>
        <w:t>Kodningen a–m har infogats i figuren för att möjliggöra identifiering av källkategorierna i förhållande till föroreningsvägarna P1–P13.</w:t>
      </w:r>
    </w:p>
    <w:p w:rsidR="000215C5" w:rsidRDefault="00703023">
      <w:pPr>
        <w:pStyle w:val="Beskrivning"/>
        <w:jc w:val="both"/>
      </w:pPr>
      <w:bookmarkStart w:id="675" w:name="_Ref403733932"/>
      <w:r>
        <w:t xml:space="preserve">Figur </w:t>
      </w:r>
      <w:r w:rsidR="00FA0245">
        <w:fldChar w:fldCharType="begin"/>
      </w:r>
      <w:r w:rsidR="00FA0245">
        <w:instrText xml:space="preserve"> SEQ Figure \* ARABIC </w:instrText>
      </w:r>
      <w:r w:rsidR="00FA0245">
        <w:fldChar w:fldCharType="separate"/>
      </w:r>
      <w:r>
        <w:rPr>
          <w:noProof/>
        </w:rPr>
        <w:t>5</w:t>
      </w:r>
      <w:r w:rsidR="00FA0245">
        <w:rPr>
          <w:noProof/>
        </w:rPr>
        <w:fldChar w:fldCharType="end"/>
      </w:r>
      <w:bookmarkEnd w:id="675"/>
      <w:r>
        <w:t xml:space="preserve"> – </w:t>
      </w:r>
      <w:r>
        <w:rPr>
          <w:b w:val="0"/>
        </w:rPr>
        <w:t>Figur 2 från CIS-vägledningsdokument nr 28: Registrets allmänna funktion.</w:t>
      </w:r>
    </w:p>
    <w:p w:rsidR="000215C5" w:rsidRDefault="00703023">
      <w:pPr>
        <w:jc w:val="both"/>
      </w:pPr>
      <w:r>
        <w:t>I vägledningsdokument nr 28 föreslås en tvåstegsmetod för att sammanställa registret. I det första steget identifieras ämnen som inte är relevanta för avrinningsdistriktet baserat på uppgifterna från analysen enligt artikel 5 i vattendirektivet. För dessa ämnen rapporteras endast en grundläggande uppskattning av betydande tillförsel (valfritt). För de återstående ämnena görs en mer djupgående analys som minst baseras på metoden för belastning av vattendrag och tillförsel från punktkällor.</w:t>
      </w:r>
    </w:p>
    <w:p w:rsidR="000215C5" w:rsidRDefault="00703023">
      <w:pPr>
        <w:jc w:val="both"/>
      </w:pPr>
      <w:r>
        <w:t>För de första registren förväntas resultaten från den mer djupgående analysen minst ge kvantifiering av den totala tillförseln från punktkällor och totala diffusa källor. Beroende på dataluckor och den analytiska osäkerhet som nämns ovan kanske detta inte alltid är möjligt. För utvärderingen av uppgifternas tillförlitlighet krävs information om de metoder som använts.</w:t>
      </w:r>
    </w:p>
    <w:p w:rsidR="000215C5" w:rsidRDefault="00703023">
      <w:pPr>
        <w:jc w:val="both"/>
      </w:pPr>
      <w:r>
        <w:t>Mer detaljerad rapportering om uppdelning av föroreningskällor (eller föroreningsvägar) förbättrar värdet på arbetet avsevärt, och ingår som valfritt alternativ i mallposterna. Frivillig rapportering av total tillförsel från punktkällor, total tillförsel från diffusa källor och individuella källor av RBSP eller andra förorenande ämnen är också möjlig.</w:t>
      </w:r>
    </w:p>
    <w:p w:rsidR="000215C5" w:rsidRDefault="00703023">
      <w:pPr>
        <w:jc w:val="both"/>
      </w:pPr>
      <w:r>
        <w:t>Europeiska miljöbyrån har sedan 2009 samlat in uppgifter om föroreningsbelastning via rapporterna om miljötillståndet (SoE). Rapporteringen från miljöbyråns medlemsländer sker via den årliga Eionet-processen (se rapporteringskraven för utsläpp i vatten (Wise-1))</w:t>
      </w:r>
      <w:r>
        <w:rPr>
          <w:vertAlign w:val="superscript"/>
        </w:rPr>
        <w:footnoteReference w:id="113"/>
      </w:r>
      <w:r>
        <w:t xml:space="preserve">. Källkategorierna för uppdelning av tillförsel liknar i vissa avseenden tillförseln P1–P13 i </w:t>
      </w:r>
      <w:r w:rsidR="00FB6EA8">
        <w:t>figur 2 i CIS</w:t>
      </w:r>
      <w:r w:rsidR="00FB6EA8">
        <w:noBreakHyphen/>
      </w:r>
      <w:r>
        <w:t>vägledningsdokument nr 28, och i detta sammanhang ger de en lämplig bild av uppdelningen.</w:t>
      </w:r>
    </w:p>
    <w:p w:rsidR="000215C5" w:rsidRDefault="00703023">
      <w:pPr>
        <w:jc w:val="both"/>
      </w:pPr>
      <w:r>
        <w:t>Andra medlemsstater kan ha använt vattendirektivets förteckning över typer av påverkan (i bilaga 1a till denna vägledning), som också kan ge en lämplig bild.</w:t>
      </w:r>
    </w:p>
    <w:p w:rsidR="000215C5" w:rsidRDefault="00703023">
      <w:pPr>
        <w:jc w:val="both"/>
      </w:pPr>
      <w:r>
        <w:t>Det är möjligt att göra en grov jämförelse mellan SoE:s källkategorier och vattendirektivets typer av påverkan och de föroreningsvägar som anges i vägledningen om register. Anvisningar om hur de olika kategorierna kan jämföras ges i bilaga 7. Beroende på de uppgifter som lämnas av medlemsstaterna, dvs. vilken kategorisering de har använt, kan kommissionen använda dessa jämförelser för att analysera och jämföra medlemsstaternas olika källuppdelningar. Diskussioner och vidare uppföljningsarbete inom Eionet-ramen kan öka harmoniseringen av kategoriseringen.</w:t>
      </w:r>
    </w:p>
    <w:p w:rsidR="000215C5" w:rsidRDefault="00703023">
      <w:pPr>
        <w:jc w:val="both"/>
        <w:rPr>
          <w:szCs w:val="24"/>
        </w:rPr>
      </w:pPr>
      <w:r>
        <w:t xml:space="preserve">Det är dock inte lämpligt att begränsa rapporteringen till </w:t>
      </w:r>
      <w:r>
        <w:rPr>
          <w:i/>
        </w:rPr>
        <w:t>kända</w:t>
      </w:r>
      <w:r>
        <w:t xml:space="preserve"> typer av tillförsel som leder till att miljökvalitetsnormerna inte uppfylls. Detta beror på att ett av syftena med analysen enligt artikel 5 i vattendirektivet är att fastställa var ämnen ska övervakas, vilket i sin tur innebär att koncentrationer och ej uppnådda miljökvalitetsnormer kanske inte har fastställts ännu. Åtminstone när det gäller prioriterade farliga ämnen kan därför kunskap om kvantifierbar tillförsel anses vara relevant och tas med i registret.</w:t>
      </w:r>
    </w:p>
    <w:p w:rsidR="000215C5" w:rsidRDefault="00703023">
      <w:pPr>
        <w:pStyle w:val="Rubrik3"/>
      </w:pPr>
      <w:bookmarkStart w:id="676" w:name="_Toc388280339"/>
      <w:r>
        <w:t>Hur kommer kommissionen och Europeiska miljöbyrån att använda den rapporterade informationen</w:t>
      </w:r>
      <w:bookmarkEnd w:id="676"/>
      <w:r>
        <w:t>?</w:t>
      </w:r>
    </w:p>
    <w:p w:rsidR="000215C5" w:rsidRDefault="00703023">
      <w:pPr>
        <w:jc w:val="both"/>
        <w:rPr>
          <w:szCs w:val="24"/>
        </w:rPr>
      </w:pPr>
      <w:r>
        <w:t>Kommissionen kommer enligt vattendirektivet att använda registren för att kontrollera efterlevnaden av vattendirektivets miljömål (artikel 4) för minskning av utsläpp och spill (tillförsel) av prioriterade ämnen och upphörande eller stegvis eliminering av prioriterade farliga ämnen samt de åtta andra förorenande ämnen som anges i bilaga I till MKN-direktivet.</w:t>
      </w:r>
    </w:p>
    <w:p w:rsidR="000215C5" w:rsidRDefault="00703023">
      <w:pPr>
        <w:jc w:val="both"/>
        <w:rPr>
          <w:szCs w:val="24"/>
        </w:rPr>
      </w:pPr>
      <w:r>
        <w:t>Registren kommer att vara ett viktigt inslag i kommissionens ö</w:t>
      </w:r>
      <w:r w:rsidR="00AD503F">
        <w:t>versyn enligt artikel 7.1 i MKN</w:t>
      </w:r>
      <w:r w:rsidR="00AD503F">
        <w:noBreakHyphen/>
      </w:r>
      <w:r>
        <w:t>direktivet om behovet av att ändra befintliga rättsakter och behovet av att vidta ytterligare specifika åtgärder på unionsnivå, exempelvis utsläppskontroller, samt rapporteringen enligt artikel 7.2.</w:t>
      </w:r>
    </w:p>
    <w:p w:rsidR="000215C5" w:rsidRDefault="00703023">
      <w:pPr>
        <w:jc w:val="both"/>
        <w:rPr>
          <w:szCs w:val="24"/>
        </w:rPr>
      </w:pPr>
      <w:r>
        <w:t>Denna information kommer att belysa relevansen av förorenande ämnen, inklusive prioriterade ämnen, på rumslig nivå i avrinningsdistriktet eller den nationella delen av internationella avrinningsdistrikt, och när det gäller den belastning som når den akvatiska miljön. Informationen kommer således att vara till hjälp för medlemsstaterna i deras förvaltning av avrinningsdistrikten och genomförandet av vattendirektivet. Kommissionen inser dock att skillnaderna mellan de olika metoder som används kommer att leda till vissa reservationer i jämförelsen mellan medlemsstaternas datauppsättning, och att jämförbarheten därför måste förbättras. Eftersom medlemsstaterna kan ändra sina underlag för utsläppsregistret kommer det dessutom att bli nödvändigt att räkna om uppgifter från en tidigare referensperiod eller ett tidigare referensår för att möjliggöra lämpliga jämförelser för fastställande av trender, vilket kanske inte alltid är möjligt. För allmänheten bör informationen leda till ökad insyn i orsaken till befintliga problem och behovet av åtgärder för att rätta till dem.</w:t>
      </w:r>
    </w:p>
    <w:p w:rsidR="000215C5" w:rsidRDefault="00703023">
      <w:pPr>
        <w:jc w:val="both"/>
        <w:rPr>
          <w:szCs w:val="24"/>
        </w:rPr>
      </w:pPr>
      <w:r>
        <w:t>Det bör dessutom bli möjligt att åskådliggöra trender i tillförseln av andra ämnen än de ämnen som anges i bilaga I till MKN-direktivet, vilket redan gjorts för kväve och fosfor, och koppla minskningarna till åtgärder.</w:t>
      </w:r>
    </w:p>
    <w:p w:rsidR="000215C5" w:rsidRDefault="00703023">
      <w:pPr>
        <w:jc w:val="both"/>
        <w:rPr>
          <w:szCs w:val="24"/>
        </w:rPr>
      </w:pPr>
      <w:r>
        <w:t xml:space="preserve">Informationen om uppdelning av källor/föroreningsvägar kommer i sin tur att användas för att ta fram översikter på europeisk nivå av olika källors och föroreningsvägars bidrag till föroreningsbelastningen. </w:t>
      </w:r>
    </w:p>
    <w:p w:rsidR="000215C5" w:rsidRDefault="00703023">
      <w:pPr>
        <w:jc w:val="both"/>
        <w:rPr>
          <w:szCs w:val="24"/>
        </w:rPr>
      </w:pPr>
      <w:r>
        <w:t>På EU-nivå kommer statistik och information att lämnas till Europaparlamentet. Allmänheten kommer att få tillgång till informationen via Wise.</w:t>
      </w:r>
    </w:p>
    <w:p w:rsidR="000215C5" w:rsidRDefault="00703023">
      <w:pPr>
        <w:pStyle w:val="Rubrik4"/>
      </w:pPr>
      <w:r>
        <w:t>Produkter från rapporteringen</w:t>
      </w:r>
    </w:p>
    <w:p w:rsidR="000215C5" w:rsidRDefault="00703023">
      <w:pPr>
        <w:jc w:val="both"/>
      </w:pPr>
      <w:r>
        <w:t>Följande diagram, tabeller och/eller kartor kommer att tas fram: Framtagandet av produkter rörande andra ämnen än de ämnen som anges i MKN-direktivet beror på rapporteringens omfattning. Framtagandet av produkter rörande trender beror på om det finns uppgifter för fler än ett år. Produkterna kommer att inriktas på total tillförsel till yt- och grundvatten, men vissa produkter kan skilja mellan tillförsel till ytvatten och tillförsel till grundvatten om det finns tillräckligt med information för detta. Produkter som visar tillförsel från individuella källor kan tas fram om det rapporteras tillräckligt med uppgifter om uppdelning av källor eller föroreningsvägar.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705"/>
        <w:gridCol w:w="1194"/>
        <w:gridCol w:w="1535"/>
        <w:gridCol w:w="2558"/>
        <w:gridCol w:w="2219"/>
      </w:tblGrid>
      <w:tr w:rsidR="000215C5">
        <w:tc>
          <w:tcPr>
            <w:tcW w:w="326" w:type="pct"/>
            <w:shd w:val="clear" w:color="auto" w:fill="auto"/>
          </w:tcPr>
          <w:p w:rsidR="000215C5" w:rsidRDefault="00703023">
            <w:pPr>
              <w:spacing w:after="0"/>
              <w:jc w:val="both"/>
              <w:rPr>
                <w:b/>
                <w:sz w:val="18"/>
                <w:szCs w:val="18"/>
              </w:rPr>
            </w:pPr>
            <w:r>
              <w:rPr>
                <w:b/>
                <w:sz w:val="18"/>
              </w:rPr>
              <w:t>Nb</w:t>
            </w:r>
          </w:p>
        </w:tc>
        <w:tc>
          <w:tcPr>
            <w:tcW w:w="865" w:type="pct"/>
            <w:shd w:val="clear" w:color="auto" w:fill="auto"/>
          </w:tcPr>
          <w:p w:rsidR="000215C5" w:rsidRDefault="00703023">
            <w:pPr>
              <w:spacing w:after="0"/>
              <w:jc w:val="both"/>
              <w:rPr>
                <w:b/>
                <w:sz w:val="18"/>
                <w:szCs w:val="18"/>
              </w:rPr>
            </w:pPr>
            <w:r>
              <w:rPr>
                <w:b/>
                <w:sz w:val="18"/>
              </w:rPr>
              <w:t>Produktens namn</w:t>
            </w:r>
          </w:p>
        </w:tc>
        <w:tc>
          <w:tcPr>
            <w:tcW w:w="606" w:type="pct"/>
            <w:shd w:val="clear" w:color="auto" w:fill="auto"/>
          </w:tcPr>
          <w:p w:rsidR="000215C5" w:rsidRDefault="00703023">
            <w:pPr>
              <w:spacing w:after="0"/>
              <w:jc w:val="both"/>
              <w:rPr>
                <w:b/>
                <w:sz w:val="18"/>
                <w:szCs w:val="18"/>
              </w:rPr>
            </w:pPr>
            <w:r>
              <w:rPr>
                <w:b/>
                <w:sz w:val="18"/>
              </w:rPr>
              <w:t>Produkttyp</w:t>
            </w:r>
          </w:p>
        </w:tc>
        <w:tc>
          <w:tcPr>
            <w:tcW w:w="779" w:type="pct"/>
            <w:shd w:val="clear" w:color="auto" w:fill="auto"/>
          </w:tcPr>
          <w:p w:rsidR="000215C5" w:rsidRDefault="00703023">
            <w:pPr>
              <w:spacing w:after="0"/>
              <w:jc w:val="both"/>
              <w:rPr>
                <w:b/>
                <w:sz w:val="18"/>
                <w:szCs w:val="18"/>
              </w:rPr>
            </w:pPr>
            <w:r>
              <w:rPr>
                <w:b/>
                <w:sz w:val="18"/>
              </w:rPr>
              <w:t>Informationsnivå*</w:t>
            </w:r>
          </w:p>
        </w:tc>
        <w:tc>
          <w:tcPr>
            <w:tcW w:w="1298" w:type="pct"/>
            <w:shd w:val="clear" w:color="auto" w:fill="auto"/>
          </w:tcPr>
          <w:p w:rsidR="000215C5" w:rsidRDefault="00703023">
            <w:pPr>
              <w:spacing w:after="0"/>
              <w:jc w:val="both"/>
              <w:rPr>
                <w:b/>
                <w:sz w:val="18"/>
                <w:szCs w:val="18"/>
              </w:rPr>
            </w:pPr>
            <w:r>
              <w:rPr>
                <w:b/>
                <w:sz w:val="18"/>
              </w:rPr>
              <w:t>Detaljerad information visas</w:t>
            </w:r>
          </w:p>
        </w:tc>
        <w:tc>
          <w:tcPr>
            <w:tcW w:w="1126" w:type="pct"/>
            <w:shd w:val="clear" w:color="auto" w:fill="auto"/>
          </w:tcPr>
          <w:p w:rsidR="000215C5" w:rsidRDefault="00703023">
            <w:pPr>
              <w:spacing w:after="0"/>
              <w:jc w:val="both"/>
              <w:rPr>
                <w:b/>
                <w:sz w:val="18"/>
                <w:szCs w:val="18"/>
              </w:rPr>
            </w:pPr>
            <w:r>
              <w:rPr>
                <w:b/>
                <w:sz w:val="18"/>
              </w:rPr>
              <w:t>Källa till detaljerad information samt aggregationsregeln</w:t>
            </w:r>
          </w:p>
        </w:tc>
      </w:tr>
      <w:tr w:rsidR="000215C5">
        <w:tc>
          <w:tcPr>
            <w:tcW w:w="326" w:type="pct"/>
            <w:shd w:val="clear" w:color="auto" w:fill="auto"/>
          </w:tcPr>
          <w:p w:rsidR="000215C5" w:rsidRDefault="00703023">
            <w:pPr>
              <w:spacing w:after="0"/>
              <w:jc w:val="both"/>
              <w:rPr>
                <w:sz w:val="20"/>
              </w:rPr>
            </w:pPr>
            <w:r>
              <w:rPr>
                <w:sz w:val="20"/>
              </w:rPr>
              <w:t>1</w:t>
            </w:r>
          </w:p>
        </w:tc>
        <w:tc>
          <w:tcPr>
            <w:tcW w:w="865" w:type="pct"/>
            <w:shd w:val="clear" w:color="auto" w:fill="auto"/>
          </w:tcPr>
          <w:p w:rsidR="000215C5" w:rsidRDefault="00703023">
            <w:pPr>
              <w:spacing w:after="0"/>
              <w:jc w:val="both"/>
              <w:rPr>
                <w:b/>
                <w:smallCaps/>
                <w:sz w:val="20"/>
              </w:rPr>
            </w:pPr>
            <w:r>
              <w:rPr>
                <w:b/>
                <w:sz w:val="20"/>
              </w:rPr>
              <w:t>Total tillförsel från (betydande) punktkällor av ämnen enligt bilaga I till MKN-direktivet</w:t>
            </w:r>
          </w:p>
        </w:tc>
        <w:tc>
          <w:tcPr>
            <w:tcW w:w="606" w:type="pct"/>
            <w:shd w:val="clear" w:color="auto" w:fill="auto"/>
          </w:tcPr>
          <w:p w:rsidR="000215C5" w:rsidRDefault="00703023">
            <w:pPr>
              <w:spacing w:after="0"/>
              <w:jc w:val="both"/>
              <w:rPr>
                <w:b/>
                <w:smallCaps/>
                <w:sz w:val="20"/>
              </w:rPr>
            </w:pPr>
            <w:r>
              <w:rPr>
                <w:sz w:val="20"/>
              </w:rPr>
              <w:t>Diagram, tabell eller karta</w:t>
            </w:r>
          </w:p>
        </w:tc>
        <w:tc>
          <w:tcPr>
            <w:tcW w:w="779" w:type="pct"/>
            <w:shd w:val="clear" w:color="auto" w:fill="auto"/>
          </w:tcPr>
          <w:p w:rsidR="000215C5" w:rsidRDefault="00703023">
            <w:pPr>
              <w:spacing w:after="0"/>
              <w:jc w:val="both"/>
              <w:rPr>
                <w:b/>
                <w:smallCaps/>
                <w:sz w:val="20"/>
              </w:rPr>
            </w:pPr>
            <w:r>
              <w:rPr>
                <w:sz w:val="20"/>
              </w:rPr>
              <w:t xml:space="preserve">EU/MS/RBD </w:t>
            </w:r>
          </w:p>
        </w:tc>
        <w:tc>
          <w:tcPr>
            <w:tcW w:w="1298" w:type="pct"/>
            <w:shd w:val="clear" w:color="auto" w:fill="auto"/>
          </w:tcPr>
          <w:p w:rsidR="000215C5" w:rsidRDefault="00703023">
            <w:pPr>
              <w:spacing w:after="0"/>
              <w:jc w:val="both"/>
              <w:rPr>
                <w:b/>
                <w:smallCaps/>
                <w:sz w:val="20"/>
              </w:rPr>
            </w:pPr>
            <w:r>
              <w:rPr>
                <w:sz w:val="20"/>
              </w:rPr>
              <w:t>Tillförsel från kategorier av punktkällor per ämne.</w:t>
            </w:r>
          </w:p>
        </w:tc>
        <w:tc>
          <w:tcPr>
            <w:tcW w:w="1126" w:type="pct"/>
            <w:shd w:val="clear" w:color="auto" w:fill="auto"/>
          </w:tcPr>
          <w:p w:rsidR="000215C5" w:rsidRDefault="00703023">
            <w:pPr>
              <w:spacing w:after="0"/>
              <w:jc w:val="both"/>
              <w:rPr>
                <w:b/>
                <w:smallCaps/>
                <w:sz w:val="20"/>
              </w:rPr>
            </w:pPr>
            <w:r>
              <w:rPr>
                <w:sz w:val="20"/>
              </w:rPr>
              <w:t>Information rapporterad på nivån för avrinningsdistrikt eller delavrinningsdistrikt.</w:t>
            </w:r>
          </w:p>
        </w:tc>
      </w:tr>
      <w:tr w:rsidR="000215C5">
        <w:tc>
          <w:tcPr>
            <w:tcW w:w="326" w:type="pct"/>
            <w:shd w:val="clear" w:color="auto" w:fill="auto"/>
          </w:tcPr>
          <w:p w:rsidR="000215C5" w:rsidRDefault="00703023">
            <w:pPr>
              <w:spacing w:after="0"/>
              <w:jc w:val="both"/>
              <w:rPr>
                <w:b/>
                <w:smallCaps/>
                <w:sz w:val="20"/>
              </w:rPr>
            </w:pPr>
            <w:r>
              <w:rPr>
                <w:sz w:val="20"/>
              </w:rPr>
              <w:t>2</w:t>
            </w:r>
          </w:p>
        </w:tc>
        <w:tc>
          <w:tcPr>
            <w:tcW w:w="865" w:type="pct"/>
            <w:shd w:val="clear" w:color="auto" w:fill="auto"/>
          </w:tcPr>
          <w:p w:rsidR="000215C5" w:rsidRDefault="00703023">
            <w:pPr>
              <w:spacing w:after="0"/>
              <w:jc w:val="both"/>
              <w:rPr>
                <w:b/>
                <w:smallCaps/>
                <w:sz w:val="20"/>
              </w:rPr>
            </w:pPr>
            <w:r>
              <w:rPr>
                <w:b/>
                <w:sz w:val="20"/>
              </w:rPr>
              <w:t>Total tillförsel från (betydande) diffusa källor av ämnen enligt bilaga I till MKN-direktivet</w:t>
            </w:r>
          </w:p>
        </w:tc>
        <w:tc>
          <w:tcPr>
            <w:tcW w:w="606" w:type="pct"/>
            <w:shd w:val="clear" w:color="auto" w:fill="auto"/>
          </w:tcPr>
          <w:p w:rsidR="000215C5" w:rsidRDefault="00703023">
            <w:pPr>
              <w:spacing w:after="0"/>
              <w:jc w:val="both"/>
              <w:rPr>
                <w:b/>
                <w:smallCaps/>
                <w:sz w:val="20"/>
              </w:rPr>
            </w:pPr>
            <w:r>
              <w:rPr>
                <w:sz w:val="20"/>
              </w:rPr>
              <w:t>Diagram, tabell eller karta</w:t>
            </w:r>
          </w:p>
        </w:tc>
        <w:tc>
          <w:tcPr>
            <w:tcW w:w="779" w:type="pct"/>
            <w:shd w:val="clear" w:color="auto" w:fill="auto"/>
          </w:tcPr>
          <w:p w:rsidR="000215C5" w:rsidRDefault="00703023">
            <w:pPr>
              <w:spacing w:after="0"/>
              <w:jc w:val="both"/>
              <w:rPr>
                <w:b/>
                <w:smallCaps/>
                <w:sz w:val="20"/>
              </w:rPr>
            </w:pPr>
            <w:r>
              <w:rPr>
                <w:sz w:val="20"/>
              </w:rPr>
              <w:t>EU/MS/RBD</w:t>
            </w:r>
          </w:p>
        </w:tc>
        <w:tc>
          <w:tcPr>
            <w:tcW w:w="1298" w:type="pct"/>
            <w:shd w:val="clear" w:color="auto" w:fill="auto"/>
          </w:tcPr>
          <w:p w:rsidR="000215C5" w:rsidRDefault="00703023">
            <w:pPr>
              <w:spacing w:after="0"/>
              <w:jc w:val="both"/>
              <w:rPr>
                <w:b/>
                <w:smallCaps/>
                <w:sz w:val="20"/>
              </w:rPr>
            </w:pPr>
            <w:r>
              <w:rPr>
                <w:sz w:val="20"/>
              </w:rPr>
              <w:t>Tillförsel från kategorier av diffusa källor per ämne.</w:t>
            </w:r>
          </w:p>
        </w:tc>
        <w:tc>
          <w:tcPr>
            <w:tcW w:w="1126" w:type="pct"/>
            <w:shd w:val="clear" w:color="auto" w:fill="auto"/>
          </w:tcPr>
          <w:p w:rsidR="000215C5" w:rsidRDefault="00703023">
            <w:pPr>
              <w:spacing w:after="0"/>
              <w:jc w:val="both"/>
              <w:rPr>
                <w:b/>
                <w:smallCaps/>
                <w:sz w:val="20"/>
              </w:rPr>
            </w:pPr>
            <w:r>
              <w:rPr>
                <w:sz w:val="20"/>
              </w:rPr>
              <w:t>Information rapporterad på nivån för avrinningsdistrikt eller delavrinningsdistrikt.</w:t>
            </w:r>
          </w:p>
        </w:tc>
      </w:tr>
      <w:tr w:rsidR="000215C5">
        <w:tc>
          <w:tcPr>
            <w:tcW w:w="326" w:type="pct"/>
            <w:shd w:val="clear" w:color="auto" w:fill="auto"/>
          </w:tcPr>
          <w:p w:rsidR="000215C5" w:rsidRDefault="00703023">
            <w:pPr>
              <w:spacing w:after="0"/>
              <w:jc w:val="both"/>
              <w:rPr>
                <w:b/>
                <w:smallCaps/>
                <w:sz w:val="20"/>
              </w:rPr>
            </w:pPr>
            <w:r>
              <w:rPr>
                <w:sz w:val="20"/>
              </w:rPr>
              <w:t>3</w:t>
            </w:r>
          </w:p>
        </w:tc>
        <w:tc>
          <w:tcPr>
            <w:tcW w:w="865" w:type="pct"/>
            <w:shd w:val="clear" w:color="auto" w:fill="auto"/>
          </w:tcPr>
          <w:p w:rsidR="000215C5" w:rsidRDefault="00703023">
            <w:pPr>
              <w:spacing w:after="0"/>
              <w:jc w:val="both"/>
              <w:rPr>
                <w:b/>
                <w:smallCaps/>
                <w:sz w:val="20"/>
              </w:rPr>
            </w:pPr>
            <w:r>
              <w:rPr>
                <w:b/>
                <w:sz w:val="20"/>
              </w:rPr>
              <w:t>Trender i total tillförsel av ämnen enligt bilaga I till MKN-direktivet</w:t>
            </w:r>
          </w:p>
        </w:tc>
        <w:tc>
          <w:tcPr>
            <w:tcW w:w="606" w:type="pct"/>
            <w:shd w:val="clear" w:color="auto" w:fill="auto"/>
          </w:tcPr>
          <w:p w:rsidR="000215C5" w:rsidRDefault="00703023">
            <w:pPr>
              <w:spacing w:after="0"/>
              <w:jc w:val="both"/>
              <w:rPr>
                <w:b/>
                <w:smallCaps/>
                <w:sz w:val="20"/>
              </w:rPr>
            </w:pPr>
            <w:r>
              <w:rPr>
                <w:sz w:val="20"/>
              </w:rPr>
              <w:t>Diagram eller tabell</w:t>
            </w:r>
          </w:p>
        </w:tc>
        <w:tc>
          <w:tcPr>
            <w:tcW w:w="779" w:type="pct"/>
            <w:shd w:val="clear" w:color="auto" w:fill="auto"/>
          </w:tcPr>
          <w:p w:rsidR="000215C5" w:rsidRDefault="00703023">
            <w:pPr>
              <w:spacing w:after="0"/>
              <w:jc w:val="both"/>
              <w:rPr>
                <w:b/>
                <w:smallCaps/>
                <w:sz w:val="20"/>
              </w:rPr>
            </w:pPr>
            <w:r>
              <w:rPr>
                <w:sz w:val="20"/>
              </w:rPr>
              <w:t>EU/MS/RBD</w:t>
            </w:r>
          </w:p>
        </w:tc>
        <w:tc>
          <w:tcPr>
            <w:tcW w:w="1298" w:type="pct"/>
            <w:shd w:val="clear" w:color="auto" w:fill="auto"/>
          </w:tcPr>
          <w:p w:rsidR="000215C5" w:rsidRDefault="00703023">
            <w:pPr>
              <w:spacing w:after="0"/>
              <w:jc w:val="both"/>
              <w:rPr>
                <w:b/>
                <w:smallCaps/>
                <w:sz w:val="20"/>
              </w:rPr>
            </w:pPr>
            <w:r>
              <w:rPr>
                <w:sz w:val="20"/>
              </w:rPr>
              <w:t>Trend för total tillförsel från punktkällor och diffusa källor (även genom självbedömning i förekommande fall) per ämne.</w:t>
            </w:r>
          </w:p>
        </w:tc>
        <w:tc>
          <w:tcPr>
            <w:tcW w:w="1126" w:type="pct"/>
            <w:shd w:val="clear" w:color="auto" w:fill="auto"/>
          </w:tcPr>
          <w:p w:rsidR="000215C5" w:rsidRDefault="00703023">
            <w:pPr>
              <w:spacing w:after="0"/>
              <w:jc w:val="both"/>
              <w:rPr>
                <w:b/>
                <w:smallCaps/>
                <w:sz w:val="20"/>
              </w:rPr>
            </w:pPr>
            <w:r>
              <w:rPr>
                <w:sz w:val="20"/>
              </w:rPr>
              <w:t>Information rapporterad på nivån för avrinningsdistrikt eller delavrinningsdistrikt.</w:t>
            </w:r>
          </w:p>
        </w:tc>
      </w:tr>
      <w:tr w:rsidR="000215C5">
        <w:tc>
          <w:tcPr>
            <w:tcW w:w="326" w:type="pct"/>
            <w:shd w:val="clear" w:color="auto" w:fill="auto"/>
          </w:tcPr>
          <w:p w:rsidR="000215C5" w:rsidRDefault="00703023">
            <w:pPr>
              <w:spacing w:after="0"/>
              <w:jc w:val="both"/>
              <w:rPr>
                <w:b/>
                <w:smallCaps/>
                <w:sz w:val="20"/>
              </w:rPr>
            </w:pPr>
            <w:r>
              <w:rPr>
                <w:sz w:val="20"/>
              </w:rPr>
              <w:t>4</w:t>
            </w:r>
          </w:p>
        </w:tc>
        <w:tc>
          <w:tcPr>
            <w:tcW w:w="865" w:type="pct"/>
            <w:shd w:val="clear" w:color="auto" w:fill="auto"/>
          </w:tcPr>
          <w:p w:rsidR="000215C5" w:rsidRDefault="00703023">
            <w:pPr>
              <w:spacing w:after="0"/>
              <w:jc w:val="both"/>
              <w:rPr>
                <w:b/>
                <w:smallCaps/>
                <w:sz w:val="20"/>
              </w:rPr>
            </w:pPr>
            <w:r>
              <w:rPr>
                <w:b/>
                <w:sz w:val="20"/>
              </w:rPr>
              <w:t>Total tillförsel från (betydande) punktkällor av andra ämnen eller parametrar</w:t>
            </w:r>
          </w:p>
        </w:tc>
        <w:tc>
          <w:tcPr>
            <w:tcW w:w="606" w:type="pct"/>
            <w:shd w:val="clear" w:color="auto" w:fill="auto"/>
          </w:tcPr>
          <w:p w:rsidR="000215C5" w:rsidRDefault="00703023">
            <w:pPr>
              <w:spacing w:after="0"/>
              <w:jc w:val="both"/>
              <w:rPr>
                <w:b/>
                <w:smallCaps/>
                <w:sz w:val="20"/>
              </w:rPr>
            </w:pPr>
            <w:r>
              <w:rPr>
                <w:sz w:val="20"/>
              </w:rPr>
              <w:t>Diagram, tabell eller karta</w:t>
            </w:r>
          </w:p>
        </w:tc>
        <w:tc>
          <w:tcPr>
            <w:tcW w:w="779" w:type="pct"/>
            <w:shd w:val="clear" w:color="auto" w:fill="auto"/>
          </w:tcPr>
          <w:p w:rsidR="000215C5" w:rsidRDefault="00703023">
            <w:pPr>
              <w:spacing w:after="0"/>
              <w:jc w:val="both"/>
              <w:rPr>
                <w:b/>
                <w:smallCaps/>
                <w:sz w:val="20"/>
              </w:rPr>
            </w:pPr>
            <w:r>
              <w:rPr>
                <w:sz w:val="20"/>
              </w:rPr>
              <w:t xml:space="preserve">EU/MS/RBD </w:t>
            </w:r>
          </w:p>
        </w:tc>
        <w:tc>
          <w:tcPr>
            <w:tcW w:w="1298" w:type="pct"/>
            <w:shd w:val="clear" w:color="auto" w:fill="auto"/>
          </w:tcPr>
          <w:p w:rsidR="000215C5" w:rsidRDefault="00703023">
            <w:pPr>
              <w:spacing w:after="0"/>
              <w:jc w:val="both"/>
              <w:rPr>
                <w:b/>
                <w:smallCaps/>
                <w:sz w:val="20"/>
              </w:rPr>
            </w:pPr>
            <w:r>
              <w:rPr>
                <w:sz w:val="20"/>
              </w:rPr>
              <w:t>Tillförsel från kategorier av punktkällor per ämne.</w:t>
            </w:r>
          </w:p>
        </w:tc>
        <w:tc>
          <w:tcPr>
            <w:tcW w:w="1126" w:type="pct"/>
            <w:shd w:val="clear" w:color="auto" w:fill="auto"/>
          </w:tcPr>
          <w:p w:rsidR="000215C5" w:rsidRDefault="00703023">
            <w:pPr>
              <w:spacing w:after="0"/>
              <w:jc w:val="both"/>
              <w:rPr>
                <w:b/>
                <w:smallCaps/>
                <w:sz w:val="20"/>
              </w:rPr>
            </w:pPr>
            <w:r>
              <w:rPr>
                <w:sz w:val="20"/>
              </w:rPr>
              <w:t>Information rapporterad på nivån för avrinningsdistrikt eller delavrinningsdistrikt.</w:t>
            </w:r>
          </w:p>
        </w:tc>
      </w:tr>
      <w:tr w:rsidR="000215C5">
        <w:tc>
          <w:tcPr>
            <w:tcW w:w="326" w:type="pct"/>
            <w:shd w:val="clear" w:color="auto" w:fill="auto"/>
          </w:tcPr>
          <w:p w:rsidR="000215C5" w:rsidRDefault="00703023">
            <w:pPr>
              <w:spacing w:after="0"/>
              <w:jc w:val="both"/>
              <w:rPr>
                <w:b/>
                <w:smallCaps/>
                <w:sz w:val="20"/>
              </w:rPr>
            </w:pPr>
            <w:r>
              <w:rPr>
                <w:sz w:val="20"/>
              </w:rPr>
              <w:t>5</w:t>
            </w:r>
          </w:p>
        </w:tc>
        <w:tc>
          <w:tcPr>
            <w:tcW w:w="865" w:type="pct"/>
            <w:shd w:val="clear" w:color="auto" w:fill="auto"/>
          </w:tcPr>
          <w:p w:rsidR="000215C5" w:rsidRDefault="00703023">
            <w:pPr>
              <w:spacing w:after="0"/>
              <w:jc w:val="both"/>
              <w:rPr>
                <w:b/>
                <w:smallCaps/>
                <w:sz w:val="20"/>
              </w:rPr>
            </w:pPr>
            <w:r>
              <w:rPr>
                <w:b/>
                <w:sz w:val="20"/>
              </w:rPr>
              <w:t>Total tillförsel från (betydande) diffusa källor av andra ämnen eller parametrar</w:t>
            </w:r>
          </w:p>
        </w:tc>
        <w:tc>
          <w:tcPr>
            <w:tcW w:w="606" w:type="pct"/>
            <w:shd w:val="clear" w:color="auto" w:fill="auto"/>
          </w:tcPr>
          <w:p w:rsidR="000215C5" w:rsidRDefault="00703023">
            <w:pPr>
              <w:spacing w:after="0"/>
              <w:jc w:val="both"/>
              <w:rPr>
                <w:b/>
                <w:smallCaps/>
                <w:sz w:val="20"/>
              </w:rPr>
            </w:pPr>
            <w:r>
              <w:rPr>
                <w:sz w:val="20"/>
              </w:rPr>
              <w:t>Diagram, tabell eller karta</w:t>
            </w:r>
          </w:p>
        </w:tc>
        <w:tc>
          <w:tcPr>
            <w:tcW w:w="779" w:type="pct"/>
            <w:shd w:val="clear" w:color="auto" w:fill="auto"/>
          </w:tcPr>
          <w:p w:rsidR="000215C5" w:rsidRDefault="00703023">
            <w:pPr>
              <w:spacing w:after="0"/>
              <w:jc w:val="both"/>
              <w:rPr>
                <w:b/>
                <w:smallCaps/>
                <w:sz w:val="20"/>
              </w:rPr>
            </w:pPr>
            <w:r>
              <w:rPr>
                <w:sz w:val="20"/>
              </w:rPr>
              <w:t>EU/MS/RBD</w:t>
            </w:r>
          </w:p>
        </w:tc>
        <w:tc>
          <w:tcPr>
            <w:tcW w:w="1298" w:type="pct"/>
            <w:shd w:val="clear" w:color="auto" w:fill="auto"/>
          </w:tcPr>
          <w:p w:rsidR="000215C5" w:rsidRDefault="00703023">
            <w:pPr>
              <w:spacing w:after="0"/>
              <w:jc w:val="both"/>
              <w:rPr>
                <w:b/>
                <w:smallCaps/>
                <w:sz w:val="20"/>
              </w:rPr>
            </w:pPr>
            <w:r>
              <w:rPr>
                <w:sz w:val="20"/>
              </w:rPr>
              <w:t>Tillförsel från kategorier av diffusa källor per ämne.</w:t>
            </w:r>
          </w:p>
        </w:tc>
        <w:tc>
          <w:tcPr>
            <w:tcW w:w="1126" w:type="pct"/>
            <w:shd w:val="clear" w:color="auto" w:fill="auto"/>
          </w:tcPr>
          <w:p w:rsidR="000215C5" w:rsidRDefault="00703023">
            <w:pPr>
              <w:spacing w:after="0"/>
              <w:jc w:val="both"/>
              <w:rPr>
                <w:b/>
                <w:smallCaps/>
                <w:sz w:val="20"/>
              </w:rPr>
            </w:pPr>
            <w:r>
              <w:rPr>
                <w:sz w:val="20"/>
              </w:rPr>
              <w:t>Information rapporterad på nivån för avrinningsdistrikt eller delavrinningsdistrikt.</w:t>
            </w:r>
          </w:p>
        </w:tc>
      </w:tr>
      <w:tr w:rsidR="000215C5">
        <w:tc>
          <w:tcPr>
            <w:tcW w:w="326" w:type="pct"/>
            <w:shd w:val="clear" w:color="auto" w:fill="auto"/>
          </w:tcPr>
          <w:p w:rsidR="000215C5" w:rsidRDefault="00703023">
            <w:pPr>
              <w:spacing w:after="0"/>
              <w:jc w:val="both"/>
              <w:rPr>
                <w:b/>
                <w:smallCaps/>
                <w:sz w:val="20"/>
              </w:rPr>
            </w:pPr>
            <w:r>
              <w:rPr>
                <w:sz w:val="20"/>
              </w:rPr>
              <w:t>6</w:t>
            </w:r>
          </w:p>
        </w:tc>
        <w:tc>
          <w:tcPr>
            <w:tcW w:w="865" w:type="pct"/>
            <w:shd w:val="clear" w:color="auto" w:fill="auto"/>
          </w:tcPr>
          <w:p w:rsidR="000215C5" w:rsidRDefault="00703023">
            <w:pPr>
              <w:spacing w:after="0"/>
              <w:jc w:val="both"/>
              <w:rPr>
                <w:b/>
                <w:smallCaps/>
                <w:sz w:val="20"/>
              </w:rPr>
            </w:pPr>
            <w:r>
              <w:rPr>
                <w:b/>
                <w:sz w:val="20"/>
              </w:rPr>
              <w:t>Trender i total tillförsel av andra ämnen eller parametrar</w:t>
            </w:r>
          </w:p>
        </w:tc>
        <w:tc>
          <w:tcPr>
            <w:tcW w:w="606" w:type="pct"/>
            <w:shd w:val="clear" w:color="auto" w:fill="auto"/>
          </w:tcPr>
          <w:p w:rsidR="000215C5" w:rsidRDefault="00703023">
            <w:pPr>
              <w:spacing w:after="0"/>
              <w:jc w:val="both"/>
              <w:rPr>
                <w:b/>
                <w:smallCaps/>
                <w:sz w:val="20"/>
              </w:rPr>
            </w:pPr>
            <w:r>
              <w:rPr>
                <w:sz w:val="20"/>
              </w:rPr>
              <w:t>Diagram eller tabell</w:t>
            </w:r>
          </w:p>
        </w:tc>
        <w:tc>
          <w:tcPr>
            <w:tcW w:w="779" w:type="pct"/>
            <w:shd w:val="clear" w:color="auto" w:fill="auto"/>
          </w:tcPr>
          <w:p w:rsidR="000215C5" w:rsidRDefault="00703023">
            <w:pPr>
              <w:spacing w:after="0"/>
              <w:jc w:val="both"/>
              <w:rPr>
                <w:b/>
                <w:smallCaps/>
                <w:sz w:val="20"/>
              </w:rPr>
            </w:pPr>
            <w:r>
              <w:rPr>
                <w:sz w:val="20"/>
              </w:rPr>
              <w:t>EU/MS/RBD</w:t>
            </w:r>
          </w:p>
        </w:tc>
        <w:tc>
          <w:tcPr>
            <w:tcW w:w="1298" w:type="pct"/>
            <w:shd w:val="clear" w:color="auto" w:fill="auto"/>
          </w:tcPr>
          <w:p w:rsidR="000215C5" w:rsidRDefault="00703023">
            <w:pPr>
              <w:spacing w:after="0"/>
              <w:jc w:val="both"/>
              <w:rPr>
                <w:b/>
                <w:smallCaps/>
                <w:sz w:val="20"/>
              </w:rPr>
            </w:pPr>
            <w:r>
              <w:rPr>
                <w:sz w:val="20"/>
              </w:rPr>
              <w:t>Trend för total tillförsel från punktkällor och diffusa källor (även genom självbedömning i förekommande fall) per ämne.</w:t>
            </w:r>
          </w:p>
        </w:tc>
        <w:tc>
          <w:tcPr>
            <w:tcW w:w="1126" w:type="pct"/>
            <w:shd w:val="clear" w:color="auto" w:fill="auto"/>
          </w:tcPr>
          <w:p w:rsidR="000215C5" w:rsidRDefault="00703023">
            <w:pPr>
              <w:spacing w:after="0"/>
              <w:jc w:val="both"/>
              <w:rPr>
                <w:b/>
                <w:smallCaps/>
                <w:sz w:val="20"/>
              </w:rPr>
            </w:pPr>
            <w:r>
              <w:rPr>
                <w:sz w:val="20"/>
              </w:rPr>
              <w:t>Information rapporterad på nivån för avrinningsdistrikt eller delavrinningsdistrikt.</w:t>
            </w:r>
          </w:p>
        </w:tc>
      </w:tr>
    </w:tbl>
    <w:p w:rsidR="000215C5" w:rsidRDefault="000215C5">
      <w:pPr>
        <w:jc w:val="both"/>
      </w:pPr>
    </w:p>
    <w:p w:rsidR="000215C5" w:rsidRDefault="00703023">
      <w:pPr>
        <w:pStyle w:val="Rubrik3"/>
      </w:pPr>
      <w:bookmarkStart w:id="677" w:name="_Toc388280340"/>
      <w:r>
        <w:t>Innehåll i rapporteringen 2016</w:t>
      </w:r>
      <w:bookmarkEnd w:id="677"/>
    </w:p>
    <w:p w:rsidR="000215C5" w:rsidRDefault="00703023">
      <w:pPr>
        <w:jc w:val="both"/>
      </w:pPr>
      <w:r>
        <w:t>Mallposterna täcker minimikraven att rapportera total tillförsel från punktkällor och diffusa källor för ämnen enligt bilaga I till MKN-direktivet, per ämne, under minst ett år. Liknande rapportering för andra ämnen/parametrar är valfri.</w:t>
      </w:r>
    </w:p>
    <w:p w:rsidR="000215C5" w:rsidRDefault="00703023">
      <w:pPr>
        <w:jc w:val="both"/>
      </w:pPr>
      <w:r>
        <w:t>Rapportering av ett andra, senare, år av uppgifter och självbedömda trender (med hänsyn till skillnaden i täckningen av faktisk tillförsel mellan två tidpunkter) är valfri.</w:t>
      </w:r>
    </w:p>
    <w:p w:rsidR="000215C5" w:rsidRDefault="00703023">
      <w:pPr>
        <w:jc w:val="both"/>
        <w:rPr>
          <w:szCs w:val="24"/>
        </w:rPr>
      </w:pPr>
      <w:r>
        <w:t>Mallposter om metoder och datakvalitet ingår för att förbättra bedömningen av uppgifterna.</w:t>
      </w:r>
    </w:p>
    <w:p w:rsidR="000215C5" w:rsidRDefault="00703023">
      <w:pPr>
        <w:jc w:val="both"/>
      </w:pPr>
      <w:r>
        <w:t>Mer detaljerad rapportering av information om uppdelning av källor eller föroreningsvägar (kategorisering) för alla ämnen är också valfri. Medlemsstaterna kan välja det system som de har använt för att kategorisera tillförsel. Om medlemsstaterna rapporterar enligt SoE-processen kan de ange att ett visst uppgiftsår ska beaktas när det gäller uppdelning av källor.</w:t>
      </w:r>
    </w:p>
    <w:p w:rsidR="000215C5" w:rsidRDefault="00703023">
      <w:pPr>
        <w:jc w:val="both"/>
      </w:pPr>
      <w:r>
        <w:t>Beroende på detaljnivån i rapporteringen och den metod som använts för att upprätta registret är det möjligt att rapportera tillförsel till ytvatten specifikt via grundvatten.</w:t>
      </w:r>
    </w:p>
    <w:p w:rsidR="000215C5" w:rsidRDefault="00703023">
      <w:pPr>
        <w:pStyle w:val="Rubrik4"/>
      </w:pPr>
      <w:r>
        <w:t>Skiss över mallarna</w:t>
      </w:r>
    </w:p>
    <w:p w:rsidR="000215C5" w:rsidRDefault="00703023">
      <w:pPr>
        <w:jc w:val="both"/>
      </w:pPr>
      <w:r>
        <w:t>Se bilaga 10.7.</w:t>
      </w:r>
    </w:p>
    <w:p w:rsidR="000215C5" w:rsidRDefault="00703023">
      <w:pPr>
        <w:pStyle w:val="Rubrik4"/>
      </w:pPr>
      <w:r>
        <w:t>Information och uppgifter som ska rapporteras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b/>
                <w:szCs w:val="24"/>
              </w:rPr>
            </w:pPr>
            <w:r>
              <w:rPr>
                <w:b/>
              </w:rPr>
              <w:t>Mall: RBMPPoM (fortsättning)</w:t>
            </w:r>
          </w:p>
        </w:tc>
      </w:tr>
      <w:tr w:rsidR="000215C5">
        <w:tc>
          <w:tcPr>
            <w:tcW w:w="9889" w:type="dxa"/>
            <w:shd w:val="clear" w:color="auto" w:fill="auto"/>
          </w:tcPr>
          <w:p w:rsidR="000215C5" w:rsidRDefault="00703023">
            <w:pPr>
              <w:spacing w:after="120"/>
              <w:jc w:val="both"/>
              <w:rPr>
                <w:b/>
                <w:i/>
                <w:szCs w:val="24"/>
              </w:rPr>
            </w:pPr>
            <w:r>
              <w:rPr>
                <w:b/>
                <w:i/>
              </w:rPr>
              <w:t>Class InputInventory</w:t>
            </w:r>
          </w:p>
          <w:p w:rsidR="000215C5" w:rsidRDefault="00703023">
            <w:pPr>
              <w:spacing w:after="120"/>
              <w:jc w:val="both"/>
              <w:rPr>
                <w:i/>
                <w:szCs w:val="24"/>
              </w:rPr>
            </w:pPr>
            <w:r>
              <w:rPr>
                <w:b/>
                <w:i/>
              </w:rPr>
              <w:t xml:space="preserve">Egenskaper: </w:t>
            </w:r>
            <w:r>
              <w:rPr>
                <w:i/>
              </w:rPr>
              <w:t>maxOccurs = unbounded minOccurs = 1</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b/>
                <w:smallCaps/>
                <w:szCs w:val="24"/>
              </w:rPr>
            </w:pPr>
            <w:r>
              <w:rPr>
                <w:b/>
              </w:rPr>
              <w:t>Mallpost</w:t>
            </w:r>
            <w:r>
              <w:t>:</w:t>
            </w:r>
            <w:r>
              <w:rPr>
                <w:b/>
              </w:rPr>
              <w:t xml:space="preserve"> </w:t>
            </w:r>
            <w:r>
              <w:t>euSubUnitCode</w:t>
            </w:r>
          </w:p>
          <w:p w:rsidR="000215C5" w:rsidRDefault="00703023">
            <w:pPr>
              <w:spacing w:after="120"/>
              <w:jc w:val="both"/>
            </w:pPr>
            <w:r>
              <w:rPr>
                <w:b/>
              </w:rPr>
              <w:t xml:space="preserve">Fälttyp/alternativ: </w:t>
            </w:r>
            <w:r>
              <w:t xml:space="preserve">FeatureUniqueEUCodeType </w:t>
            </w:r>
          </w:p>
          <w:p w:rsidR="000215C5" w:rsidRDefault="00703023">
            <w:pPr>
              <w:spacing w:after="120"/>
              <w:jc w:val="both"/>
              <w:rPr>
                <w:szCs w:val="24"/>
              </w:rPr>
            </w:pPr>
            <w:r>
              <w:rPr>
                <w:b/>
              </w:rPr>
              <w:t xml:space="preserve">Egenskaper: </w:t>
            </w:r>
            <w:r>
              <w:t xml:space="preserve">maxOccurs = 1 minOccurs = 0 </w:t>
            </w:r>
          </w:p>
          <w:p w:rsidR="000215C5" w:rsidRDefault="00703023">
            <w:pPr>
              <w:tabs>
                <w:tab w:val="left" w:pos="1643"/>
                <w:tab w:val="left" w:pos="1995"/>
                <w:tab w:val="left" w:pos="4503"/>
                <w:tab w:val="left" w:pos="8337"/>
              </w:tabs>
              <w:spacing w:after="120"/>
              <w:jc w:val="both"/>
              <w:rPr>
                <w:b/>
                <w:szCs w:val="24"/>
              </w:rPr>
            </w:pPr>
            <w:r>
              <w:rPr>
                <w:b/>
              </w:rPr>
              <w:t>Vägledning om hur man fyller i mallposten</w:t>
            </w:r>
            <w:r>
              <w:t xml:space="preserve">: Villkorlig. I förekommande fall, rapportera delavrinningsdistriktets unika EU-kod. Om det inte finns några delavrinningsdistrikt behöver denna post inte rapporteras och informationen rapporteras på nivån för avrinningsdistrikt. </w:t>
            </w:r>
          </w:p>
          <w:p w:rsidR="000215C5" w:rsidRDefault="00703023">
            <w:pPr>
              <w:tabs>
                <w:tab w:val="left" w:pos="1643"/>
                <w:tab w:val="left" w:pos="1995"/>
                <w:tab w:val="left" w:pos="4503"/>
                <w:tab w:val="left" w:pos="8337"/>
              </w:tabs>
              <w:spacing w:after="120"/>
              <w:jc w:val="both"/>
              <w:rPr>
                <w:szCs w:val="24"/>
              </w:rPr>
            </w:pPr>
            <w:r>
              <w:rPr>
                <w:b/>
              </w:rPr>
              <w:t>Kvalitetskontroller</w:t>
            </w:r>
            <w:r>
              <w:t>:</w:t>
            </w:r>
            <w:r>
              <w:rPr>
                <w:b/>
              </w:rPr>
              <w:t xml:space="preserve"> </w:t>
            </w:r>
            <w:r>
              <w:t xml:space="preserve">Villkorlig kontroll: rapportera om </w:t>
            </w:r>
            <w:r>
              <w:rPr>
                <w:i/>
              </w:rPr>
              <w:t>RBDSUCA/RBD/</w:t>
            </w:r>
            <w:r>
              <w:t>subUnitsDefined är ”Yes”.</w:t>
            </w:r>
          </w:p>
          <w:p w:rsidR="000215C5" w:rsidRDefault="00703023">
            <w:pPr>
              <w:tabs>
                <w:tab w:val="left" w:pos="1643"/>
                <w:tab w:val="left" w:pos="1995"/>
                <w:tab w:val="left" w:pos="4503"/>
                <w:tab w:val="left" w:pos="8337"/>
              </w:tabs>
              <w:spacing w:after="120"/>
              <w:jc w:val="both"/>
              <w:rPr>
                <w:szCs w:val="24"/>
              </w:rPr>
            </w:pPr>
            <w:r>
              <w:t xml:space="preserve">Kontroll av posten: De första två bokstäverna måste vara medlemsstatens ISO-landskod med två bokstäver. </w:t>
            </w:r>
          </w:p>
          <w:p w:rsidR="000215C5" w:rsidRDefault="000215C5">
            <w:pPr>
              <w:tabs>
                <w:tab w:val="left" w:pos="1643"/>
                <w:tab w:val="left" w:pos="1995"/>
                <w:tab w:val="left" w:pos="4503"/>
                <w:tab w:val="left" w:pos="8337"/>
              </w:tabs>
              <w:spacing w:after="120"/>
              <w:jc w:val="both"/>
              <w:rPr>
                <w:i/>
                <w:szCs w:val="24"/>
              </w:rPr>
            </w:pPr>
          </w:p>
          <w:p w:rsidR="000215C5" w:rsidRDefault="00703023">
            <w:pPr>
              <w:tabs>
                <w:tab w:val="left" w:pos="1643"/>
                <w:tab w:val="left" w:pos="1995"/>
                <w:tab w:val="left" w:pos="4503"/>
                <w:tab w:val="left" w:pos="8337"/>
              </w:tabs>
              <w:spacing w:after="120"/>
              <w:jc w:val="both"/>
              <w:rPr>
                <w:szCs w:val="24"/>
              </w:rPr>
            </w:pPr>
            <w:r>
              <w:t xml:space="preserve">Intern kontroll: euRBDSubUnitCodemåste överensstämma med de koder som rapporteras i </w:t>
            </w:r>
            <w:r>
              <w:rPr>
                <w:i/>
              </w:rPr>
              <w:t>RBDSUCA/RBD/SubUnit/</w:t>
            </w:r>
            <w:r>
              <w:t>euSubUnitCode.</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 xml:space="preserve">Mallpost: </w:t>
            </w:r>
            <w:r>
              <w:t>inputInventoryReference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 xml:space="preserve">Vägledning om hur man fyller i mallposten: </w:t>
            </w:r>
            <w:r>
              <w:t xml:space="preserve">Krävs. Ange hänvisningar eller hyperlänkar till de dokument och avsnitt som innehåller annan relevant information om uppskattning av tillförsel av förorenande ämnen. Vägledning om vilka uppgifter som bör ingå i detta dokument ges i avsnitt </w:t>
            </w:r>
            <w:r>
              <w:fldChar w:fldCharType="begin"/>
            </w:r>
            <w:r>
              <w:instrText xml:space="preserve"> REF _Ref402960148 \r \h  \* MERGEFORMAT </w:instrText>
            </w:r>
            <w:r>
              <w:fldChar w:fldCharType="separate"/>
            </w:r>
            <w:r>
              <w:rPr>
                <w:szCs w:val="24"/>
              </w:rPr>
              <w:t>9.3.3.3</w:t>
            </w:r>
            <w:r>
              <w:fldChar w:fldCharType="end"/>
            </w:r>
            <w:r>
              <w:t xml:space="preserve">. </w:t>
            </w:r>
          </w:p>
        </w:tc>
      </w:tr>
    </w:tbl>
    <w:p w:rsidR="000215C5" w:rsidRDefault="000215C5">
      <w:pPr>
        <w:tabs>
          <w:tab w:val="left" w:pos="1643"/>
          <w:tab w:val="left" w:pos="1995"/>
          <w:tab w:val="left" w:pos="4503"/>
          <w:tab w:val="left" w:pos="8337"/>
        </w:tabs>
        <w:spacing w:after="120"/>
        <w:jc w:val="both"/>
        <w:rPr>
          <w:b/>
          <w:szCs w:val="24"/>
        </w:rPr>
      </w:pPr>
    </w:p>
    <w:p w:rsidR="000215C5" w:rsidRDefault="00703023">
      <w:pPr>
        <w:tabs>
          <w:tab w:val="left" w:pos="1643"/>
          <w:tab w:val="left" w:pos="1995"/>
          <w:tab w:val="left" w:pos="4503"/>
          <w:tab w:val="left" w:pos="8337"/>
        </w:tabs>
        <w:spacing w:after="120"/>
        <w:jc w:val="both"/>
        <w:rPr>
          <w:szCs w:val="24"/>
        </w:rPr>
      </w:pPr>
      <w:r>
        <w:t>Följande klass (underkategori till InputInventory) används för att rapportera information om varje ämne: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Mallen RBMPPoM (fortsättning)</w:t>
            </w:r>
          </w:p>
        </w:tc>
      </w:tr>
      <w:tr w:rsidR="000215C5">
        <w:tc>
          <w:tcPr>
            <w:tcW w:w="9889" w:type="dxa"/>
            <w:shd w:val="clear" w:color="auto" w:fill="auto"/>
          </w:tcPr>
          <w:p w:rsidR="000215C5" w:rsidRDefault="00703023">
            <w:pPr>
              <w:spacing w:after="120"/>
              <w:jc w:val="both"/>
              <w:rPr>
                <w:b/>
                <w:i/>
                <w:szCs w:val="24"/>
              </w:rPr>
            </w:pPr>
            <w:r>
              <w:rPr>
                <w:b/>
                <w:i/>
              </w:rPr>
              <w:t>Class InputPollutant</w:t>
            </w:r>
          </w:p>
          <w:p w:rsidR="000215C5" w:rsidRDefault="00703023">
            <w:pPr>
              <w:spacing w:after="120"/>
              <w:jc w:val="both"/>
              <w:rPr>
                <w:b/>
                <w:szCs w:val="24"/>
              </w:rPr>
            </w:pPr>
            <w:r>
              <w:rPr>
                <w:b/>
                <w:i/>
              </w:rPr>
              <w:t xml:space="preserve">Egenskaper: </w:t>
            </w:r>
            <w:r>
              <w:rPr>
                <w:i/>
              </w:rPr>
              <w:t>maxOccurs = unbounded minOccurs = 1</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chemicalSubstance</w:t>
            </w:r>
          </w:p>
          <w:p w:rsidR="000215C5" w:rsidRDefault="00703023">
            <w:pPr>
              <w:spacing w:after="120"/>
              <w:jc w:val="both"/>
              <w:rPr>
                <w:szCs w:val="24"/>
              </w:rPr>
            </w:pPr>
            <w:r>
              <w:rPr>
                <w:b/>
              </w:rPr>
              <w:t xml:space="preserve">Fälttyp/alternativ: </w:t>
            </w:r>
            <w:r>
              <w:t>ChemicalSubstances_Union_Enum (se bilaga 8e)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Välj i tur och ordning varje ämne enligt bilaga I till MKN-direktivet för att lämna den information som anges i följande mallposter. </w:t>
            </w:r>
          </w:p>
          <w:p w:rsidR="000215C5" w:rsidRDefault="00703023">
            <w:pPr>
              <w:spacing w:after="120"/>
              <w:jc w:val="both"/>
              <w:rPr>
                <w:szCs w:val="24"/>
              </w:rPr>
            </w:pPr>
            <w:r>
              <w:t xml:space="preserve">Välj kompletterande ämnen i RBSP-förteckningen och andra poster för att rapportera informationen i följande mallposter. Koderna ska överensstämma med Eionet-koderna för samma ämnen. </w:t>
            </w:r>
          </w:p>
          <w:p w:rsidR="000215C5" w:rsidRDefault="00703023">
            <w:pPr>
              <w:spacing w:after="120"/>
              <w:jc w:val="both"/>
              <w:rPr>
                <w:szCs w:val="24"/>
              </w:rPr>
            </w:pPr>
            <w:r>
              <w:rPr>
                <w:b/>
              </w:rPr>
              <w:t>Kvalitetskontroll</w:t>
            </w:r>
            <w:r>
              <w:t>: Intern kontroll: Alla ämnen enligt bilaga I till MKN-direktivet ska rapporteras (om totalt aldrin+dieldrin+endrin+isodrin rapporteras behöver de individuella ämnena inte rapporteras, om totalt PAH rapporteras behöver inte de individuella ämnena benso(g,h,i)perylen, indeno(1,2,3</w:t>
            </w:r>
            <w:r w:rsidR="001C7791">
              <w:noBreakHyphen/>
            </w:r>
            <w:r>
              <w:t xml:space="preserve">cd)pyren, benso(b)fluoranten, fluoranten och benso(k)fluoranten inte rapporteras). </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szCs w:val="24"/>
              </w:rPr>
            </w:pPr>
            <w:r>
              <w:rPr>
                <w:b/>
              </w:rPr>
              <w:t>Mallpost</w:t>
            </w:r>
            <w:r>
              <w:t>:</w:t>
            </w:r>
            <w:r>
              <w:rPr>
                <w:b/>
              </w:rPr>
              <w:t xml:space="preserve"> </w:t>
            </w:r>
            <w:r>
              <w:t>inventory</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ett register över utsläpp och spill har upprättats för detta ämne. </w:t>
            </w:r>
          </w:p>
          <w:p w:rsidR="000215C5" w:rsidRDefault="00703023">
            <w:pPr>
              <w:spacing w:after="120"/>
              <w:jc w:val="both"/>
              <w:rPr>
                <w:szCs w:val="24"/>
              </w:rPr>
            </w:pPr>
            <w:r>
              <w:t xml:space="preserve">Ange endast ”No” om den nödvändiga bedömningen inte har gjorts för detta ämne. </w:t>
            </w:r>
          </w:p>
          <w:p w:rsidR="000215C5" w:rsidRDefault="00703023">
            <w:pPr>
              <w:spacing w:after="120"/>
              <w:jc w:val="both"/>
              <w:rPr>
                <w:szCs w:val="24"/>
              </w:rPr>
            </w:pPr>
            <w:r>
              <w:t>Om resultatet av bedömningen är att ämnet inte är relevant på nivån för avrinningsdistrikt, ange ”Yes” och rapportera sedan posterna twoStepApproach och relevanceRBDScale enligt detta.</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szCs w:val="24"/>
              </w:rPr>
            </w:pPr>
            <w:r>
              <w:rPr>
                <w:b/>
              </w:rPr>
              <w:t>Mallpost</w:t>
            </w:r>
            <w:r>
              <w:t>:</w:t>
            </w:r>
            <w:r>
              <w:rPr>
                <w:b/>
              </w:rPr>
              <w:t xml:space="preserve"> </w:t>
            </w:r>
            <w:r>
              <w:t>reportedUnderSoEEmissions</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medlemsstaten har rapporterat utsläpp för detta kemiska ämne inom SoE. </w:t>
            </w:r>
          </w:p>
        </w:tc>
      </w:tr>
      <w:tr w:rsidR="000215C5">
        <w:tc>
          <w:tcPr>
            <w:tcW w:w="9889" w:type="dxa"/>
            <w:shd w:val="clear" w:color="auto" w:fill="auto"/>
          </w:tcPr>
          <w:p w:rsidR="000215C5" w:rsidRDefault="00703023">
            <w:pPr>
              <w:tabs>
                <w:tab w:val="left" w:pos="1643"/>
                <w:tab w:val="left" w:pos="1995"/>
                <w:tab w:val="left" w:pos="4503"/>
                <w:tab w:val="left" w:pos="8337"/>
              </w:tabs>
              <w:spacing w:after="120"/>
              <w:jc w:val="both"/>
              <w:rPr>
                <w:szCs w:val="24"/>
              </w:rPr>
            </w:pPr>
            <w:r>
              <w:rPr>
                <w:b/>
              </w:rPr>
              <w:t>Mallpost</w:t>
            </w:r>
            <w:r>
              <w:t>:</w:t>
            </w:r>
            <w:r>
              <w:rPr>
                <w:b/>
              </w:rPr>
              <w:t xml:space="preserve"> </w:t>
            </w:r>
            <w:r>
              <w:t>twoStepApproach</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w:t>
            </w:r>
            <w:r w:rsidR="0005537D">
              <w:t>rlig. Har tvåstegsmetoden i CIS</w:t>
            </w:r>
            <w:r w:rsidR="0005537D">
              <w:noBreakHyphen/>
            </w:r>
            <w:r>
              <w:t>vägledningsdokument nr 28 följts? Steg 1 kräver en bedömning av ämnets nuvarande relevans på nivån för avrinningsdistrikt. Steg 2 kräver en mer detaljerad analys av de ämnen som uppfyller de relevanskriterier som anges i steg 1 (dvs. de är relevanta för avrinningsdistriktet). När det gäller ämnen som är mindre relevanta för avrinningsdistriktet (dvs. de uppfyller inte kriterierna i steg 1) bör medlemsstaten försöka lämna en grundläggande bedömning av utsläpp och spill från punktkällor och diffusa källor. Detta är särskilt viktigt för prioriterade farliga ämnen. Tillsammans med posten relevanceRBDScale bestämmer denna post den datauppsättning som ska rapporteras för varje ämne.</w:t>
            </w:r>
          </w:p>
          <w:p w:rsidR="000215C5" w:rsidRDefault="00703023">
            <w:pPr>
              <w:tabs>
                <w:tab w:val="left" w:pos="1643"/>
                <w:tab w:val="left" w:pos="1995"/>
                <w:tab w:val="left" w:pos="4503"/>
                <w:tab w:val="left" w:pos="8337"/>
              </w:tabs>
              <w:spacing w:after="120"/>
              <w:jc w:val="both"/>
              <w:rPr>
                <w:b/>
                <w:szCs w:val="24"/>
              </w:rPr>
            </w:pPr>
            <w:r>
              <w:rPr>
                <w:b/>
              </w:rPr>
              <w:t>Kvalitetskontroller</w:t>
            </w:r>
            <w:r>
              <w:t>: Villkorlig kontroll: rapportera om inventory är ”Yes”.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relevanceRBDScale</w:t>
            </w:r>
          </w:p>
          <w:p w:rsidR="000215C5" w:rsidRDefault="00703023">
            <w:pPr>
              <w:spacing w:after="120"/>
              <w:jc w:val="both"/>
              <w:rPr>
                <w:szCs w:val="24"/>
              </w:rPr>
            </w:pPr>
            <w:r>
              <w:rPr>
                <w:b/>
              </w:rPr>
              <w:t xml:space="preserve">Fälttyp/alternativ: </w:t>
            </w:r>
            <w:r>
              <w:t>YesNoNotApplicable _Enum: Yes, No, Not applicable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Ska besvaras för rapporterade ämnen. ”Yes” om man går vidare till det andra steget i tvåstegsmetoden. (</w:t>
            </w:r>
            <w:r w:rsidR="00537D4F">
              <w:t>Se kriterierna på s. 9–10 i CIS</w:t>
            </w:r>
            <w:r w:rsidR="00537D4F">
              <w:noBreakHyphen/>
            </w:r>
            <w:r>
              <w:t>vägledningsdokument nr 28.) ”No” leder till den valfria bedömningen av punktkällor. Eventuella uppgifter om kvantifierbar tillförsel av prioriterade farliga ämnen ska rapporteras. ”Not applicable” ska anges om tvåstegsmetoden inte har använts.</w:t>
            </w:r>
          </w:p>
          <w:p w:rsidR="000215C5" w:rsidRDefault="00703023">
            <w:pPr>
              <w:spacing w:after="120"/>
              <w:jc w:val="both"/>
              <w:rPr>
                <w:szCs w:val="24"/>
              </w:rPr>
            </w:pPr>
            <w:r>
              <w:rPr>
                <w:b/>
              </w:rPr>
              <w:t>Kvalitetskontroller</w:t>
            </w:r>
            <w:r>
              <w:t xml:space="preserve">: Villkorlig kontroll: rapportera om inventory är ”Yes”. </w:t>
            </w:r>
          </w:p>
          <w:p w:rsidR="000215C5" w:rsidRDefault="00703023">
            <w:pPr>
              <w:spacing w:after="120"/>
              <w:jc w:val="both"/>
              <w:rPr>
                <w:szCs w:val="24"/>
              </w:rPr>
            </w:pPr>
            <w:r>
              <w:t>Intern kontroll: Om twoStepApproach är ”No” måste relevanceRBDScale vara ”Not applicable”.</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inventoryMethodology</w:t>
            </w:r>
          </w:p>
          <w:p w:rsidR="000215C5" w:rsidRDefault="00703023">
            <w:pPr>
              <w:spacing w:after="120"/>
              <w:jc w:val="both"/>
              <w:rPr>
                <w:szCs w:val="24"/>
              </w:rPr>
            </w:pPr>
            <w:r>
              <w:rPr>
                <w:b/>
              </w:rPr>
              <w:t xml:space="preserve">Fälttyp/alternativ: </w:t>
            </w:r>
            <w:r>
              <w:t>InventoryMethodology_Enum:</w:t>
            </w:r>
          </w:p>
          <w:p w:rsidR="000215C5" w:rsidRPr="00FD78F1" w:rsidRDefault="00703023">
            <w:pPr>
              <w:jc w:val="both"/>
              <w:rPr>
                <w:lang w:val="fr-FR"/>
              </w:rPr>
            </w:pPr>
            <w:r w:rsidRPr="00FD78F1">
              <w:rPr>
                <w:lang w:val="fr-FR"/>
              </w:rPr>
              <w:t>Tier 1 (point source information)</w:t>
            </w:r>
          </w:p>
          <w:p w:rsidR="000215C5" w:rsidRPr="00FD78F1" w:rsidRDefault="00703023">
            <w:pPr>
              <w:jc w:val="both"/>
              <w:rPr>
                <w:lang w:val="fr-FR"/>
              </w:rPr>
            </w:pPr>
            <w:r w:rsidRPr="00FD78F1">
              <w:rPr>
                <w:lang w:val="fr-FR"/>
              </w:rPr>
              <w:t>Tier 2 (riverine load)</w:t>
            </w:r>
          </w:p>
          <w:p w:rsidR="000215C5" w:rsidRPr="00D95552" w:rsidRDefault="00703023">
            <w:pPr>
              <w:jc w:val="both"/>
              <w:rPr>
                <w:lang w:val="en-GB"/>
              </w:rPr>
            </w:pPr>
            <w:r w:rsidRPr="00D95552">
              <w:rPr>
                <w:lang w:val="en-GB"/>
              </w:rPr>
              <w:t>Tier 3 (pathway-oriented)</w:t>
            </w:r>
          </w:p>
          <w:p w:rsidR="000215C5" w:rsidRPr="00D95552" w:rsidRDefault="00703023">
            <w:pPr>
              <w:jc w:val="both"/>
              <w:rPr>
                <w:lang w:val="en-GB"/>
              </w:rPr>
            </w:pPr>
            <w:r w:rsidRPr="00D95552">
              <w:rPr>
                <w:lang w:val="en-GB"/>
              </w:rPr>
              <w:t>Tier 4 (source-oriented, e.g. SFA)</w:t>
            </w:r>
          </w:p>
          <w:p w:rsidR="000215C5" w:rsidRPr="00FD78F1" w:rsidRDefault="00703023">
            <w:pPr>
              <w:jc w:val="both"/>
              <w:rPr>
                <w:lang w:val="fr-FR"/>
              </w:rPr>
            </w:pPr>
            <w:r w:rsidRPr="00FD78F1">
              <w:rPr>
                <w:lang w:val="fr-FR"/>
              </w:rPr>
              <w:t>Tiers 1 + 2</w:t>
            </w:r>
          </w:p>
          <w:p w:rsidR="000215C5" w:rsidRPr="00FD78F1" w:rsidRDefault="00703023">
            <w:pPr>
              <w:jc w:val="both"/>
              <w:rPr>
                <w:lang w:val="fr-FR"/>
              </w:rPr>
            </w:pPr>
            <w:r w:rsidRPr="00FD78F1">
              <w:rPr>
                <w:lang w:val="fr-FR"/>
              </w:rPr>
              <w:t>Tiers 1 + 2 + 3</w:t>
            </w:r>
          </w:p>
          <w:p w:rsidR="000215C5" w:rsidRPr="00FD78F1" w:rsidRDefault="00703023">
            <w:pPr>
              <w:jc w:val="both"/>
              <w:rPr>
                <w:lang w:val="fr-FR"/>
              </w:rPr>
            </w:pPr>
            <w:r w:rsidRPr="00FD78F1">
              <w:rPr>
                <w:lang w:val="fr-FR"/>
              </w:rPr>
              <w:t>Tiers 1 + 2 + 4</w:t>
            </w:r>
          </w:p>
          <w:p w:rsidR="000215C5" w:rsidRPr="00FD78F1" w:rsidRDefault="00703023">
            <w:pPr>
              <w:jc w:val="both"/>
              <w:rPr>
                <w:lang w:val="fr-FR"/>
              </w:rPr>
            </w:pPr>
            <w:r w:rsidRPr="00FD78F1">
              <w:rPr>
                <w:lang w:val="fr-FR"/>
              </w:rPr>
              <w:t>Tiers 1–4</w:t>
            </w:r>
          </w:p>
          <w:p w:rsidR="000215C5" w:rsidRPr="00FD78F1" w:rsidRDefault="00703023">
            <w:pPr>
              <w:spacing w:after="120"/>
              <w:jc w:val="both"/>
              <w:rPr>
                <w:lang w:val="fr-FR"/>
              </w:rPr>
            </w:pPr>
            <w:r w:rsidRPr="00FD78F1">
              <w:rPr>
                <w:lang w:val="fr-FR"/>
              </w:rPr>
              <w:t xml:space="preserve">Other </w:t>
            </w:r>
          </w:p>
          <w:p w:rsidR="000215C5" w:rsidRPr="00FD78F1" w:rsidRDefault="00703023">
            <w:pPr>
              <w:spacing w:after="120"/>
              <w:jc w:val="both"/>
              <w:rPr>
                <w:lang w:val="fr-FR"/>
              </w:rPr>
            </w:pPr>
            <w:r w:rsidRPr="00FD78F1">
              <w:rPr>
                <w:b/>
                <w:lang w:val="fr-FR"/>
              </w:rPr>
              <w:t xml:space="preserve">Egenskaper: </w:t>
            </w:r>
            <w:r w:rsidRPr="00FD78F1">
              <w:rPr>
                <w:lang w:val="fr-FR"/>
              </w:rPr>
              <w:t>maxOccurs = 1 minOccurs = 0</w:t>
            </w:r>
          </w:p>
          <w:p w:rsidR="000215C5" w:rsidRDefault="00703023">
            <w:pPr>
              <w:spacing w:after="120"/>
              <w:jc w:val="both"/>
              <w:rPr>
                <w:b/>
                <w:szCs w:val="24"/>
              </w:rPr>
            </w:pPr>
            <w:r>
              <w:rPr>
                <w:b/>
              </w:rPr>
              <w:t>Vägledning om hur man fyller i mallposten</w:t>
            </w:r>
            <w:r>
              <w:t>:</w:t>
            </w:r>
            <w:r>
              <w:rPr>
                <w:b/>
              </w:rPr>
              <w:t xml:space="preserve"> </w:t>
            </w:r>
            <w:r>
              <w:t>Krävs för alla rapporterade ämnen. Anger den metod som har använts för att fastställa det rapporterade inputValue (och inputCategoryValue om det rapporteras). Mer vägledning om Tiers 1–4 finns i CIS-vägledningsdokument nr 28. Uppgifter om annan metod (se inputMethodReference). Kan skilja sig mellan olika ämnen och individuella tillförselkategorier. Tier 1 automatiskt om ”No” är relevanceRBDScale.</w:t>
            </w:r>
          </w:p>
          <w:p w:rsidR="000215C5" w:rsidRDefault="00703023">
            <w:pPr>
              <w:spacing w:after="120"/>
              <w:jc w:val="both"/>
              <w:rPr>
                <w:szCs w:val="24"/>
              </w:rPr>
            </w:pPr>
            <w:r>
              <w:rPr>
                <w:b/>
              </w:rPr>
              <w:t xml:space="preserve">Kvalitetskontroll: </w:t>
            </w:r>
            <w:r>
              <w:t>Villkorlig kontroll: rapportera om inventory är ”Yes”.</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inputDataQuality</w:t>
            </w:r>
          </w:p>
          <w:p w:rsidR="000215C5" w:rsidRDefault="00703023">
            <w:pPr>
              <w:spacing w:after="120"/>
              <w:jc w:val="both"/>
              <w:rPr>
                <w:szCs w:val="24"/>
              </w:rPr>
            </w:pPr>
            <w:r>
              <w:rPr>
                <w:b/>
              </w:rPr>
              <w:t xml:space="preserve">Fälttyp/alternativ: </w:t>
            </w:r>
            <w:r>
              <w:t>InputDataQuality_Enum:</w:t>
            </w:r>
          </w:p>
          <w:p w:rsidR="000215C5" w:rsidRPr="00FD78F1" w:rsidRDefault="00703023">
            <w:pPr>
              <w:spacing w:after="120"/>
              <w:jc w:val="both"/>
              <w:rPr>
                <w:szCs w:val="24"/>
                <w:lang w:val="en-GB"/>
              </w:rPr>
            </w:pPr>
            <w:r w:rsidRPr="00FD78F1">
              <w:rPr>
                <w:lang w:val="en-GB"/>
              </w:rPr>
              <w:t>Very good</w:t>
            </w:r>
          </w:p>
          <w:p w:rsidR="000215C5" w:rsidRPr="00FD78F1" w:rsidRDefault="00703023">
            <w:pPr>
              <w:spacing w:after="120"/>
              <w:jc w:val="both"/>
              <w:rPr>
                <w:szCs w:val="24"/>
                <w:lang w:val="en-GB"/>
              </w:rPr>
            </w:pPr>
            <w:r w:rsidRPr="00FD78F1">
              <w:rPr>
                <w:lang w:val="en-GB"/>
              </w:rPr>
              <w:t>Good</w:t>
            </w:r>
          </w:p>
          <w:p w:rsidR="000215C5" w:rsidRPr="00FD78F1" w:rsidRDefault="00703023">
            <w:pPr>
              <w:spacing w:after="120"/>
              <w:jc w:val="both"/>
              <w:rPr>
                <w:szCs w:val="24"/>
                <w:lang w:val="en-GB"/>
              </w:rPr>
            </w:pPr>
            <w:r w:rsidRPr="00FD78F1">
              <w:rPr>
                <w:lang w:val="en-GB"/>
              </w:rPr>
              <w:t>Medium</w:t>
            </w:r>
          </w:p>
          <w:p w:rsidR="000215C5" w:rsidRPr="00FD78F1" w:rsidRDefault="00703023">
            <w:pPr>
              <w:spacing w:after="120"/>
              <w:jc w:val="both"/>
              <w:rPr>
                <w:szCs w:val="24"/>
                <w:lang w:val="en-GB"/>
              </w:rPr>
            </w:pPr>
            <w:r w:rsidRPr="00FD78F1">
              <w:rPr>
                <w:lang w:val="en-GB"/>
              </w:rPr>
              <w:t>Uncertain</w:t>
            </w:r>
          </w:p>
          <w:p w:rsidR="000215C5" w:rsidRPr="00FD78F1" w:rsidRDefault="00703023">
            <w:pPr>
              <w:spacing w:after="120"/>
              <w:jc w:val="both"/>
              <w:rPr>
                <w:szCs w:val="24"/>
                <w:lang w:val="en-GB"/>
              </w:rPr>
            </w:pPr>
            <w:r w:rsidRPr="00FD78F1">
              <w:rPr>
                <w:lang w:val="en-GB"/>
              </w:rPr>
              <w:t>Very uncertain</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Frivilligt. Kan rapporteras om kvantitativa uppgifter rapporteras för detta ämne. Syftet är att visa hur tillförlitliga och varierade uppgifterna är, med hänsyn till frågor som tillgång till övervakningsuppgifter, tillförlitligheten hos de utsläppsfaktorer som använts i beräkningarna, svårigheterna med att beakta säsongsmässigt inflytande i områden med stor säsongsvariation osv. ”Very good” betyder t.ex. att rapporteringsgrunden är stabil, ”very uncertain” betyder att övervakningsgrunden är svag eller obefintlig (starkt beroende av uppskattningar).</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inputMethodReference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Villkorlig. Krävs om ”Other”-metod anges under inventoryMethodology. Önskvärt om metoderna i CIS-vägledningsdokument nr 28 har utarbetats eller beskrivits i en fritt tillgänglig elektronisk version av det nationella utsläppsregistret över ämnen enligt bilaga I till MKN-direktivet, i särskilda dokument som ett led i rapporteringen för förvaltningsplanerna, i vägledningsdokument avseende internationella havskonventioner eller liknande. URL-referens till specifika dokument.</w:t>
            </w:r>
          </w:p>
          <w:p w:rsidR="000215C5" w:rsidRDefault="00703023">
            <w:pPr>
              <w:spacing w:after="120"/>
              <w:jc w:val="both"/>
              <w:rPr>
                <w:szCs w:val="24"/>
              </w:rPr>
            </w:pPr>
            <w:r>
              <w:rPr>
                <w:b/>
              </w:rPr>
              <w:t>Kvalitetskontroll</w:t>
            </w:r>
            <w:r>
              <w:t>: Villkorlig kontroll: rapportera om inventoryMethodology är ”Other”.</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inputTotalType</w:t>
            </w:r>
          </w:p>
          <w:p w:rsidR="000215C5" w:rsidRDefault="00703023">
            <w:pPr>
              <w:spacing w:after="120"/>
              <w:jc w:val="both"/>
              <w:rPr>
                <w:szCs w:val="24"/>
              </w:rPr>
            </w:pPr>
            <w:r>
              <w:rPr>
                <w:b/>
              </w:rPr>
              <w:t xml:space="preserve">Fälttyp/alternativ: </w:t>
            </w:r>
            <w:r>
              <w:t>InputTotalType_Enum:</w:t>
            </w:r>
          </w:p>
          <w:p w:rsidR="000215C5" w:rsidRPr="00D95552" w:rsidRDefault="00703023">
            <w:pPr>
              <w:jc w:val="both"/>
              <w:rPr>
                <w:lang w:val="fr-FR"/>
              </w:rPr>
            </w:pPr>
            <w:r w:rsidRPr="00D95552">
              <w:rPr>
                <w:lang w:val="fr-FR"/>
              </w:rPr>
              <w:t>Total point sources</w:t>
            </w:r>
          </w:p>
          <w:p w:rsidR="000215C5" w:rsidRPr="00D95552" w:rsidRDefault="00703023">
            <w:pPr>
              <w:jc w:val="both"/>
              <w:rPr>
                <w:lang w:val="fr-FR"/>
              </w:rPr>
            </w:pPr>
            <w:r w:rsidRPr="00D95552">
              <w:rPr>
                <w:lang w:val="fr-FR"/>
              </w:rPr>
              <w:t>Total diffuse sources</w:t>
            </w:r>
          </w:p>
          <w:p w:rsidR="000215C5" w:rsidRPr="00FD78F1" w:rsidRDefault="00703023">
            <w:pPr>
              <w:spacing w:after="120"/>
              <w:jc w:val="both"/>
              <w:rPr>
                <w:szCs w:val="24"/>
                <w:lang w:val="fr-FR"/>
              </w:rPr>
            </w:pPr>
            <w:r w:rsidRPr="00FD78F1">
              <w:rPr>
                <w:lang w:val="fr-FR"/>
              </w:rPr>
              <w:t>Total point and diffuse sources</w:t>
            </w:r>
          </w:p>
          <w:p w:rsidR="000215C5" w:rsidRPr="00FD78F1" w:rsidRDefault="00703023">
            <w:pPr>
              <w:spacing w:after="120"/>
              <w:jc w:val="both"/>
              <w:rPr>
                <w:szCs w:val="24"/>
                <w:lang w:val="fr-FR"/>
              </w:rPr>
            </w:pPr>
            <w:r w:rsidRPr="00FD78F1">
              <w:rPr>
                <w:b/>
                <w:lang w:val="fr-FR"/>
              </w:rPr>
              <w:t xml:space="preserve">Egenskaper: </w:t>
            </w:r>
            <w:r w:rsidRPr="00FD78F1">
              <w:rPr>
                <w:lang w:val="fr-FR"/>
              </w:rPr>
              <w:t>maxOccurs = 1 minOccurs = 0</w:t>
            </w:r>
          </w:p>
          <w:p w:rsidR="000215C5" w:rsidRDefault="00703023">
            <w:pPr>
              <w:spacing w:after="120"/>
              <w:jc w:val="both"/>
              <w:rPr>
                <w:szCs w:val="24"/>
              </w:rPr>
            </w:pPr>
            <w:r>
              <w:rPr>
                <w:b/>
              </w:rPr>
              <w:t>Vägledning om hur man fyller i mallposten</w:t>
            </w:r>
            <w:r>
              <w:t>: Villkorlig. Krävs för alla rapporterade ämnen enligt bilaga I till miljökvalitetsdirektivet. Valfritt för andra ämnen/parametrar. En åtskillnad ska göras mellan totala punktkällor och totala diffusa källor som förväntas för ämnena enligt bilaga I till MK</w:t>
            </w:r>
            <w:r w:rsidR="00537D4F">
              <w:t>N</w:t>
            </w:r>
            <w:r w:rsidR="00537D4F">
              <w:noBreakHyphen/>
            </w:r>
            <w:r>
              <w:t xml:space="preserve">direktivet. </w:t>
            </w:r>
          </w:p>
          <w:p w:rsidR="000215C5" w:rsidRDefault="00703023">
            <w:pPr>
              <w:spacing w:after="120"/>
              <w:jc w:val="both"/>
              <w:rPr>
                <w:b/>
                <w:szCs w:val="24"/>
              </w:rPr>
            </w:pPr>
            <w:r>
              <w:rPr>
                <w:b/>
              </w:rPr>
              <w:t>Kvalitetskontroller</w:t>
            </w:r>
            <w:r>
              <w:t>: Villkorlig kontroll: Ska endast rapporteras om chemicalSubstance ingår i förteckningen över prioriterade ämnen (bilaga 8d) och inventory är ”Yes”. Valfritt för andra ämnen.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inputTotalValue</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Krävs för alla rapporterade ämnen enligt bilaga I till miljökvalitetsdirektivet. Valfritt för andra ämnen/parametrar. Tillförsel = utsläpp och spill.</w:t>
            </w:r>
          </w:p>
          <w:p w:rsidR="000215C5" w:rsidRDefault="00703023">
            <w:pPr>
              <w:spacing w:after="120"/>
              <w:jc w:val="both"/>
              <w:rPr>
                <w:szCs w:val="24"/>
              </w:rPr>
            </w:pPr>
            <w:r>
              <w:rPr>
                <w:b/>
              </w:rPr>
              <w:t>Kvalitetskontroller</w:t>
            </w:r>
            <w:r>
              <w:t>: Villkorlig kontroll: Ska endast rapporteras om chemicalSubstance ingår i förteckningen över prioriterade ämnen (bilaga 8d) och inventory är ”Yes”. Valfritt för andra ämnen.</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 inputTotalUnit</w:t>
            </w:r>
          </w:p>
          <w:p w:rsidR="000215C5" w:rsidRDefault="00703023">
            <w:pPr>
              <w:spacing w:after="120"/>
              <w:jc w:val="both"/>
              <w:rPr>
                <w:szCs w:val="24"/>
              </w:rPr>
            </w:pPr>
            <w:r>
              <w:rPr>
                <w:b/>
              </w:rPr>
              <w:t xml:space="preserve">Fälttyp/alternativ: </w:t>
            </w:r>
            <w:r>
              <w:t>UnitOfMeasure_Enum (se bilaga 8f)</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Krävs om inputTotalValue rapporteras. </w:t>
            </w:r>
          </w:p>
          <w:p w:rsidR="000215C5" w:rsidRDefault="00703023">
            <w:pPr>
              <w:spacing w:after="120"/>
              <w:jc w:val="both"/>
              <w:rPr>
                <w:szCs w:val="24"/>
              </w:rPr>
            </w:pPr>
            <w:r>
              <w:rPr>
                <w:b/>
              </w:rPr>
              <w:t>Kvalitetskontroller</w:t>
            </w:r>
            <w:r>
              <w:t>: Villkorlig kontroll: rapportera om inputTotalValue rapporteras.</w:t>
            </w:r>
          </w:p>
          <w:p w:rsidR="000215C5" w:rsidRDefault="00703023">
            <w:pPr>
              <w:spacing w:after="120"/>
              <w:jc w:val="both"/>
              <w:rPr>
                <w:b/>
                <w:szCs w:val="24"/>
              </w:rPr>
            </w:pPr>
            <w:r>
              <w:t>Kontroll av posten: Endast alternativen ”t/a” eller ”kg/a” är giltiga val.</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inputYearPeriod</w:t>
            </w:r>
          </w:p>
          <w:p w:rsidR="000215C5" w:rsidRDefault="00703023">
            <w:pPr>
              <w:spacing w:after="120"/>
              <w:jc w:val="both"/>
              <w:rPr>
                <w:szCs w:val="24"/>
              </w:rPr>
            </w:pPr>
            <w:r>
              <w:rPr>
                <w:b/>
              </w:rPr>
              <w:t>Fälttyp/alternativ:</w:t>
            </w:r>
            <w:r>
              <w:t xml:space="preserve"> InputYearPeriodType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Ett fyrsiffrigt nummer (helst 2008, 2009 eller 2010 som referensår) krävs för ämnen enligt bilaga I till MKN-direktivet och för andra ämnen för vilka ett inputValue rapporteras. Det kalenderår belastningen avser. </w:t>
            </w:r>
            <w:r>
              <w:rPr>
                <w:sz w:val="23"/>
              </w:rPr>
              <w:t>En period på upp till sex år inom den relevanta perioden för förvaltningsplanen kan anges genom ett start- och ett slutår, separerat med dubbla bindestreck (åååå--åååå).</w:t>
            </w:r>
          </w:p>
          <w:p w:rsidR="000215C5" w:rsidRDefault="00703023">
            <w:pPr>
              <w:spacing w:after="120"/>
              <w:jc w:val="both"/>
              <w:rPr>
                <w:szCs w:val="24"/>
              </w:rPr>
            </w:pPr>
            <w:r>
              <w:t>Om medlemsstaten valfritt vill rapportera ett andra inputValue för en andra inputYearPeriod måste samma ämne väljas två gånger under chemicalSubstance.</w:t>
            </w:r>
          </w:p>
          <w:p w:rsidR="000215C5" w:rsidRDefault="00703023">
            <w:pPr>
              <w:spacing w:after="120"/>
              <w:jc w:val="both"/>
              <w:rPr>
                <w:szCs w:val="24"/>
              </w:rPr>
            </w:pPr>
            <w:r>
              <w:rPr>
                <w:b/>
              </w:rPr>
              <w:t>Kvalitetskontroller</w:t>
            </w:r>
            <w:r>
              <w:t xml:space="preserve">: Kontroll av posten: värdet måste vara mellan 2000 och 2015. </w:t>
            </w:r>
          </w:p>
          <w:p w:rsidR="000215C5" w:rsidRDefault="00703023">
            <w:pPr>
              <w:spacing w:after="120"/>
              <w:jc w:val="both"/>
              <w:rPr>
                <w:szCs w:val="24"/>
              </w:rPr>
            </w:pPr>
            <w:r>
              <w:t xml:space="preserve">Villkorlig kontroll: rapportera om inputTotalValue rapporteras. </w:t>
            </w:r>
          </w:p>
          <w:p w:rsidR="000215C5" w:rsidRDefault="00703023">
            <w:pPr>
              <w:spacing w:after="120"/>
              <w:jc w:val="both"/>
              <w:rPr>
                <w:szCs w:val="24"/>
              </w:rPr>
            </w:pPr>
            <w:r>
              <w:t>Intern kontroll: om två eller flera perioder rapporteras för samma ämne får de inte överlappa varandra.</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inputTrend</w:t>
            </w:r>
          </w:p>
          <w:p w:rsidR="000215C5" w:rsidRDefault="00703023">
            <w:pPr>
              <w:spacing w:after="120"/>
              <w:jc w:val="both"/>
              <w:rPr>
                <w:b/>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w:t>
            </w:r>
            <w:r>
              <w:rPr>
                <w:b/>
              </w:rPr>
              <w:t xml:space="preserve"> </w:t>
            </w:r>
            <w:r>
              <w:t>Frivilligt.</w:t>
            </w:r>
            <w:r>
              <w:rPr>
                <w:b/>
              </w:rPr>
              <w:t xml:space="preserve"> </w:t>
            </w:r>
            <w:r>
              <w:t xml:space="preserve">För varje kemiskt ämne kan en trend (positiv eller negativ) rapporteras direkt (självbedömning), oberoende av andra trender som kan beräknas direkt från de datauppsättningar som rapporteras för dessa år. </w:t>
            </w:r>
          </w:p>
          <w:p w:rsidR="000215C5" w:rsidRDefault="00703023">
            <w:pPr>
              <w:spacing w:after="120"/>
              <w:jc w:val="both"/>
              <w:rPr>
                <w:szCs w:val="24"/>
              </w:rPr>
            </w:pPr>
            <w:r>
              <w:t>Enhet:</w:t>
            </w:r>
            <w:r>
              <w:rPr>
                <w:b/>
              </w:rPr>
              <w:t xml:space="preserve"> </w:t>
            </w:r>
            <w:r>
              <w:t>% per år (+ eller –), genomsnitt för de trendintervall som rapporteras under InputTrendPeriod.</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inputTrendPeriod</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inputTrend rapporteras, rapportera de första och sista åren för trendbedömningen.</w:t>
            </w:r>
          </w:p>
          <w:p w:rsidR="000215C5" w:rsidRDefault="00703023">
            <w:pPr>
              <w:spacing w:after="120"/>
              <w:jc w:val="both"/>
              <w:rPr>
                <w:szCs w:val="24"/>
              </w:rPr>
            </w:pPr>
            <w:r>
              <w:rPr>
                <w:b/>
              </w:rPr>
              <w:t>Kvalitetskontroller</w:t>
            </w:r>
            <w:r>
              <w:t xml:space="preserve">: Kontroll av posten: värdena måste vara mellan 2000 och 2015. </w:t>
            </w:r>
          </w:p>
          <w:p w:rsidR="000215C5" w:rsidRDefault="00703023">
            <w:pPr>
              <w:spacing w:after="120"/>
              <w:jc w:val="both"/>
              <w:rPr>
                <w:b/>
                <w:szCs w:val="24"/>
              </w:rPr>
            </w:pPr>
            <w:r>
              <w:t>Villkorlig kontroll: rapportera om inputTrend rapporteras.</w:t>
            </w:r>
          </w:p>
        </w:tc>
      </w:tr>
    </w:tbl>
    <w:p w:rsidR="000215C5" w:rsidRDefault="000215C5">
      <w:pPr>
        <w:jc w:val="both"/>
      </w:pPr>
    </w:p>
    <w:p w:rsidR="000215C5" w:rsidRDefault="00703023">
      <w:pPr>
        <w:jc w:val="both"/>
      </w:pPr>
      <w:r>
        <w:t>Följande klass (underkategori till InputPollutant) används för att rapportera detaljerad information om registret per tillförselkategori.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Mallen RBMPPoM</w:t>
            </w:r>
          </w:p>
        </w:tc>
      </w:tr>
      <w:tr w:rsidR="000215C5">
        <w:tc>
          <w:tcPr>
            <w:tcW w:w="9889" w:type="dxa"/>
            <w:shd w:val="clear" w:color="auto" w:fill="auto"/>
          </w:tcPr>
          <w:p w:rsidR="000215C5" w:rsidRDefault="00703023">
            <w:pPr>
              <w:spacing w:after="120"/>
              <w:jc w:val="both"/>
              <w:rPr>
                <w:b/>
                <w:i/>
                <w:szCs w:val="24"/>
              </w:rPr>
            </w:pPr>
            <w:r>
              <w:rPr>
                <w:b/>
                <w:i/>
              </w:rPr>
              <w:t>Class InputCategory</w:t>
            </w:r>
          </w:p>
          <w:p w:rsidR="000215C5" w:rsidRDefault="00703023">
            <w:pPr>
              <w:spacing w:after="120"/>
              <w:jc w:val="both"/>
              <w:rPr>
                <w:i/>
                <w:szCs w:val="24"/>
              </w:rPr>
            </w:pPr>
            <w:r>
              <w:rPr>
                <w:b/>
                <w:i/>
              </w:rPr>
              <w:t xml:space="preserve">Egenskaper: </w:t>
            </w:r>
            <w:r>
              <w:rPr>
                <w:i/>
              </w:rPr>
              <w:t>maxOccurs = unbounded minOccurs = 0</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inputCategoryCode</w:t>
            </w:r>
          </w:p>
          <w:p w:rsidR="000215C5" w:rsidRDefault="00703023">
            <w:pPr>
              <w:spacing w:after="120"/>
              <w:jc w:val="both"/>
              <w:rPr>
                <w:szCs w:val="24"/>
              </w:rPr>
            </w:pPr>
            <w:r>
              <w:rPr>
                <w:b/>
              </w:rPr>
              <w:t>Fälttyp/alternativ:</w:t>
            </w:r>
            <w:r>
              <w:t xml:space="preserve"> InputCategory_Union_Enum (se bilaga 8n):</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Möjliggör uppdelning av tillförsel mellan olika källor/föroreningsvägar.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inputCategoryScheme</w:t>
            </w:r>
          </w:p>
          <w:p w:rsidR="000215C5" w:rsidRDefault="00703023">
            <w:pPr>
              <w:spacing w:after="120"/>
              <w:jc w:val="both"/>
              <w:rPr>
                <w:szCs w:val="24"/>
              </w:rPr>
            </w:pPr>
            <w:r>
              <w:rPr>
                <w:b/>
              </w:rPr>
              <w:t xml:space="preserve">Fälttyp/alternativ: </w:t>
            </w:r>
            <w:r>
              <w:t>InputCategoryScheme_Enum:</w:t>
            </w:r>
          </w:p>
          <w:p w:rsidR="000215C5" w:rsidRDefault="00703023">
            <w:pPr>
              <w:spacing w:after="120"/>
              <w:jc w:val="both"/>
            </w:pPr>
            <w:r>
              <w:t>CIS Inventory Guidance Principal Source</w:t>
            </w:r>
          </w:p>
          <w:p w:rsidR="000215C5" w:rsidRDefault="00703023">
            <w:pPr>
              <w:spacing w:after="120"/>
              <w:jc w:val="both"/>
            </w:pPr>
            <w:r>
              <w:t>CIS Inventory Guidance Pathways</w:t>
            </w:r>
          </w:p>
          <w:p w:rsidR="000215C5" w:rsidRDefault="00703023">
            <w:pPr>
              <w:spacing w:after="120"/>
              <w:jc w:val="both"/>
            </w:pPr>
            <w:r>
              <w:t>CIS Inventory Guidance Riverine Loads</w:t>
            </w:r>
          </w:p>
          <w:p w:rsidR="000215C5" w:rsidRDefault="00703023">
            <w:pPr>
              <w:spacing w:after="120"/>
              <w:jc w:val="both"/>
            </w:pPr>
            <w:r>
              <w:t>WISE SoE Categories</w:t>
            </w:r>
          </w:p>
          <w:p w:rsidR="000215C5" w:rsidRDefault="00703023">
            <w:pPr>
              <w:spacing w:after="120"/>
              <w:jc w:val="both"/>
            </w:pPr>
            <w:r>
              <w:t>WFD Pressures</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Identifierar de typer av utsläppsuppdelning som använts.</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inputCategoryValue</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Multipliciteten för hela klassen InputCategory är ”0 to many”. Denna post måste tas med om klassen rapporteras.</w:t>
            </w:r>
          </w:p>
          <w:p w:rsidR="000215C5" w:rsidRDefault="00703023">
            <w:pPr>
              <w:spacing w:after="120"/>
              <w:jc w:val="both"/>
              <w:rPr>
                <w:szCs w:val="24"/>
              </w:rPr>
            </w:pPr>
            <w:r>
              <w:t xml:space="preserve">Rapportera tillförsel per källa/föroreningsväg för varje vald inputCategory.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 inputCategoryUnit</w:t>
            </w:r>
          </w:p>
          <w:p w:rsidR="000215C5" w:rsidRDefault="00703023">
            <w:pPr>
              <w:spacing w:after="120"/>
              <w:jc w:val="both"/>
              <w:rPr>
                <w:szCs w:val="24"/>
              </w:rPr>
            </w:pPr>
            <w:r>
              <w:rPr>
                <w:b/>
              </w:rPr>
              <w:t xml:space="preserve">Fälttyp/alternativ: </w:t>
            </w:r>
            <w:r>
              <w:rPr>
                <w:rFonts w:asciiTheme="minorHAnsi" w:hAnsiTheme="minorHAnsi" w:cstheme="minorBidi"/>
                <w:color w:val="1F497D" w:themeColor="dark2"/>
                <w:sz w:val="22"/>
              </w:rPr>
              <w:t>UnitOfMeasure_Enum (se bilaga 8f)</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Multipliciteten för hela klassen InputCategory är ”0 to many”. Denna post måste tas med om klassen rapporteras.</w:t>
            </w:r>
          </w:p>
          <w:p w:rsidR="000215C5" w:rsidRDefault="00703023">
            <w:pPr>
              <w:spacing w:after="120"/>
              <w:jc w:val="both"/>
              <w:rPr>
                <w:szCs w:val="24"/>
              </w:rPr>
            </w:pPr>
            <w:r>
              <w:rPr>
                <w:b/>
              </w:rPr>
              <w:t>Kvalitetskontroller</w:t>
            </w:r>
            <w:r>
              <w:t>: Kontroll av posten: Endast alternativen ”t/a” eller ”kg/a” är giltiga val.</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 inputUWWTPCoverage</w:t>
            </w:r>
          </w:p>
          <w:p w:rsidR="000215C5" w:rsidRDefault="00703023">
            <w:pPr>
              <w:spacing w:after="120"/>
              <w:jc w:val="both"/>
              <w:rPr>
                <w:szCs w:val="24"/>
              </w:rPr>
            </w:pPr>
            <w:r>
              <w:rPr>
                <w:b/>
              </w:rPr>
              <w:t xml:space="preserve">Fälttyp/alternativ: </w:t>
            </w:r>
            <w:r>
              <w:t>InputUWWTPCoverage_Enum:</w:t>
            </w:r>
          </w:p>
          <w:p w:rsidR="000215C5" w:rsidRDefault="00703023">
            <w:pPr>
              <w:spacing w:after="120"/>
              <w:jc w:val="both"/>
              <w:rPr>
                <w:szCs w:val="24"/>
              </w:rPr>
            </w:pPr>
            <w:r>
              <w:t>U100 (</w:t>
            </w:r>
            <w:r>
              <w:rPr>
                <w:u w:val="single"/>
              </w:rPr>
              <w:t>&gt;</w:t>
            </w:r>
            <w:r>
              <w:t xml:space="preserve"> 100,000 p.e.)</w:t>
            </w:r>
          </w:p>
          <w:p w:rsidR="000215C5" w:rsidRPr="00FD78F1" w:rsidRDefault="00703023">
            <w:pPr>
              <w:spacing w:after="120"/>
              <w:jc w:val="both"/>
              <w:rPr>
                <w:szCs w:val="24"/>
                <w:lang w:val="en-GB"/>
              </w:rPr>
            </w:pPr>
            <w:r w:rsidRPr="00FD78F1">
              <w:rPr>
                <w:lang w:val="en-GB"/>
              </w:rPr>
              <w:t>U10 (&gt; 10,000 p.e.)</w:t>
            </w:r>
          </w:p>
          <w:p w:rsidR="000215C5" w:rsidRPr="00FD78F1" w:rsidRDefault="00703023">
            <w:pPr>
              <w:spacing w:after="120"/>
              <w:jc w:val="both"/>
              <w:rPr>
                <w:szCs w:val="24"/>
                <w:lang w:val="en-GB"/>
              </w:rPr>
            </w:pPr>
            <w:r w:rsidRPr="00FD78F1">
              <w:rPr>
                <w:lang w:val="en-GB"/>
              </w:rPr>
              <w:t>U2 (</w:t>
            </w:r>
            <w:r w:rsidRPr="00FD78F1">
              <w:rPr>
                <w:u w:val="single"/>
                <w:lang w:val="en-GB"/>
              </w:rPr>
              <w:t>&gt;</w:t>
            </w:r>
            <w:r w:rsidRPr="00FD78F1">
              <w:rPr>
                <w:lang w:val="en-GB"/>
              </w:rPr>
              <w:t xml:space="preserve"> 2,000 p.e.)</w:t>
            </w:r>
          </w:p>
          <w:p w:rsidR="000215C5" w:rsidRPr="00FD78F1" w:rsidRDefault="00703023">
            <w:pPr>
              <w:spacing w:after="120"/>
              <w:jc w:val="both"/>
              <w:rPr>
                <w:szCs w:val="24"/>
                <w:lang w:val="en-GB"/>
              </w:rPr>
            </w:pPr>
            <w:r w:rsidRPr="00FD78F1">
              <w:rPr>
                <w:lang w:val="en-GB"/>
              </w:rPr>
              <w:t>All (extrapolation to all treatment plants)</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kategorier för anläggningar för rening av avloppsvatten från tätbebyggelse rapporteras, ange täckning. Observera att det finns särskilda kategorier för detta ändamål enligt Wise-SoE (U11, U12, U13, U14, U21, U22, U23, U24).</w:t>
            </w:r>
          </w:p>
          <w:p w:rsidR="000215C5" w:rsidRDefault="00703023">
            <w:pPr>
              <w:spacing w:after="120"/>
              <w:jc w:val="both"/>
              <w:rPr>
                <w:szCs w:val="24"/>
              </w:rPr>
            </w:pPr>
            <w:r>
              <w:rPr>
                <w:b/>
              </w:rPr>
              <w:t>Kvalitetskontroller</w:t>
            </w:r>
            <w:r>
              <w:t>: Villkorlig kontroll: rapportera om ”1.1” från Påverkan, ”U” eller någon av de lägre kategorierna från SoE eller ”P8” från CIS-vägledning (se bilaga 8n).</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 inputIndustryCoverage</w:t>
            </w:r>
          </w:p>
          <w:p w:rsidR="000215C5" w:rsidRDefault="00703023">
            <w:pPr>
              <w:spacing w:after="120"/>
              <w:jc w:val="both"/>
              <w:rPr>
                <w:szCs w:val="24"/>
              </w:rPr>
            </w:pPr>
            <w:r>
              <w:rPr>
                <w:b/>
              </w:rPr>
              <w:t xml:space="preserve">Fälttyp/alternativ: </w:t>
            </w:r>
            <w:r>
              <w:t>InputIndustryCoverage_Enum:</w:t>
            </w:r>
          </w:p>
          <w:p w:rsidR="000215C5" w:rsidRDefault="00703023">
            <w:pPr>
              <w:spacing w:after="120"/>
              <w:jc w:val="both"/>
              <w:rPr>
                <w:szCs w:val="24"/>
              </w:rPr>
            </w:pPr>
            <w:r>
              <w:t xml:space="preserve">E-PRTR </w:t>
            </w:r>
          </w:p>
          <w:p w:rsidR="000215C5" w:rsidRDefault="00703023">
            <w:pPr>
              <w:spacing w:after="120"/>
              <w:jc w:val="both"/>
              <w:rPr>
                <w:szCs w:val="24"/>
              </w:rPr>
            </w:pPr>
            <w:r>
              <w:t xml:space="preserve">National business registers </w:t>
            </w:r>
          </w:p>
          <w:p w:rsidR="000215C5" w:rsidRDefault="00703023">
            <w:pPr>
              <w:spacing w:after="120"/>
              <w:jc w:val="both"/>
              <w:rPr>
                <w:szCs w:val="24"/>
              </w:rPr>
            </w:pPr>
            <w:r>
              <w:t xml:space="preserve">All manufacturing industries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kategorier för reningsanläggningar för industriavloppsvatten rapporteras, ange täckning. ”E-PRTR” betyder stora anläggningar med utsläpp till vatten som rapporteras i E-PRTR, ”national business registers” betyder </w:t>
            </w:r>
            <w:r>
              <w:rPr>
                <w:u w:val="single"/>
              </w:rPr>
              <w:t>även</w:t>
            </w:r>
            <w:r>
              <w:t xml:space="preserve"> medelstora reningsanläggningar med utsläppsdata i register, ”all manufacturing industries” betyder </w:t>
            </w:r>
            <w:r>
              <w:rPr>
                <w:u w:val="single"/>
              </w:rPr>
              <w:t>även</w:t>
            </w:r>
            <w:r>
              <w:t xml:space="preserve"> små anläggningar med direkta utsläpp baserat på extrapoleringar av ekonomisk aktivitet. </w:t>
            </w:r>
          </w:p>
          <w:p w:rsidR="000215C5" w:rsidRDefault="00703023">
            <w:pPr>
              <w:spacing w:after="120"/>
              <w:jc w:val="both"/>
              <w:rPr>
                <w:szCs w:val="24"/>
              </w:rPr>
            </w:pPr>
            <w:r>
              <w:t xml:space="preserve"> </w:t>
            </w:r>
            <w:r>
              <w:rPr>
                <w:b/>
              </w:rPr>
              <w:t>Kvalitetskontroller</w:t>
            </w:r>
            <w:r>
              <w:t>: Villkorlig kontroll: rapportera om ”I” från SoE eller ”P10” från CIS-vägledning (se bilaga 8n).</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riverineLoadMonitoringSite</w:t>
            </w:r>
          </w:p>
          <w:p w:rsidR="000215C5" w:rsidRDefault="00703023">
            <w:pPr>
              <w:spacing w:after="120"/>
              <w:jc w:val="both"/>
              <w:rPr>
                <w:szCs w:val="24"/>
              </w:rPr>
            </w:pPr>
            <w:r>
              <w:rPr>
                <w:b/>
              </w:rPr>
              <w:t xml:space="preserve">Fälttyp/alternativ: </w:t>
            </w:r>
            <w:r>
              <w:t>FeatureUniqueEUCodeType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Frivilligt. Om inputCategoryValues rapporteras som belastning av vattendrag, ange koden för den övervakningsstation som används som underlag.</w:t>
            </w:r>
          </w:p>
          <w:p w:rsidR="000215C5" w:rsidRDefault="00703023">
            <w:pPr>
              <w:spacing w:after="120"/>
              <w:jc w:val="both"/>
              <w:rPr>
                <w:szCs w:val="24"/>
              </w:rPr>
            </w:pPr>
            <w:r>
              <w:rPr>
                <w:b/>
              </w:rPr>
              <w:t>Kvalitetskontroller</w:t>
            </w:r>
            <w:r>
              <w:t>: Intern kontroll: den rapporterade riverineLoadMonitoringSite måste överensstämma med de koder som rapporterats under MonitoringSites.</w:t>
            </w:r>
          </w:p>
        </w:tc>
      </w:tr>
    </w:tbl>
    <w:p w:rsidR="000215C5" w:rsidRDefault="000215C5">
      <w:pPr>
        <w:jc w:val="both"/>
      </w:pPr>
    </w:p>
    <w:p w:rsidR="000215C5" w:rsidRDefault="00703023">
      <w:pPr>
        <w:pStyle w:val="Rubrik4"/>
      </w:pPr>
      <w:bookmarkStart w:id="678" w:name="_Ref402960148"/>
      <w:r>
        <w:t>Vägledning om innehållet i förvaltningsplanerna för avrinningsdistrikt eller i bakgrundsdokument</w:t>
      </w:r>
      <w:bookmarkEnd w:id="678"/>
    </w:p>
    <w:p w:rsidR="000215C5" w:rsidRDefault="00703023">
      <w:pPr>
        <w:jc w:val="both"/>
      </w:pPr>
      <w:r>
        <w:t>Nedan ges vägledning om de uppgifter som kommissionen förväntar sig att medlemsstaterna lämnar i de relevanta kapitlen om tillförsel av förorenande ämnen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rPr>
          <w:szCs w:val="24"/>
        </w:rPr>
      </w:pPr>
      <w:r>
        <w:t>Medlemsstaterna ska ta med en beskrivning av metoden för att uppskatta tillförseln av förorenande ämnen från de olika källorna/föroreningsvägarna i förvaltningsplanerna eller bakgrundsdokumenten, eller hänvisa till andra dokument.</w:t>
      </w:r>
    </w:p>
    <w:p w:rsidR="000215C5" w:rsidRPr="00FD78F1" w:rsidRDefault="00703023">
      <w:pPr>
        <w:jc w:val="both"/>
        <w:rPr>
          <w:i/>
          <w:szCs w:val="24"/>
          <w:lang w:val="en-GB"/>
        </w:rPr>
      </w:pPr>
      <w:r w:rsidRPr="00FD78F1">
        <w:rPr>
          <w:i/>
          <w:lang w:val="en-GB"/>
        </w:rPr>
        <w:t>Hänvisningar</w:t>
      </w:r>
    </w:p>
    <w:p w:rsidR="000215C5" w:rsidRPr="00FD78F1" w:rsidRDefault="00703023">
      <w:pPr>
        <w:jc w:val="both"/>
        <w:rPr>
          <w:szCs w:val="24"/>
          <w:lang w:val="en-GB"/>
        </w:rPr>
      </w:pPr>
      <w:r w:rsidRPr="00FD78F1">
        <w:rPr>
          <w:lang w:val="en-GB"/>
        </w:rPr>
        <w:t xml:space="preserve">CIS-vägledningsdokument nr 28: </w:t>
      </w:r>
      <w:r w:rsidRPr="00FD78F1">
        <w:rPr>
          <w:i/>
          <w:lang w:val="en-GB"/>
        </w:rPr>
        <w:t>Technical Guidance on the Preparation of an Inventory of Emissions, Discharges and Losses of Priority and Priority Hazardous Substances</w:t>
      </w:r>
      <w:r>
        <w:rPr>
          <w:vertAlign w:val="superscript"/>
        </w:rPr>
        <w:footnoteReference w:id="114"/>
      </w:r>
    </w:p>
    <w:p w:rsidR="000215C5" w:rsidRDefault="00703023">
      <w:pPr>
        <w:jc w:val="both"/>
        <w:rPr>
          <w:szCs w:val="24"/>
        </w:rPr>
      </w:pPr>
      <w:r>
        <w:t>Eionet SoE rapporteringsvägledning</w:t>
      </w:r>
      <w:r>
        <w:rPr>
          <w:vertAlign w:val="superscript"/>
        </w:rPr>
        <w:footnoteReference w:id="115"/>
      </w:r>
    </w:p>
    <w:p w:rsidR="000215C5" w:rsidRDefault="00703023">
      <w:pPr>
        <w:jc w:val="both"/>
        <w:rPr>
          <w:szCs w:val="24"/>
        </w:rPr>
      </w:pPr>
      <w:r>
        <w:t>E-PRTR, projekt om diffusa källor</w:t>
      </w:r>
      <w:r>
        <w:rPr>
          <w:vertAlign w:val="superscript"/>
        </w:rPr>
        <w:footnoteReference w:id="116"/>
      </w:r>
    </w:p>
    <w:p w:rsidR="000215C5" w:rsidRDefault="00703023">
      <w:pPr>
        <w:jc w:val="both"/>
        <w:rPr>
          <w:szCs w:val="24"/>
        </w:rPr>
      </w:pPr>
      <w:r>
        <w:t>Life Weiss-projektet</w:t>
      </w:r>
      <w:r>
        <w:rPr>
          <w:vertAlign w:val="superscript"/>
        </w:rPr>
        <w:footnoteReference w:id="117"/>
      </w:r>
    </w:p>
    <w:p w:rsidR="000215C5" w:rsidRDefault="00703023">
      <w:pPr>
        <w:pStyle w:val="Rubrik4"/>
      </w:pPr>
      <w:r>
        <w:t>Ordlista</w:t>
      </w:r>
    </w:p>
    <w:p w:rsidR="000215C5" w:rsidRDefault="00703023">
      <w:pPr>
        <w:jc w:val="both"/>
      </w:pPr>
      <w:r>
        <w:t xml:space="preserve">Se </w:t>
      </w:r>
      <w:r>
        <w:rPr>
          <w:color w:val="0000FF"/>
          <w:u w:val="single"/>
        </w:rPr>
        <w:t>CIS-vägledningsdokument nr 28: Preparation of Priority Substances Emissions Inventory</w:t>
      </w:r>
      <w:r>
        <w:t xml:space="preserve"> och Eionet SoE rapporteringsväglednng.</w:t>
      </w:r>
    </w:p>
    <w:p w:rsidR="000215C5" w:rsidRDefault="00703023">
      <w:pPr>
        <w:pStyle w:val="Rubrik2"/>
        <w:jc w:val="both"/>
      </w:pPr>
      <w:bookmarkStart w:id="679" w:name="_Toc386464252"/>
      <w:bookmarkStart w:id="680" w:name="_Toc388280341"/>
      <w:bookmarkStart w:id="681" w:name="_Ref425264426"/>
      <w:bookmarkStart w:id="682" w:name="_Toc425522080"/>
      <w:bookmarkStart w:id="683" w:name="_Toc432666092"/>
      <w:bookmarkStart w:id="684" w:name="_Toc437520288"/>
      <w:r>
        <w:t>Vattenuttag och utnyttjande av vattenresurser</w:t>
      </w:r>
      <w:bookmarkEnd w:id="679"/>
      <w:bookmarkEnd w:id="680"/>
      <w:bookmarkEnd w:id="681"/>
      <w:bookmarkEnd w:id="682"/>
      <w:bookmarkEnd w:id="683"/>
      <w:bookmarkEnd w:id="684"/>
    </w:p>
    <w:p w:rsidR="000215C5" w:rsidRDefault="00703023">
      <w:pPr>
        <w:pStyle w:val="Rubrik3"/>
      </w:pPr>
      <w:bookmarkStart w:id="685" w:name="_Toc388280342"/>
      <w:r>
        <w:t>Inledning</w:t>
      </w:r>
      <w:bookmarkEnd w:id="685"/>
    </w:p>
    <w:p w:rsidR="000215C5" w:rsidRDefault="00703023">
      <w:pPr>
        <w:jc w:val="both"/>
      </w:pPr>
      <w:r>
        <w:t>Skäl</w:t>
      </w:r>
      <w:r w:rsidR="004D0915">
        <w:t xml:space="preserve"> </w:t>
      </w:r>
      <w:r>
        <w:t>19 i vattendirektivet har följande lydelse: "</w:t>
      </w:r>
      <w:r>
        <w:rPr>
          <w:i/>
        </w:rPr>
        <w:t>Detta direktiv syftar till att bevara och förbättra vattenmiljön i gemenskapen. Detta mål avser först och främst kvaliteten hos det berörda vattnet. Kvantitetsreglering är en extra åtgärd för att garantera god vattenkvalitet och därför bör åtgärder med avseende på kvantiteten som främjar målet att säkerställa en god kvalitet också fastställas."</w:t>
      </w:r>
    </w:p>
    <w:p w:rsidR="000215C5" w:rsidRDefault="00703023">
      <w:pPr>
        <w:jc w:val="both"/>
      </w:pPr>
      <w:r>
        <w:t>Vattendirektivet inriktas främst på vattenkvalitet, men förvaltning av vattenkvantiteter spelar en mycket viktig roll genom målet för god kvantitativ status för grundvatten och den hydromorfologiska komponenten i god ekologisk status för ytvatten. Vattendirektivets miljömål för god status kan ju endast nås om tillräckliga vattenmängder finns tillgängliga.</w:t>
      </w:r>
    </w:p>
    <w:p w:rsidR="000215C5" w:rsidRDefault="00703023">
      <w:pPr>
        <w:jc w:val="both"/>
      </w:pPr>
      <w:r>
        <w:t>Behovet av att integrera förvaltning av vattenkvalitet och vattenkvantitet har betonats i flera rapporter på EU-nivå</w:t>
      </w:r>
      <w:r>
        <w:rPr>
          <w:rStyle w:val="Fotnotsreferens"/>
        </w:rPr>
        <w:footnoteReference w:id="118"/>
      </w:r>
      <w:r>
        <w:t>. Olika CIS-grupper och nätverk har också inrättats för flera år. Det nuvarande CIS-arbetsprogrammet omfattar en CIS-arbetsgrupp för e-flöden och en aktivitet om vattenkonton.</w:t>
      </w:r>
    </w:p>
    <w:p w:rsidR="000215C5" w:rsidRDefault="00703023">
      <w:pPr>
        <w:jc w:val="both"/>
      </w:pPr>
      <w:r>
        <w:t>Rapporteringen om den kvantitativa användningen av vatten är ytterst relevant för vattendirektivet, även om det står klart att situationen för kvantitativ påverkan varierar stort inom EU. Denna variation måste beaktas i rapporteringen på detta område för att undvika onödiga bördor för de medlemsstater där vattenuttag inte är ett problem och sannolikt inte heller kommer att bli det i framtiden.</w:t>
      </w:r>
    </w:p>
    <w:p w:rsidR="000215C5" w:rsidRDefault="00703023">
      <w:pPr>
        <w:jc w:val="both"/>
      </w:pPr>
      <w:r>
        <w:t>Enligt artikel 5 i vattendirektivet ska medlemsstaterna fastställa viktig påverkan i avrinningsdistriktet som kan leda till att vattenförekomster har sämre än god status. Medlemsstaterna ska dessutom bedöma effekterna på vattenförekomster som underlag till fastställande av status. Denna analys bör i förekommande fall även omfatta vattenkvantitet.</w:t>
      </w:r>
    </w:p>
    <w:p w:rsidR="000215C5" w:rsidRDefault="00703023">
      <w:pPr>
        <w:jc w:val="both"/>
      </w:pPr>
      <w:r>
        <w:t>I avrinningsdistrikt som ofta drabbas av vattenbrist beräknas vattenbalanserna ofta på nivån för avrinningsdistriktet, dvs. som ett led i förvaltningen av vattenresurser eller inom ramen för utarbetandet av förvaltningsplaner och planer för hantering av torka. Betydande uttag och mängder som tas ut per år och/eller tillfälligt per säsong, per uttagskälla och uttagskategori (se förteckningen över typer av påverkan i bilaga 1a) har i förvaltningsplanerna ofta rapporterats i den första cykeln på nivån för avrinningsdistrikt eller delavrinningsdistrikt.</w:t>
      </w:r>
    </w:p>
    <w:p w:rsidR="000215C5" w:rsidRDefault="00703023">
      <w:pPr>
        <w:jc w:val="both"/>
      </w:pPr>
      <w:r>
        <w:t>År 2012 enades vattenförvaltningarna om en formel för beräkningen av vattenexploateringsindex plus (WEI+)</w:t>
      </w:r>
      <w:r>
        <w:rPr>
          <w:rStyle w:val="Fotnotsreferens"/>
        </w:rPr>
        <w:footnoteReference w:id="119"/>
      </w:r>
      <w:r>
        <w:t xml:space="preserve"> för ett visst område, som ”total vattenförbrukning dividerat med förnybara dricksvattenresurser”. WEI+ togs fram av CIS expertgrupp för vattenbrist och torka i syfte ett ge en indikation på hur vattenresurser i ett visst territorium påverkas av vattenuttag. </w:t>
      </w:r>
    </w:p>
    <w:p w:rsidR="000215C5" w:rsidRDefault="00703023">
      <w:pPr>
        <w:pBdr>
          <w:top w:val="single" w:sz="4" w:space="1" w:color="auto"/>
          <w:left w:val="single" w:sz="4" w:space="4" w:color="auto"/>
          <w:bottom w:val="single" w:sz="4" w:space="1" w:color="auto"/>
          <w:right w:val="single" w:sz="4" w:space="4" w:color="auto"/>
        </w:pBdr>
        <w:jc w:val="both"/>
      </w:pPr>
      <w:r>
        <w:t>WEI+ = (uttag – återfyllning)/förnybara vattenresurser</w:t>
      </w:r>
    </w:p>
    <w:p w:rsidR="000215C5" w:rsidRDefault="00703023">
      <w:pPr>
        <w:jc w:val="both"/>
      </w:pPr>
      <w:r>
        <w:t>Denna information är ytterst relevant för att förstärka kopplingen mellan vattenkvantitet och vattenkvalitet och yt- och grundvattenförekomsters samverkan.</w:t>
      </w:r>
    </w:p>
    <w:p w:rsidR="000215C5" w:rsidRDefault="00703023">
      <w:pPr>
        <w:jc w:val="both"/>
      </w:pPr>
      <w:r>
        <w:t>När det gäller analysen av påverkan och effekter inriktas informationen vanligen på vattenanvändning, som delas upp ytterligare i vattenuttag och vattenförbrukning (uttag minus återfyllning). Påverkan på grund av vattenförbrukning måste dock övervägas mot bakgrund av tillgången till vatten, eftersom endast en obalans mellan vattenförbrukning och tillgång till dricksvatten ger en indikation på den verkliga påverkan på vattenekosystemen.</w:t>
      </w:r>
    </w:p>
    <w:p w:rsidR="000215C5" w:rsidRDefault="00703023">
      <w:pPr>
        <w:jc w:val="both"/>
      </w:pPr>
      <w:r>
        <w:t>Valet av lämpliga rumsliga och tidsmässiga skalor är viktigt för att det ska vara möjligt att urskilja regionala och säsongsmässiga skillnader i bedömningarna. Följande skalor används i rapporteringen:</w:t>
      </w:r>
    </w:p>
    <w:p w:rsidR="000215C5" w:rsidRDefault="00703023">
      <w:pPr>
        <w:jc w:val="both"/>
        <w:rPr>
          <w:b/>
        </w:rPr>
      </w:pPr>
      <w:r>
        <w:rPr>
          <w:b/>
        </w:rPr>
        <w:t>Rumslig skala</w:t>
      </w:r>
    </w:p>
    <w:p w:rsidR="000215C5" w:rsidRDefault="00703023">
      <w:pPr>
        <w:jc w:val="both"/>
      </w:pPr>
      <w:r>
        <w:t>Nationell nivå.</w:t>
      </w:r>
    </w:p>
    <w:p w:rsidR="000215C5" w:rsidRDefault="00703023">
      <w:pPr>
        <w:jc w:val="both"/>
      </w:pPr>
      <w:r>
        <w:t>Avrinningsdistrikt eller en del av ett internationellt avrinningsdistrikt som är beläget inom medlemsstatens territorium.</w:t>
      </w:r>
    </w:p>
    <w:p w:rsidR="000215C5" w:rsidRDefault="00703023">
      <w:pPr>
        <w:jc w:val="both"/>
        <w:rPr>
          <w:b/>
        </w:rPr>
      </w:pPr>
      <w:r>
        <w:rPr>
          <w:b/>
        </w:rPr>
        <w:t>Tidsskala</w:t>
      </w:r>
    </w:p>
    <w:p w:rsidR="000215C5" w:rsidRDefault="00703023">
      <w:pPr>
        <w:jc w:val="both"/>
      </w:pPr>
      <w:r>
        <w:t>I vissa avrinningsdistrikt framgår vattenbrist endast när den månatliga WEI+-indikatorn beräknas, men inte nödvändigtvis med den årliga WEI+-indikatorn. Det är ett vedertaget faktum att den månatliga WEI+ bäst representerar säsongsmässig vattenbrist som kanske inte syns på en årlig skala, medan den årliga WEI+ kan vara tillräcklig när det inte finns problem med vattenbrist. Tillämpningen av WEI+ per månad och rapporteringen i samband med detta kräver dock mycket arbete med datainsamling och bör därför endast krävas för de avrinningsdistrikt där vattenuttag utgör en betydande påverkan.</w:t>
      </w:r>
    </w:p>
    <w:p w:rsidR="000215C5" w:rsidRDefault="00703023">
      <w:pPr>
        <w:jc w:val="both"/>
      </w:pPr>
      <w:r>
        <w:t>Följande tvåstegsmetod har tagits fram för att anpassa rapporteringsarbetet till situationen i respektive avrinningsdistrikt:</w:t>
      </w:r>
    </w:p>
    <w:p w:rsidR="000215C5" w:rsidRDefault="00703023">
      <w:pPr>
        <w:numPr>
          <w:ilvl w:val="0"/>
          <w:numId w:val="46"/>
        </w:numPr>
        <w:jc w:val="both"/>
      </w:pPr>
      <w:r>
        <w:t xml:space="preserve">Krävs för alla avrinningsdistrikt: uppgift om huruvida medlemsstaten på grundval av analysen av påverkan och effekter, årligt WEI+ och/eller annan tillgänglig information anser att vattenuttaget (tolkat som nettoförbrukning) utgör en betydande påverkan på (den nationella delen av) avrinningsdistriktet (eller avsevärda delar av det). Om vattenuttag inte utgör en betydande påverkan krävs </w:t>
      </w:r>
      <w:r>
        <w:rPr>
          <w:i/>
        </w:rPr>
        <w:t>inte</w:t>
      </w:r>
      <w:r>
        <w:t xml:space="preserve"> ytterligare rapportering. En uppskattning av avrinningsdistriktet eller nationell årligt WEI+ kan lämnas om den finns tillgänglig (valfritt).</w:t>
      </w:r>
    </w:p>
    <w:p w:rsidR="000215C5" w:rsidRDefault="00703023">
      <w:pPr>
        <w:numPr>
          <w:ilvl w:val="0"/>
          <w:numId w:val="46"/>
        </w:numPr>
        <w:jc w:val="both"/>
      </w:pPr>
      <w:r>
        <w:t>Krävs endast för avrinningsdistrikt där vattenuttag anses utgöra en betydande påverkan: rapportera årligt WEI+ och WEI+ för den värsta månaden då vattenbrist kan förväntas i (den nationella delen av) avrinningsdistriktet samt kompletterande information om vattenförbrukning per källa och sektor och stödjande parametrar.</w:t>
      </w:r>
    </w:p>
    <w:p w:rsidR="000215C5" w:rsidRDefault="00703023">
      <w:pPr>
        <w:ind w:left="720"/>
        <w:jc w:val="both"/>
      </w:pPr>
      <w:r>
        <w:t>Rapportering av WEI+ för den värsta månaden krävs inte om vattenbristen inte visar ett säsongsmönster.</w:t>
      </w:r>
    </w:p>
    <w:p w:rsidR="000215C5" w:rsidRDefault="00703023">
      <w:pPr>
        <w:jc w:val="both"/>
      </w:pPr>
      <w:r>
        <w:t>Ett annat rapporteringsalternativ ges för medlemsstater där WEI+ ännu inte finns tillgängligt och andra indikatorer används.</w:t>
      </w:r>
    </w:p>
    <w:p w:rsidR="000215C5" w:rsidRDefault="00703023">
      <w:pPr>
        <w:jc w:val="both"/>
      </w:pPr>
      <w:r>
        <w:t>När det gäller rapporteringen av vattenförbrukning har medlemsstaterna olika metoder för att räkna fram värden från sin statistik. Inriktningen bör ligga på att klargöra andelen vattenförbrukning, eftersom detta är den mest relevanta aspekten för vattenbrist och torka. Dessutom är det viktigt att se till att volymer som tas ut men återgår till systemet (t.ex. kylvatten och vattenkraft) inte tas med i det rapporterade värdet. Uppskattningar av vattenförbrukningen kan göras på grundval av procentandelar av uttag per användningsområde.</w:t>
      </w:r>
    </w:p>
    <w:p w:rsidR="000215C5" w:rsidRDefault="00703023">
      <w:pPr>
        <w:jc w:val="both"/>
      </w:pPr>
      <w:r>
        <w:t>Om den information som krävs redan har rapporterats till Europeiska miljöbyråns SoE-rapportering via Eionet-processen behöver den inte rapporteras igen enligt vattendirektivet.</w:t>
      </w:r>
    </w:p>
    <w:p w:rsidR="000215C5" w:rsidRDefault="00703023">
      <w:pPr>
        <w:pStyle w:val="Rubrik3"/>
      </w:pPr>
      <w:bookmarkStart w:id="686" w:name="_Toc388280343"/>
      <w:r>
        <w:t>Hur kommer kommissionen och Europeiska miljöbyrån att använda den rapporterade informationen</w:t>
      </w:r>
      <w:bookmarkEnd w:id="686"/>
      <w:r>
        <w:t>?</w:t>
      </w:r>
    </w:p>
    <w:p w:rsidR="000215C5" w:rsidRDefault="00703023">
      <w:pPr>
        <w:jc w:val="both"/>
      </w:pPr>
      <w:r>
        <w:t>Informationen från medlemsstaterna om WEI+ och i förekommande fall om uttag från ytvatten eller grundvatten per sektor kommer att användas för att ta fram översikter på europeisk nivå av problem i samband med vattenkvantitet.</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4"/>
      </w:pPr>
      <w:r>
        <w:t>Produkter från rapporteringen</w:t>
      </w:r>
    </w:p>
    <w:p w:rsidR="000215C5" w:rsidRDefault="00703023">
      <w:pPr>
        <w:jc w:val="both"/>
      </w:pPr>
      <w:r>
        <w:t>Produkterna nedan kommer att inriktas på de avrinningsdistrikt och medlemsstater där vattenuttag utgör en påverkan. För återstående avrinningsdistrikt och medlemsstater kommer en markering att visas som betyder att vattenuttag inte har identifierats som ett problem.</w:t>
      </w:r>
    </w:p>
    <w:p w:rsidR="000215C5" w:rsidRDefault="00703023">
      <w:pPr>
        <w:jc w:val="both"/>
      </w:pPr>
      <w:r>
        <w:t>Gränsvärden har ännu inte överenskommits</w:t>
      </w:r>
      <w:r>
        <w:rPr>
          <w:rStyle w:val="Fotnotsreferens"/>
        </w:rPr>
        <w:footnoteReference w:id="120"/>
      </w:r>
      <w:r>
        <w:t>. Till dess presenteras produkterna endast i jämförande syfte och bör inte innehålla några klassificeringar om inte medlemsstaterna först kommit överens om det. Rapporteringsprodukterna måste godkännas via CIS-processen när de är EU-omfattande.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
        <w:gridCol w:w="1799"/>
        <w:gridCol w:w="1023"/>
        <w:gridCol w:w="1535"/>
        <w:gridCol w:w="2560"/>
        <w:gridCol w:w="2388"/>
      </w:tblGrid>
      <w:tr w:rsidR="000215C5" w:rsidTr="00764B64">
        <w:trPr>
          <w:cantSplit/>
          <w:trHeight w:val="574"/>
          <w:tblHeader/>
        </w:trPr>
        <w:tc>
          <w:tcPr>
            <w:tcW w:w="278" w:type="pct"/>
          </w:tcPr>
          <w:p w:rsidR="000215C5" w:rsidRDefault="00703023">
            <w:pPr>
              <w:spacing w:after="0"/>
              <w:jc w:val="both"/>
              <w:rPr>
                <w:b/>
                <w:sz w:val="18"/>
                <w:szCs w:val="18"/>
              </w:rPr>
            </w:pPr>
            <w:r>
              <w:rPr>
                <w:b/>
                <w:sz w:val="18"/>
              </w:rPr>
              <w:t>Nb</w:t>
            </w:r>
          </w:p>
        </w:tc>
        <w:tc>
          <w:tcPr>
            <w:tcW w:w="913" w:type="pct"/>
          </w:tcPr>
          <w:p w:rsidR="000215C5" w:rsidRDefault="00703023">
            <w:pPr>
              <w:spacing w:after="0"/>
              <w:jc w:val="both"/>
              <w:rPr>
                <w:b/>
                <w:sz w:val="18"/>
                <w:szCs w:val="18"/>
              </w:rPr>
            </w:pPr>
            <w:r>
              <w:rPr>
                <w:b/>
                <w:sz w:val="18"/>
              </w:rPr>
              <w:t>Produktens namn</w:t>
            </w:r>
          </w:p>
        </w:tc>
        <w:tc>
          <w:tcPr>
            <w:tcW w:w="519" w:type="pct"/>
          </w:tcPr>
          <w:p w:rsidR="000215C5" w:rsidRDefault="00703023">
            <w:pPr>
              <w:spacing w:after="0"/>
              <w:jc w:val="both"/>
              <w:rPr>
                <w:b/>
                <w:sz w:val="18"/>
                <w:szCs w:val="18"/>
              </w:rPr>
            </w:pPr>
            <w:r>
              <w:rPr>
                <w:b/>
                <w:sz w:val="18"/>
              </w:rPr>
              <w:t>Produkttyp</w:t>
            </w:r>
          </w:p>
        </w:tc>
        <w:tc>
          <w:tcPr>
            <w:tcW w:w="779" w:type="pct"/>
          </w:tcPr>
          <w:p w:rsidR="000215C5" w:rsidRDefault="00703023">
            <w:pPr>
              <w:spacing w:after="0"/>
              <w:jc w:val="both"/>
              <w:rPr>
                <w:b/>
                <w:sz w:val="18"/>
                <w:szCs w:val="18"/>
              </w:rPr>
            </w:pPr>
            <w:r>
              <w:rPr>
                <w:b/>
                <w:sz w:val="18"/>
              </w:rPr>
              <w:t>Informationsnivå*</w:t>
            </w:r>
          </w:p>
        </w:tc>
        <w:tc>
          <w:tcPr>
            <w:tcW w:w="1299" w:type="pct"/>
          </w:tcPr>
          <w:p w:rsidR="000215C5" w:rsidRDefault="00703023">
            <w:pPr>
              <w:spacing w:after="0"/>
              <w:jc w:val="both"/>
              <w:rPr>
                <w:b/>
                <w:sz w:val="18"/>
                <w:szCs w:val="18"/>
              </w:rPr>
            </w:pPr>
            <w:r>
              <w:rPr>
                <w:b/>
                <w:sz w:val="18"/>
              </w:rPr>
              <w:t>Detaljerad information visas</w:t>
            </w:r>
          </w:p>
        </w:tc>
        <w:tc>
          <w:tcPr>
            <w:tcW w:w="1212" w:type="pct"/>
          </w:tcPr>
          <w:p w:rsidR="000215C5" w:rsidRDefault="00703023">
            <w:pPr>
              <w:spacing w:after="0"/>
              <w:jc w:val="both"/>
              <w:rPr>
                <w:b/>
                <w:sz w:val="18"/>
                <w:szCs w:val="18"/>
              </w:rPr>
            </w:pPr>
            <w:r>
              <w:rPr>
                <w:b/>
                <w:sz w:val="18"/>
              </w:rPr>
              <w:t>Källa till detaljerad information samt aggregationsregeln</w:t>
            </w:r>
          </w:p>
        </w:tc>
      </w:tr>
      <w:tr w:rsidR="000215C5">
        <w:trPr>
          <w:cantSplit/>
        </w:trPr>
        <w:tc>
          <w:tcPr>
            <w:tcW w:w="278" w:type="pct"/>
          </w:tcPr>
          <w:p w:rsidR="000215C5" w:rsidRDefault="00703023">
            <w:pPr>
              <w:spacing w:after="0"/>
              <w:jc w:val="both"/>
              <w:rPr>
                <w:sz w:val="18"/>
                <w:szCs w:val="18"/>
              </w:rPr>
            </w:pPr>
            <w:r>
              <w:rPr>
                <w:sz w:val="18"/>
              </w:rPr>
              <w:t>1</w:t>
            </w:r>
          </w:p>
        </w:tc>
        <w:tc>
          <w:tcPr>
            <w:tcW w:w="913" w:type="pct"/>
          </w:tcPr>
          <w:p w:rsidR="000215C5" w:rsidRDefault="00703023">
            <w:pPr>
              <w:spacing w:after="0"/>
              <w:jc w:val="both"/>
              <w:rPr>
                <w:b/>
                <w:smallCaps/>
                <w:sz w:val="18"/>
                <w:szCs w:val="18"/>
              </w:rPr>
            </w:pPr>
            <w:r>
              <w:rPr>
                <w:b/>
                <w:sz w:val="18"/>
              </w:rPr>
              <w:t>WEI+ nationell</w:t>
            </w:r>
          </w:p>
        </w:tc>
        <w:tc>
          <w:tcPr>
            <w:tcW w:w="519" w:type="pct"/>
          </w:tcPr>
          <w:p w:rsidR="000215C5" w:rsidRDefault="00703023">
            <w:pPr>
              <w:spacing w:after="0"/>
              <w:jc w:val="both"/>
              <w:rPr>
                <w:b/>
                <w:smallCaps/>
                <w:sz w:val="18"/>
                <w:szCs w:val="18"/>
              </w:rPr>
            </w:pPr>
            <w:r>
              <w:rPr>
                <w:sz w:val="18"/>
              </w:rPr>
              <w:t>Diagram, tabell eller karta</w:t>
            </w:r>
          </w:p>
        </w:tc>
        <w:tc>
          <w:tcPr>
            <w:tcW w:w="779" w:type="pct"/>
          </w:tcPr>
          <w:p w:rsidR="000215C5" w:rsidRDefault="00703023">
            <w:pPr>
              <w:spacing w:after="0"/>
              <w:jc w:val="both"/>
              <w:rPr>
                <w:b/>
                <w:smallCaps/>
                <w:sz w:val="18"/>
                <w:szCs w:val="18"/>
              </w:rPr>
            </w:pPr>
            <w:r>
              <w:rPr>
                <w:sz w:val="18"/>
              </w:rPr>
              <w:t>EU/MS</w:t>
            </w:r>
          </w:p>
        </w:tc>
        <w:tc>
          <w:tcPr>
            <w:tcW w:w="1299" w:type="pct"/>
          </w:tcPr>
          <w:p w:rsidR="000215C5" w:rsidRDefault="00703023">
            <w:pPr>
              <w:spacing w:after="0"/>
              <w:jc w:val="both"/>
              <w:rPr>
                <w:b/>
                <w:smallCaps/>
                <w:sz w:val="18"/>
                <w:szCs w:val="18"/>
              </w:rPr>
            </w:pPr>
            <w:r>
              <w:rPr>
                <w:sz w:val="18"/>
              </w:rPr>
              <w:t>Indikation på påverkan på vattenresurserna på nationell nivå till följd av vattenuttag.</w:t>
            </w:r>
          </w:p>
        </w:tc>
        <w:tc>
          <w:tcPr>
            <w:tcW w:w="1212" w:type="pct"/>
          </w:tcPr>
          <w:p w:rsidR="000215C5" w:rsidRDefault="00703023">
            <w:pPr>
              <w:spacing w:after="0"/>
              <w:jc w:val="both"/>
              <w:rPr>
                <w:b/>
                <w:smallCaps/>
                <w:sz w:val="18"/>
                <w:szCs w:val="18"/>
              </w:rPr>
            </w:pPr>
            <w:r>
              <w:rPr>
                <w:sz w:val="18"/>
              </w:rPr>
              <w:t>Information rapporterad på nationell nivå under en femårsperiod.</w:t>
            </w:r>
          </w:p>
        </w:tc>
      </w:tr>
      <w:tr w:rsidR="000215C5">
        <w:trPr>
          <w:cantSplit/>
        </w:trPr>
        <w:tc>
          <w:tcPr>
            <w:tcW w:w="278" w:type="pct"/>
          </w:tcPr>
          <w:p w:rsidR="000215C5" w:rsidRDefault="00703023">
            <w:pPr>
              <w:spacing w:after="0"/>
              <w:jc w:val="both"/>
              <w:rPr>
                <w:b/>
                <w:smallCaps/>
                <w:sz w:val="18"/>
                <w:szCs w:val="18"/>
              </w:rPr>
            </w:pPr>
            <w:r>
              <w:rPr>
                <w:sz w:val="18"/>
              </w:rPr>
              <w:t>2</w:t>
            </w:r>
          </w:p>
        </w:tc>
        <w:tc>
          <w:tcPr>
            <w:tcW w:w="913" w:type="pct"/>
          </w:tcPr>
          <w:p w:rsidR="000215C5" w:rsidRDefault="00703023">
            <w:pPr>
              <w:spacing w:after="0"/>
              <w:jc w:val="both"/>
              <w:rPr>
                <w:b/>
                <w:smallCaps/>
                <w:sz w:val="18"/>
                <w:szCs w:val="18"/>
              </w:rPr>
            </w:pPr>
            <w:r>
              <w:rPr>
                <w:b/>
                <w:sz w:val="18"/>
              </w:rPr>
              <w:t>Säsongsmässig WEI+ för den värsta månaden under året eller perioden</w:t>
            </w:r>
          </w:p>
        </w:tc>
        <w:tc>
          <w:tcPr>
            <w:tcW w:w="519" w:type="pct"/>
          </w:tcPr>
          <w:p w:rsidR="000215C5" w:rsidRDefault="00703023">
            <w:pPr>
              <w:spacing w:after="0"/>
              <w:jc w:val="both"/>
              <w:rPr>
                <w:b/>
                <w:smallCaps/>
                <w:sz w:val="18"/>
                <w:szCs w:val="18"/>
              </w:rPr>
            </w:pPr>
            <w:r>
              <w:rPr>
                <w:sz w:val="18"/>
              </w:rPr>
              <w:t>Diagram, tabell eller karta</w:t>
            </w:r>
          </w:p>
        </w:tc>
        <w:tc>
          <w:tcPr>
            <w:tcW w:w="779" w:type="pct"/>
          </w:tcPr>
          <w:p w:rsidR="000215C5" w:rsidRDefault="00703023">
            <w:pPr>
              <w:spacing w:after="0"/>
              <w:jc w:val="both"/>
              <w:rPr>
                <w:b/>
                <w:smallCaps/>
                <w:sz w:val="18"/>
                <w:szCs w:val="18"/>
              </w:rPr>
            </w:pPr>
            <w:r>
              <w:rPr>
                <w:sz w:val="18"/>
              </w:rPr>
              <w:t xml:space="preserve">RBD </w:t>
            </w:r>
          </w:p>
        </w:tc>
        <w:tc>
          <w:tcPr>
            <w:tcW w:w="1299" w:type="pct"/>
          </w:tcPr>
          <w:p w:rsidR="000215C5" w:rsidRDefault="00703023">
            <w:pPr>
              <w:spacing w:after="0"/>
              <w:jc w:val="both"/>
              <w:rPr>
                <w:b/>
                <w:smallCaps/>
                <w:sz w:val="18"/>
                <w:szCs w:val="18"/>
              </w:rPr>
            </w:pPr>
            <w:r>
              <w:rPr>
                <w:sz w:val="18"/>
              </w:rPr>
              <w:t>Indikation på påverkan på vattenresurserna på nationell nivå till följd av vattenuttag, baserat på den värsta månaden under det rapporterade året eller den rapporterade perioden.</w:t>
            </w:r>
          </w:p>
        </w:tc>
        <w:tc>
          <w:tcPr>
            <w:tcW w:w="1212" w:type="pct"/>
          </w:tcPr>
          <w:p w:rsidR="000215C5" w:rsidRDefault="00703023">
            <w:pPr>
              <w:spacing w:after="0"/>
              <w:jc w:val="both"/>
              <w:rPr>
                <w:b/>
                <w:smallCaps/>
                <w:sz w:val="18"/>
                <w:szCs w:val="18"/>
              </w:rPr>
            </w:pPr>
            <w:r>
              <w:rPr>
                <w:sz w:val="18"/>
              </w:rPr>
              <w:t>Information rapporterad på nivån för avrinningsdistrikt.</w:t>
            </w:r>
          </w:p>
        </w:tc>
      </w:tr>
      <w:tr w:rsidR="000215C5">
        <w:trPr>
          <w:cantSplit/>
        </w:trPr>
        <w:tc>
          <w:tcPr>
            <w:tcW w:w="278" w:type="pct"/>
          </w:tcPr>
          <w:p w:rsidR="000215C5" w:rsidRDefault="00703023">
            <w:pPr>
              <w:spacing w:after="0"/>
              <w:jc w:val="both"/>
              <w:rPr>
                <w:b/>
                <w:smallCaps/>
                <w:sz w:val="18"/>
                <w:szCs w:val="18"/>
              </w:rPr>
            </w:pPr>
            <w:r>
              <w:rPr>
                <w:sz w:val="18"/>
              </w:rPr>
              <w:t>3</w:t>
            </w:r>
          </w:p>
        </w:tc>
        <w:tc>
          <w:tcPr>
            <w:tcW w:w="913" w:type="pct"/>
          </w:tcPr>
          <w:p w:rsidR="000215C5" w:rsidRDefault="00703023">
            <w:pPr>
              <w:spacing w:after="0"/>
              <w:jc w:val="both"/>
              <w:rPr>
                <w:b/>
                <w:smallCaps/>
                <w:sz w:val="18"/>
                <w:szCs w:val="18"/>
              </w:rPr>
            </w:pPr>
            <w:r>
              <w:rPr>
                <w:b/>
                <w:sz w:val="18"/>
              </w:rPr>
              <w:t>Vattenuttag per källa</w:t>
            </w:r>
          </w:p>
        </w:tc>
        <w:tc>
          <w:tcPr>
            <w:tcW w:w="519" w:type="pct"/>
          </w:tcPr>
          <w:p w:rsidR="000215C5" w:rsidRDefault="00703023">
            <w:pPr>
              <w:spacing w:after="0"/>
              <w:jc w:val="both"/>
              <w:rPr>
                <w:b/>
                <w:smallCaps/>
                <w:sz w:val="18"/>
                <w:szCs w:val="18"/>
              </w:rPr>
            </w:pPr>
            <w:r>
              <w:rPr>
                <w:sz w:val="18"/>
              </w:rPr>
              <w:t>Diagram, tabell eller karta</w:t>
            </w:r>
          </w:p>
        </w:tc>
        <w:tc>
          <w:tcPr>
            <w:tcW w:w="779" w:type="pct"/>
          </w:tcPr>
          <w:p w:rsidR="000215C5" w:rsidRDefault="00703023">
            <w:pPr>
              <w:spacing w:after="0"/>
              <w:jc w:val="both"/>
              <w:rPr>
                <w:b/>
                <w:smallCaps/>
                <w:sz w:val="18"/>
                <w:szCs w:val="18"/>
              </w:rPr>
            </w:pPr>
            <w:r>
              <w:rPr>
                <w:sz w:val="18"/>
              </w:rPr>
              <w:t xml:space="preserve">EU/MS/RBD </w:t>
            </w:r>
          </w:p>
        </w:tc>
        <w:tc>
          <w:tcPr>
            <w:tcW w:w="1299" w:type="pct"/>
          </w:tcPr>
          <w:p w:rsidR="000215C5" w:rsidRDefault="00703023">
            <w:pPr>
              <w:spacing w:after="0"/>
              <w:jc w:val="both"/>
              <w:rPr>
                <w:b/>
                <w:smallCaps/>
                <w:sz w:val="18"/>
                <w:szCs w:val="18"/>
              </w:rPr>
            </w:pPr>
            <w:r>
              <w:rPr>
                <w:sz w:val="18"/>
              </w:rPr>
              <w:t>Andel uttag mellan yt- och grundvattenresurser.</w:t>
            </w:r>
          </w:p>
        </w:tc>
        <w:tc>
          <w:tcPr>
            <w:tcW w:w="1212" w:type="pct"/>
          </w:tcPr>
          <w:p w:rsidR="000215C5" w:rsidRDefault="00703023">
            <w:pPr>
              <w:spacing w:after="0"/>
              <w:jc w:val="both"/>
              <w:rPr>
                <w:b/>
                <w:smallCaps/>
                <w:sz w:val="18"/>
                <w:szCs w:val="18"/>
              </w:rPr>
            </w:pPr>
            <w:r>
              <w:rPr>
                <w:sz w:val="18"/>
              </w:rPr>
              <w:t>Information rapporterad på nivån för avrinningsdistrikt eller delavrinningsdistrikt, årligen eller månatligen.</w:t>
            </w:r>
          </w:p>
        </w:tc>
      </w:tr>
      <w:tr w:rsidR="000215C5">
        <w:trPr>
          <w:cantSplit/>
        </w:trPr>
        <w:tc>
          <w:tcPr>
            <w:tcW w:w="278" w:type="pct"/>
          </w:tcPr>
          <w:p w:rsidR="000215C5" w:rsidRDefault="00703023">
            <w:pPr>
              <w:spacing w:after="0"/>
              <w:jc w:val="both"/>
              <w:rPr>
                <w:b/>
                <w:smallCaps/>
                <w:sz w:val="18"/>
                <w:szCs w:val="18"/>
              </w:rPr>
            </w:pPr>
            <w:r>
              <w:rPr>
                <w:sz w:val="18"/>
              </w:rPr>
              <w:t>4</w:t>
            </w:r>
          </w:p>
        </w:tc>
        <w:tc>
          <w:tcPr>
            <w:tcW w:w="913" w:type="pct"/>
          </w:tcPr>
          <w:p w:rsidR="000215C5" w:rsidRDefault="00703023">
            <w:pPr>
              <w:spacing w:after="0"/>
              <w:jc w:val="both"/>
              <w:rPr>
                <w:b/>
                <w:smallCaps/>
                <w:sz w:val="18"/>
                <w:szCs w:val="18"/>
              </w:rPr>
            </w:pPr>
            <w:r>
              <w:rPr>
                <w:b/>
                <w:sz w:val="18"/>
              </w:rPr>
              <w:t>Trender i vattenförbrukning per sektor</w:t>
            </w:r>
          </w:p>
        </w:tc>
        <w:tc>
          <w:tcPr>
            <w:tcW w:w="519" w:type="pct"/>
          </w:tcPr>
          <w:p w:rsidR="000215C5" w:rsidRDefault="00703023">
            <w:pPr>
              <w:spacing w:after="0"/>
              <w:jc w:val="both"/>
              <w:rPr>
                <w:b/>
                <w:smallCaps/>
                <w:sz w:val="18"/>
                <w:szCs w:val="18"/>
              </w:rPr>
            </w:pPr>
            <w:r>
              <w:rPr>
                <w:sz w:val="18"/>
              </w:rPr>
              <w:t>Diagram, tabell eller karta</w:t>
            </w:r>
          </w:p>
        </w:tc>
        <w:tc>
          <w:tcPr>
            <w:tcW w:w="779" w:type="pct"/>
          </w:tcPr>
          <w:p w:rsidR="000215C5" w:rsidRDefault="00703023">
            <w:pPr>
              <w:spacing w:after="0"/>
              <w:jc w:val="both"/>
              <w:rPr>
                <w:b/>
                <w:smallCaps/>
                <w:sz w:val="18"/>
                <w:szCs w:val="18"/>
              </w:rPr>
            </w:pPr>
            <w:r>
              <w:rPr>
                <w:sz w:val="18"/>
              </w:rPr>
              <w:t>EU/MS/RBD</w:t>
            </w:r>
          </w:p>
        </w:tc>
        <w:tc>
          <w:tcPr>
            <w:tcW w:w="1299" w:type="pct"/>
          </w:tcPr>
          <w:p w:rsidR="000215C5" w:rsidRDefault="00703023">
            <w:pPr>
              <w:spacing w:after="0"/>
              <w:jc w:val="both"/>
              <w:rPr>
                <w:b/>
                <w:smallCaps/>
                <w:sz w:val="18"/>
                <w:szCs w:val="18"/>
              </w:rPr>
            </w:pPr>
            <w:r>
              <w:rPr>
                <w:sz w:val="18"/>
              </w:rPr>
              <w:t>Trender i vattenförbrukning per sektor Identifiering av de största vattenförbrukarna i Europa.</w:t>
            </w:r>
          </w:p>
        </w:tc>
        <w:tc>
          <w:tcPr>
            <w:tcW w:w="1212" w:type="pct"/>
          </w:tcPr>
          <w:p w:rsidR="000215C5" w:rsidRDefault="00703023">
            <w:pPr>
              <w:spacing w:after="0"/>
              <w:jc w:val="both"/>
              <w:rPr>
                <w:b/>
                <w:smallCaps/>
                <w:sz w:val="18"/>
                <w:szCs w:val="18"/>
              </w:rPr>
            </w:pPr>
            <w:r>
              <w:rPr>
                <w:sz w:val="18"/>
              </w:rPr>
              <w:t>Information rapporterad på nivån för avrinningsdistrikt.</w:t>
            </w:r>
          </w:p>
        </w:tc>
      </w:tr>
      <w:tr w:rsidR="000215C5">
        <w:trPr>
          <w:cantSplit/>
        </w:trPr>
        <w:tc>
          <w:tcPr>
            <w:tcW w:w="278" w:type="pct"/>
          </w:tcPr>
          <w:p w:rsidR="000215C5" w:rsidRDefault="00703023">
            <w:pPr>
              <w:spacing w:after="0"/>
              <w:jc w:val="both"/>
              <w:rPr>
                <w:sz w:val="18"/>
                <w:szCs w:val="18"/>
              </w:rPr>
            </w:pPr>
            <w:r>
              <w:rPr>
                <w:sz w:val="18"/>
              </w:rPr>
              <w:t>5</w:t>
            </w:r>
          </w:p>
        </w:tc>
        <w:tc>
          <w:tcPr>
            <w:tcW w:w="913" w:type="pct"/>
          </w:tcPr>
          <w:p w:rsidR="000215C5" w:rsidRDefault="00703023">
            <w:pPr>
              <w:spacing w:after="0"/>
              <w:jc w:val="both"/>
              <w:rPr>
                <w:b/>
                <w:smallCaps/>
                <w:sz w:val="18"/>
                <w:szCs w:val="18"/>
              </w:rPr>
            </w:pPr>
            <w:r>
              <w:rPr>
                <w:b/>
                <w:sz w:val="18"/>
              </w:rPr>
              <w:t xml:space="preserve">Översikt av spill och läckage </w:t>
            </w:r>
          </w:p>
        </w:tc>
        <w:tc>
          <w:tcPr>
            <w:tcW w:w="519" w:type="pct"/>
          </w:tcPr>
          <w:p w:rsidR="000215C5" w:rsidRDefault="00703023">
            <w:pPr>
              <w:spacing w:after="0"/>
              <w:jc w:val="both"/>
              <w:rPr>
                <w:b/>
                <w:smallCaps/>
                <w:sz w:val="18"/>
                <w:szCs w:val="18"/>
              </w:rPr>
            </w:pPr>
            <w:r>
              <w:rPr>
                <w:sz w:val="18"/>
              </w:rPr>
              <w:t>Diagram, tabell eller karta</w:t>
            </w:r>
          </w:p>
        </w:tc>
        <w:tc>
          <w:tcPr>
            <w:tcW w:w="779" w:type="pct"/>
          </w:tcPr>
          <w:p w:rsidR="000215C5" w:rsidRDefault="00703023">
            <w:pPr>
              <w:spacing w:after="0"/>
              <w:jc w:val="both"/>
              <w:rPr>
                <w:b/>
                <w:smallCaps/>
                <w:sz w:val="18"/>
                <w:szCs w:val="18"/>
              </w:rPr>
            </w:pPr>
            <w:r>
              <w:rPr>
                <w:sz w:val="18"/>
              </w:rPr>
              <w:t>EU/MS/RBD</w:t>
            </w:r>
          </w:p>
        </w:tc>
        <w:tc>
          <w:tcPr>
            <w:tcW w:w="1299" w:type="pct"/>
          </w:tcPr>
          <w:p w:rsidR="000215C5" w:rsidRDefault="00703023">
            <w:pPr>
              <w:spacing w:after="0"/>
              <w:jc w:val="both"/>
              <w:rPr>
                <w:b/>
                <w:smallCaps/>
                <w:sz w:val="18"/>
                <w:szCs w:val="18"/>
              </w:rPr>
            </w:pPr>
            <w:r>
              <w:rPr>
                <w:sz w:val="18"/>
              </w:rPr>
              <w:t>Översikt av spill och läckage samt trender för förbättringar.</w:t>
            </w:r>
          </w:p>
        </w:tc>
        <w:tc>
          <w:tcPr>
            <w:tcW w:w="1212" w:type="pct"/>
          </w:tcPr>
          <w:p w:rsidR="000215C5" w:rsidRDefault="00703023">
            <w:pPr>
              <w:spacing w:after="0"/>
              <w:jc w:val="both"/>
              <w:rPr>
                <w:b/>
                <w:smallCaps/>
                <w:sz w:val="18"/>
                <w:szCs w:val="18"/>
              </w:rPr>
            </w:pPr>
            <w:r>
              <w:rPr>
                <w:sz w:val="18"/>
              </w:rPr>
              <w:t>Information rapporterad på nivån för avrinningsdistrikt.</w:t>
            </w:r>
          </w:p>
        </w:tc>
      </w:tr>
      <w:tr w:rsidR="000215C5">
        <w:trPr>
          <w:cantSplit/>
        </w:trPr>
        <w:tc>
          <w:tcPr>
            <w:tcW w:w="278" w:type="pct"/>
          </w:tcPr>
          <w:p w:rsidR="000215C5" w:rsidRDefault="00703023">
            <w:pPr>
              <w:spacing w:after="0"/>
              <w:jc w:val="both"/>
              <w:rPr>
                <w:sz w:val="18"/>
                <w:szCs w:val="18"/>
              </w:rPr>
            </w:pPr>
            <w:r>
              <w:rPr>
                <w:sz w:val="18"/>
              </w:rPr>
              <w:t>6</w:t>
            </w:r>
          </w:p>
        </w:tc>
        <w:tc>
          <w:tcPr>
            <w:tcW w:w="913" w:type="pct"/>
          </w:tcPr>
          <w:p w:rsidR="000215C5" w:rsidRDefault="00703023">
            <w:pPr>
              <w:spacing w:after="0"/>
              <w:jc w:val="both"/>
              <w:rPr>
                <w:b/>
                <w:smallCaps/>
                <w:sz w:val="18"/>
                <w:szCs w:val="18"/>
              </w:rPr>
            </w:pPr>
            <w:r>
              <w:rPr>
                <w:b/>
                <w:sz w:val="18"/>
              </w:rPr>
              <w:t>Överföring, återfyllning och återanvändning av vatten</w:t>
            </w:r>
          </w:p>
        </w:tc>
        <w:tc>
          <w:tcPr>
            <w:tcW w:w="519" w:type="pct"/>
          </w:tcPr>
          <w:p w:rsidR="000215C5" w:rsidRDefault="00703023">
            <w:pPr>
              <w:spacing w:after="0"/>
              <w:jc w:val="both"/>
              <w:rPr>
                <w:b/>
                <w:smallCaps/>
                <w:sz w:val="18"/>
                <w:szCs w:val="18"/>
              </w:rPr>
            </w:pPr>
            <w:r>
              <w:rPr>
                <w:sz w:val="18"/>
              </w:rPr>
              <w:t>Diagram, tabell eller karta</w:t>
            </w:r>
          </w:p>
        </w:tc>
        <w:tc>
          <w:tcPr>
            <w:tcW w:w="779" w:type="pct"/>
          </w:tcPr>
          <w:p w:rsidR="000215C5" w:rsidRDefault="00703023">
            <w:pPr>
              <w:spacing w:after="0"/>
              <w:jc w:val="both"/>
              <w:rPr>
                <w:b/>
                <w:smallCaps/>
                <w:sz w:val="18"/>
                <w:szCs w:val="18"/>
              </w:rPr>
            </w:pPr>
            <w:r>
              <w:rPr>
                <w:sz w:val="18"/>
              </w:rPr>
              <w:t>EU/MS/RBD</w:t>
            </w:r>
          </w:p>
        </w:tc>
        <w:tc>
          <w:tcPr>
            <w:tcW w:w="1299" w:type="pct"/>
          </w:tcPr>
          <w:p w:rsidR="000215C5" w:rsidRDefault="00703023">
            <w:pPr>
              <w:spacing w:after="0"/>
              <w:jc w:val="both"/>
              <w:rPr>
                <w:b/>
                <w:smallCaps/>
                <w:sz w:val="18"/>
                <w:szCs w:val="18"/>
              </w:rPr>
            </w:pPr>
            <w:r>
              <w:rPr>
                <w:sz w:val="18"/>
              </w:rPr>
              <w:t>Översikt av återfört vatten, återanvända mängder samt transporter inom och mellan och in i och ut från avrinningsdistrikt (t.ex. till storstäder).</w:t>
            </w:r>
          </w:p>
        </w:tc>
        <w:tc>
          <w:tcPr>
            <w:tcW w:w="1212" w:type="pct"/>
          </w:tcPr>
          <w:p w:rsidR="000215C5" w:rsidRDefault="00703023">
            <w:pPr>
              <w:spacing w:after="0"/>
              <w:jc w:val="both"/>
              <w:rPr>
                <w:b/>
                <w:smallCaps/>
                <w:sz w:val="18"/>
                <w:szCs w:val="18"/>
              </w:rPr>
            </w:pPr>
            <w:r>
              <w:rPr>
                <w:sz w:val="18"/>
              </w:rPr>
              <w:t>Information rapporterad på nivån för avrinningsdistrikt.</w:t>
            </w:r>
          </w:p>
        </w:tc>
      </w:tr>
      <w:tr w:rsidR="000215C5">
        <w:trPr>
          <w:cantSplit/>
        </w:trPr>
        <w:tc>
          <w:tcPr>
            <w:tcW w:w="278" w:type="pct"/>
          </w:tcPr>
          <w:p w:rsidR="000215C5" w:rsidRDefault="00703023">
            <w:pPr>
              <w:spacing w:after="0"/>
              <w:jc w:val="both"/>
              <w:rPr>
                <w:b/>
                <w:smallCaps/>
                <w:sz w:val="18"/>
                <w:szCs w:val="18"/>
              </w:rPr>
            </w:pPr>
            <w:r>
              <w:rPr>
                <w:sz w:val="18"/>
              </w:rPr>
              <w:t>7</w:t>
            </w:r>
          </w:p>
        </w:tc>
        <w:tc>
          <w:tcPr>
            <w:tcW w:w="913" w:type="pct"/>
          </w:tcPr>
          <w:p w:rsidR="000215C5" w:rsidRDefault="00703023">
            <w:pPr>
              <w:spacing w:after="0"/>
              <w:jc w:val="both"/>
              <w:rPr>
                <w:b/>
                <w:smallCaps/>
                <w:sz w:val="18"/>
                <w:szCs w:val="18"/>
              </w:rPr>
            </w:pPr>
            <w:r>
              <w:rPr>
                <w:b/>
                <w:sz w:val="18"/>
              </w:rPr>
              <w:t>Vattenuttnyttjande och vattenbalans samt deras trender</w:t>
            </w:r>
          </w:p>
        </w:tc>
        <w:tc>
          <w:tcPr>
            <w:tcW w:w="519" w:type="pct"/>
          </w:tcPr>
          <w:p w:rsidR="000215C5" w:rsidRDefault="00703023">
            <w:pPr>
              <w:spacing w:after="0"/>
              <w:jc w:val="both"/>
              <w:rPr>
                <w:b/>
                <w:smallCaps/>
                <w:sz w:val="18"/>
                <w:szCs w:val="18"/>
              </w:rPr>
            </w:pPr>
            <w:r>
              <w:rPr>
                <w:sz w:val="18"/>
              </w:rPr>
              <w:t>Diagram, tabell eller karta</w:t>
            </w:r>
          </w:p>
        </w:tc>
        <w:tc>
          <w:tcPr>
            <w:tcW w:w="779" w:type="pct"/>
          </w:tcPr>
          <w:p w:rsidR="000215C5" w:rsidRDefault="00703023">
            <w:pPr>
              <w:spacing w:after="0"/>
              <w:jc w:val="both"/>
              <w:rPr>
                <w:b/>
                <w:smallCaps/>
                <w:sz w:val="18"/>
                <w:szCs w:val="18"/>
              </w:rPr>
            </w:pPr>
            <w:r>
              <w:rPr>
                <w:sz w:val="18"/>
              </w:rPr>
              <w:t>EU/MS/RBD</w:t>
            </w:r>
          </w:p>
        </w:tc>
        <w:tc>
          <w:tcPr>
            <w:tcW w:w="1299" w:type="pct"/>
          </w:tcPr>
          <w:p w:rsidR="000215C5" w:rsidRDefault="00703023">
            <w:pPr>
              <w:spacing w:after="0"/>
              <w:jc w:val="both"/>
              <w:rPr>
                <w:b/>
                <w:smallCaps/>
                <w:sz w:val="18"/>
                <w:szCs w:val="18"/>
              </w:rPr>
            </w:pPr>
            <w:r>
              <w:rPr>
                <w:sz w:val="18"/>
              </w:rPr>
              <w:t>Information om vattenbalans visas som index.</w:t>
            </w:r>
          </w:p>
        </w:tc>
        <w:tc>
          <w:tcPr>
            <w:tcW w:w="1212" w:type="pct"/>
          </w:tcPr>
          <w:p w:rsidR="000215C5" w:rsidRDefault="00703023">
            <w:pPr>
              <w:spacing w:after="0"/>
              <w:jc w:val="both"/>
              <w:rPr>
                <w:b/>
                <w:smallCaps/>
                <w:sz w:val="18"/>
                <w:szCs w:val="18"/>
              </w:rPr>
            </w:pPr>
            <w:r>
              <w:rPr>
                <w:sz w:val="18"/>
              </w:rPr>
              <w:t>Information rapporterad per avrinningsdistrikt under en femårsperiod.</w:t>
            </w:r>
          </w:p>
        </w:tc>
      </w:tr>
    </w:tbl>
    <w:p w:rsidR="000215C5" w:rsidRDefault="000215C5">
      <w:pPr>
        <w:jc w:val="both"/>
      </w:pPr>
    </w:p>
    <w:p w:rsidR="000215C5" w:rsidRDefault="00703023">
      <w:pPr>
        <w:pStyle w:val="Rubrik3"/>
      </w:pPr>
      <w:bookmarkStart w:id="687" w:name="_Toc388280344"/>
      <w:r>
        <w:t>Innehåll i rapporteringen 2016</w:t>
      </w:r>
      <w:bookmarkEnd w:id="687"/>
    </w:p>
    <w:p w:rsidR="000215C5" w:rsidRDefault="00703023">
      <w:pPr>
        <w:pStyle w:val="Rubrik4"/>
      </w:pPr>
      <w:r>
        <w:t>Skiss över mallarna</w:t>
      </w:r>
    </w:p>
    <w:p w:rsidR="000215C5" w:rsidRDefault="00703023">
      <w:pPr>
        <w:jc w:val="both"/>
      </w:pPr>
      <w:r>
        <w:t>Se bilaga 10.7.</w:t>
      </w:r>
    </w:p>
    <w:p w:rsidR="000215C5" w:rsidRDefault="00703023">
      <w:pPr>
        <w:pStyle w:val="Rubrik4"/>
      </w:pPr>
      <w:r>
        <w:t xml:space="preserve"> Uppgifter och information som ska rapporteras med hjälp av mallarna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0215C5">
        <w:tc>
          <w:tcPr>
            <w:tcW w:w="9889" w:type="dxa"/>
          </w:tcPr>
          <w:p w:rsidR="000215C5" w:rsidRDefault="00703023">
            <w:pPr>
              <w:spacing w:after="120"/>
              <w:jc w:val="both"/>
              <w:rPr>
                <w:b/>
                <w:szCs w:val="24"/>
              </w:rPr>
            </w:pPr>
            <w:r>
              <w:rPr>
                <w:b/>
              </w:rPr>
              <w:t>Mall: RBMPPoM (fortsättning)</w:t>
            </w:r>
          </w:p>
        </w:tc>
      </w:tr>
      <w:tr w:rsidR="000215C5">
        <w:tc>
          <w:tcPr>
            <w:tcW w:w="9889" w:type="dxa"/>
          </w:tcPr>
          <w:p w:rsidR="000215C5" w:rsidRDefault="00703023">
            <w:pPr>
              <w:spacing w:after="120"/>
              <w:jc w:val="both"/>
              <w:rPr>
                <w:b/>
                <w:i/>
                <w:szCs w:val="24"/>
              </w:rPr>
            </w:pPr>
            <w:r>
              <w:rPr>
                <w:b/>
                <w:i/>
              </w:rPr>
              <w:t>Class WaterQuantity</w:t>
            </w:r>
          </w:p>
          <w:p w:rsidR="000215C5" w:rsidRDefault="00703023">
            <w:pPr>
              <w:spacing w:after="120"/>
              <w:jc w:val="both"/>
              <w:rPr>
                <w:i/>
                <w:szCs w:val="24"/>
              </w:rPr>
            </w:pPr>
            <w:r>
              <w:rPr>
                <w:b/>
                <w:i/>
              </w:rPr>
              <w:t>Egenskaper</w:t>
            </w:r>
            <w:r>
              <w:rPr>
                <w:i/>
              </w:rPr>
              <w:t>: maxOccurs = 1 minOccurs = 1</w:t>
            </w:r>
          </w:p>
        </w:tc>
      </w:tr>
      <w:tr w:rsidR="000215C5">
        <w:tc>
          <w:tcPr>
            <w:tcW w:w="9889" w:type="dxa"/>
          </w:tcPr>
          <w:p w:rsidR="000215C5" w:rsidRDefault="00703023">
            <w:pPr>
              <w:spacing w:after="120"/>
              <w:jc w:val="both"/>
              <w:rPr>
                <w:b/>
                <w:smallCaps/>
                <w:szCs w:val="24"/>
              </w:rPr>
            </w:pPr>
            <w:r>
              <w:rPr>
                <w:b/>
              </w:rPr>
              <w:t>Mallpost</w:t>
            </w:r>
            <w:r>
              <w:t>:</w:t>
            </w:r>
            <w:r>
              <w:rPr>
                <w:b/>
              </w:rPr>
              <w:t xml:space="preserve"> </w:t>
            </w:r>
            <w:r>
              <w:t>wqPressure</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vattenuttaget (tolkat som förbrukning eller nettoförbrukning) har identifierats som en betydande påverkan på avrinningsdistriktet (eller i stora delar av avrinningsdistriktet). </w:t>
            </w:r>
          </w:p>
        </w:tc>
      </w:tr>
      <w:tr w:rsidR="000215C5">
        <w:tc>
          <w:tcPr>
            <w:tcW w:w="9889" w:type="dxa"/>
          </w:tcPr>
          <w:p w:rsidR="000215C5" w:rsidRDefault="00703023">
            <w:pPr>
              <w:spacing w:after="120"/>
              <w:jc w:val="both"/>
              <w:rPr>
                <w:b/>
                <w:szCs w:val="24"/>
              </w:rPr>
            </w:pPr>
            <w:r>
              <w:rPr>
                <w:b/>
              </w:rPr>
              <w:t>Mallpost</w:t>
            </w:r>
            <w:r>
              <w:t>:</w:t>
            </w:r>
            <w:r>
              <w:rPr>
                <w:b/>
              </w:rPr>
              <w:t xml:space="preserve"> </w:t>
            </w:r>
            <w:r>
              <w:t>reportedUnderSoEQuantity</w:t>
            </w:r>
          </w:p>
          <w:p w:rsidR="000215C5" w:rsidRDefault="00703023">
            <w:pPr>
              <w:spacing w:after="120"/>
              <w:jc w:val="both"/>
              <w:rPr>
                <w:szCs w:val="24"/>
              </w:rPr>
            </w:pPr>
            <w:r>
              <w:rPr>
                <w:b/>
              </w:rPr>
              <w:t>Fälttyp/alternativ/förhållande</w:t>
            </w:r>
            <w:r>
              <w:t xml:space="preserve">: 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information om vattenuttag (tolkat som förbrukning eller nettoförbrukning) redan har rapporterats till SoE-Water Quantity.</w:t>
            </w:r>
          </w:p>
          <w:p w:rsidR="000215C5" w:rsidRDefault="00703023">
            <w:pPr>
              <w:spacing w:after="120"/>
              <w:jc w:val="both"/>
              <w:rPr>
                <w:szCs w:val="24"/>
              </w:rPr>
            </w:pPr>
            <w:r>
              <w:t>Om ja behövs ingen ytterligare information lämnas om WEI+.</w:t>
            </w:r>
          </w:p>
        </w:tc>
      </w:tr>
      <w:tr w:rsidR="000215C5">
        <w:tc>
          <w:tcPr>
            <w:tcW w:w="9889" w:type="dxa"/>
          </w:tcPr>
          <w:p w:rsidR="000215C5" w:rsidRDefault="00703023">
            <w:pPr>
              <w:spacing w:after="120"/>
              <w:jc w:val="both"/>
              <w:rPr>
                <w:b/>
                <w:szCs w:val="24"/>
              </w:rPr>
            </w:pPr>
            <w:r>
              <w:rPr>
                <w:b/>
              </w:rPr>
              <w:t>Mallpost</w:t>
            </w:r>
            <w:r>
              <w:t>:</w:t>
            </w:r>
            <w:r>
              <w:rPr>
                <w:b/>
              </w:rPr>
              <w:t xml:space="preserve"> </w:t>
            </w:r>
            <w:r>
              <w:t>weiNational</w:t>
            </w:r>
          </w:p>
          <w:p w:rsidR="000215C5" w:rsidRDefault="00703023">
            <w:pPr>
              <w:spacing w:after="120"/>
              <w:jc w:val="both"/>
              <w:rPr>
                <w:szCs w:val="24"/>
              </w:rPr>
            </w:pPr>
            <w:r>
              <w:rPr>
                <w:b/>
              </w:rPr>
              <w:t xml:space="preserve">Fälttyp/alternativ: </w:t>
            </w:r>
            <w:r>
              <w:t xml:space="preserve">NumberDecimal0100Type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Frivilligt. Rapportera årligt vattenexploateringsindex plus (WEI+) som procentandel på nationell nivå för det senaste tillgängliga referensåret eller som genomsnitt under den senaste tillgängliga femårsperioden.</w:t>
            </w:r>
          </w:p>
        </w:tc>
      </w:tr>
      <w:tr w:rsidR="000215C5">
        <w:tc>
          <w:tcPr>
            <w:tcW w:w="9889" w:type="dxa"/>
          </w:tcPr>
          <w:p w:rsidR="000215C5" w:rsidRDefault="00703023">
            <w:pPr>
              <w:spacing w:after="120"/>
              <w:jc w:val="both"/>
              <w:rPr>
                <w:b/>
                <w:szCs w:val="24"/>
              </w:rPr>
            </w:pPr>
            <w:r>
              <w:rPr>
                <w:b/>
              </w:rPr>
              <w:t>Mallpost</w:t>
            </w:r>
            <w:r>
              <w:t>:</w:t>
            </w:r>
            <w:r>
              <w:rPr>
                <w:b/>
              </w:rPr>
              <w:t xml:space="preserve"> </w:t>
            </w:r>
            <w:r>
              <w:t>weiNationalYear</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det senaste tillgängliga referensåret (i formatet ÅÅÅÅ) eller den senaste tillgängliga femårsperioden (i formatet ÅÅÅÅ--ÅÅÅÅ) som använts i beräkningen av årligt WEI+ på nationell nivå enligt vad som angetts i weiNational.</w:t>
            </w:r>
          </w:p>
          <w:p w:rsidR="000215C5" w:rsidRDefault="00703023">
            <w:pPr>
              <w:spacing w:after="120"/>
              <w:jc w:val="both"/>
              <w:rPr>
                <w:szCs w:val="24"/>
              </w:rPr>
            </w:pPr>
            <w:r>
              <w:rPr>
                <w:b/>
              </w:rPr>
              <w:t>Kvalitetskontroller</w:t>
            </w:r>
            <w:r>
              <w:t xml:space="preserve">: Kontroll av posten: måste rapporteras i formatet ÅÅÅÅ (ett år) eller ÅÅÅÅ--ÅÅÅÅ (en period). </w:t>
            </w:r>
          </w:p>
          <w:p w:rsidR="000215C5" w:rsidRDefault="00703023">
            <w:pPr>
              <w:spacing w:after="120"/>
              <w:jc w:val="both"/>
              <w:rPr>
                <w:b/>
                <w:szCs w:val="24"/>
              </w:rPr>
            </w:pPr>
            <w:r>
              <w:t>Villkorlig kontroll: rapportera om weiNational rapporteras.</w:t>
            </w:r>
          </w:p>
        </w:tc>
      </w:tr>
      <w:tr w:rsidR="000215C5">
        <w:tc>
          <w:tcPr>
            <w:tcW w:w="9889" w:type="dxa"/>
          </w:tcPr>
          <w:p w:rsidR="000215C5" w:rsidRDefault="00703023">
            <w:pPr>
              <w:spacing w:after="120"/>
              <w:jc w:val="both"/>
              <w:rPr>
                <w:b/>
                <w:szCs w:val="24"/>
              </w:rPr>
            </w:pPr>
            <w:r>
              <w:rPr>
                <w:b/>
              </w:rPr>
              <w:t>Mallpost</w:t>
            </w:r>
            <w:r>
              <w:t>:</w:t>
            </w:r>
            <w:r>
              <w:rPr>
                <w:b/>
              </w:rPr>
              <w:t xml:space="preserve"> </w:t>
            </w:r>
            <w:r>
              <w:t>weiRBD</w:t>
            </w:r>
          </w:p>
          <w:p w:rsidR="000215C5" w:rsidRDefault="00703023">
            <w:pPr>
              <w:spacing w:after="120"/>
              <w:jc w:val="both"/>
              <w:rPr>
                <w:szCs w:val="24"/>
              </w:rPr>
            </w:pPr>
            <w:r>
              <w:rPr>
                <w:b/>
              </w:rPr>
              <w:t xml:space="preserve">Fälttyp/alternativ: </w:t>
            </w:r>
            <w:r>
              <w:t xml:space="preserve">NumberDecimal0100Type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vattenuttaget har identifierats som en betydande påverkan på avrinningsdistriktet, rapportera årligt WEI+ som procentandel på nivån för avrinningsdistrikt för det senast tillgängliga referensåret eller som genomsnitt för den senast tillgängliga femårsperioden. Om det inte är möjligt att rapportera värdet för weiRBD, ange ”0” och rapportera en alternativ indikator under wqAlternativeIndicatorReference nedan.</w:t>
            </w:r>
          </w:p>
          <w:p w:rsidR="000215C5" w:rsidRDefault="00703023">
            <w:pPr>
              <w:spacing w:after="120"/>
              <w:jc w:val="both"/>
              <w:rPr>
                <w:b/>
                <w:szCs w:val="24"/>
              </w:rPr>
            </w:pPr>
            <w:r>
              <w:rPr>
                <w:b/>
              </w:rPr>
              <w:t>Kvalitetskontroller</w:t>
            </w:r>
            <w:r>
              <w:t>: Villkorlig kontroll: Rapportera om wqPressure är ”Yes” och reportedUnderSoEQuantity är ”No”.</w:t>
            </w:r>
          </w:p>
        </w:tc>
      </w:tr>
      <w:tr w:rsidR="000215C5">
        <w:tc>
          <w:tcPr>
            <w:tcW w:w="9889" w:type="dxa"/>
          </w:tcPr>
          <w:p w:rsidR="000215C5" w:rsidRDefault="00703023">
            <w:pPr>
              <w:spacing w:after="120"/>
              <w:jc w:val="both"/>
              <w:rPr>
                <w:b/>
                <w:szCs w:val="24"/>
              </w:rPr>
            </w:pPr>
            <w:r>
              <w:rPr>
                <w:b/>
              </w:rPr>
              <w:t>Mallpost</w:t>
            </w:r>
            <w:r>
              <w:t>:</w:t>
            </w:r>
            <w:r>
              <w:rPr>
                <w:b/>
              </w:rPr>
              <w:t xml:space="preserve"> </w:t>
            </w:r>
            <w:r>
              <w:t>weiRBDYear</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vattenuttag har identifierats som en betydande påverkan på avrinningsdistriktet, ange det senaste tillgängliga referensåret (i formatet ÅÅÅÅ) eller den senaste tillgängliga femårsperioden (i formatet ÅÅÅÅ--ÅÅÅÅ) som använts i beräkningen av årligt WEI+ på nivån för avrinningsdistrikt enligt vad som angetts i weiRBD.</w:t>
            </w:r>
          </w:p>
          <w:p w:rsidR="000215C5" w:rsidRDefault="00703023">
            <w:pPr>
              <w:spacing w:after="120"/>
              <w:jc w:val="both"/>
              <w:rPr>
                <w:szCs w:val="24"/>
              </w:rPr>
            </w:pPr>
            <w:r>
              <w:rPr>
                <w:b/>
              </w:rPr>
              <w:t>Kvalitetskontroller</w:t>
            </w:r>
            <w:r>
              <w:t xml:space="preserve">: Kontroll av posten: måste rapporteras i formatet ÅÅÅÅ (ett år) eller ÅÅÅÅ--ÅÅÅÅ (en period). </w:t>
            </w:r>
          </w:p>
          <w:p w:rsidR="000215C5" w:rsidRDefault="00703023">
            <w:pPr>
              <w:spacing w:after="120"/>
              <w:jc w:val="both"/>
              <w:rPr>
                <w:b/>
                <w:szCs w:val="24"/>
              </w:rPr>
            </w:pPr>
            <w:r>
              <w:t>Villkorlig kontroll: Rapportera om wqPressure är ”Yes”, reportedUnderSoEQuantity är ”No” och weiRBD inte är noll.</w:t>
            </w:r>
          </w:p>
        </w:tc>
      </w:tr>
      <w:tr w:rsidR="000215C5">
        <w:tc>
          <w:tcPr>
            <w:tcW w:w="9889" w:type="dxa"/>
          </w:tcPr>
          <w:p w:rsidR="000215C5" w:rsidRDefault="00703023">
            <w:pPr>
              <w:spacing w:after="120"/>
              <w:jc w:val="both"/>
              <w:rPr>
                <w:b/>
                <w:szCs w:val="24"/>
              </w:rPr>
            </w:pPr>
            <w:r>
              <w:rPr>
                <w:b/>
              </w:rPr>
              <w:t>Mallpost</w:t>
            </w:r>
            <w:r>
              <w:t>:</w:t>
            </w:r>
            <w:r>
              <w:rPr>
                <w:b/>
              </w:rPr>
              <w:t xml:space="preserve"> </w:t>
            </w:r>
            <w:r>
              <w:t>weiWorst</w:t>
            </w:r>
          </w:p>
          <w:p w:rsidR="000215C5" w:rsidRDefault="00703023">
            <w:pPr>
              <w:spacing w:after="120"/>
              <w:jc w:val="both"/>
              <w:rPr>
                <w:szCs w:val="24"/>
              </w:rPr>
            </w:pPr>
            <w:r>
              <w:rPr>
                <w:b/>
              </w:rPr>
              <w:t xml:space="preserve">Fälttyp/alternativ: </w:t>
            </w:r>
            <w:r>
              <w:t>NumberDecimal0100Type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vattenuttag har identifierats som en betydande påverkan på avrinningsdistriktet rapportera WEI+ för den värsta månaden som procentandel på nivån för avrinningsdistrikt. Rapportering av WEI+ för den värsta månaden krävs inte om vattenbristen inte visar ett säsongsmönster. Ange ”0” i dessa fall.</w:t>
            </w:r>
          </w:p>
          <w:p w:rsidR="000215C5" w:rsidRDefault="00703023">
            <w:pPr>
              <w:spacing w:after="120"/>
              <w:jc w:val="both"/>
              <w:rPr>
                <w:szCs w:val="24"/>
              </w:rPr>
            </w:pPr>
            <w:r>
              <w:rPr>
                <w:b/>
              </w:rPr>
              <w:t>Kvalitetskontroller</w:t>
            </w:r>
            <w:r>
              <w:t xml:space="preserve">: Villkorlig kontroll: Rapportera om wqPressure är ”Yes” och reportedUnderSoEQuantity är ”No”. </w:t>
            </w:r>
          </w:p>
        </w:tc>
      </w:tr>
      <w:tr w:rsidR="000215C5">
        <w:tc>
          <w:tcPr>
            <w:tcW w:w="9889" w:type="dxa"/>
          </w:tcPr>
          <w:p w:rsidR="000215C5" w:rsidRDefault="00703023">
            <w:pPr>
              <w:spacing w:after="120"/>
              <w:jc w:val="both"/>
              <w:rPr>
                <w:b/>
                <w:szCs w:val="24"/>
              </w:rPr>
            </w:pPr>
            <w:r>
              <w:rPr>
                <w:b/>
              </w:rPr>
              <w:t>Mallpost</w:t>
            </w:r>
            <w:r>
              <w:t>:</w:t>
            </w:r>
            <w:r>
              <w:rPr>
                <w:b/>
              </w:rPr>
              <w:t xml:space="preserve"> </w:t>
            </w:r>
            <w:r>
              <w:t>weiWorstMonth</w:t>
            </w:r>
          </w:p>
          <w:p w:rsidR="000215C5" w:rsidRDefault="00703023">
            <w:pPr>
              <w:spacing w:after="120"/>
              <w:jc w:val="both"/>
              <w:rPr>
                <w:szCs w:val="24"/>
              </w:rPr>
            </w:pPr>
            <w:r>
              <w:rPr>
                <w:b/>
              </w:rPr>
              <w:t xml:space="preserve">Fälttyp/alternativ: </w:t>
            </w:r>
            <w:r>
              <w:t>YearMonthType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vattenuttag har identifierats som en betydande påverkan på avrinningsdistriktet, ange den värsta måna</w:t>
            </w:r>
            <w:r w:rsidR="00351B87">
              <w:t>den under året (i formatet ÅÅÅÅ</w:t>
            </w:r>
            <w:r w:rsidR="00351B87">
              <w:noBreakHyphen/>
            </w:r>
            <w:r>
              <w:t xml:space="preserve">MM) som använts i beräkningen av WEI+ för den värsta månaden på nivån för avrinningsdistrikt. Rapportering av WEI+ för den värsta månaden krävs inte om vattenbristen inte visar ett säsongsmönster. </w:t>
            </w:r>
          </w:p>
          <w:p w:rsidR="000215C5" w:rsidRDefault="00703023">
            <w:pPr>
              <w:spacing w:after="120"/>
              <w:jc w:val="both"/>
              <w:rPr>
                <w:szCs w:val="24"/>
              </w:rPr>
            </w:pPr>
            <w:r>
              <w:rPr>
                <w:b/>
              </w:rPr>
              <w:t>Kvalitetskontroller</w:t>
            </w:r>
            <w:r>
              <w:t xml:space="preserve">: Kontroll av posten: weiWorstMonth måste rapporteras i formatet ÅÅÅÅ-MM. </w:t>
            </w:r>
          </w:p>
          <w:p w:rsidR="000215C5" w:rsidRDefault="00703023">
            <w:pPr>
              <w:spacing w:after="120"/>
              <w:jc w:val="both"/>
              <w:rPr>
                <w:b/>
                <w:szCs w:val="24"/>
              </w:rPr>
            </w:pPr>
            <w:r>
              <w:t>Villkorlig kontroll: Rapportera om wqPressure är ”Yes”, reportedUnderSoEQuantity är ”No” och weiWorst inte är ”0”.</w:t>
            </w:r>
          </w:p>
        </w:tc>
      </w:tr>
      <w:tr w:rsidR="000215C5">
        <w:tc>
          <w:tcPr>
            <w:tcW w:w="9889" w:type="dxa"/>
          </w:tcPr>
          <w:p w:rsidR="000215C5" w:rsidRDefault="00703023">
            <w:pPr>
              <w:spacing w:after="120"/>
              <w:jc w:val="both"/>
              <w:rPr>
                <w:b/>
                <w:szCs w:val="24"/>
              </w:rPr>
            </w:pPr>
            <w:r>
              <w:rPr>
                <w:b/>
              </w:rPr>
              <w:t>Mallpost</w:t>
            </w:r>
            <w:r>
              <w:t>: wqAlternativeIndicatorReference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Villkorlig. Om vattenuttag har identifierats som en betydande påverkan på avrinningsdistriktet men det inte är möjligt att rapportera WEI+-värden per avrinningsdistrikt, ange hänvisningar till dokument med information om alternativa indikatorer eller motsvarande vattenbalanser. Ange en hänvisning eller en hyperlänk till dokument och avsnitt som innehåller relevant information. Denna information måste laddas upp på Wise eller göras tillgänglig på webben.</w:t>
            </w:r>
          </w:p>
          <w:p w:rsidR="000215C5" w:rsidRDefault="00703023">
            <w:pPr>
              <w:spacing w:after="120"/>
              <w:jc w:val="both"/>
              <w:rPr>
                <w:szCs w:val="24"/>
              </w:rPr>
            </w:pPr>
            <w:r>
              <w:t xml:space="preserve">Vägledning om hur de filer och dokument som ska laddas upp på Wise ska namnges finns i användarhandboken om rapportering till Wise (se bilaga 6). </w:t>
            </w:r>
          </w:p>
          <w:p w:rsidR="000215C5" w:rsidRDefault="00703023">
            <w:pPr>
              <w:spacing w:after="120"/>
              <w:jc w:val="both"/>
              <w:rPr>
                <w:szCs w:val="24"/>
              </w:rPr>
            </w:pPr>
            <w:r>
              <w:t>Om en hyperlänk till information som lagras på en medlemsstats server rapporteras måste medlemsstaten säkerställa att hyperlänken kommer att vara stabil och aktiv under sex år efter rapporteringen och att den information som hänvisningen gäller inte revideras eller uppdateras.</w:t>
            </w:r>
          </w:p>
          <w:p w:rsidR="000215C5" w:rsidRDefault="00703023">
            <w:pPr>
              <w:spacing w:after="120"/>
              <w:jc w:val="both"/>
              <w:rPr>
                <w:b/>
                <w:szCs w:val="24"/>
              </w:rPr>
            </w:pPr>
            <w:r>
              <w:rPr>
                <w:b/>
              </w:rPr>
              <w:t>Kvalitetskontroller</w:t>
            </w:r>
            <w:r>
              <w:t>: Villkorlig kontroll: Rapportera om wqPressure är ”Yes”, reportedUnderSoEQuantity är ”No” och weiRBD är ”0”.</w:t>
            </w:r>
          </w:p>
        </w:tc>
      </w:tr>
      <w:tr w:rsidR="000215C5">
        <w:tc>
          <w:tcPr>
            <w:tcW w:w="9889" w:type="dxa"/>
            <w:tcBorders>
              <w:top w:val="single" w:sz="4" w:space="0" w:color="auto"/>
              <w:left w:val="single" w:sz="4" w:space="0" w:color="auto"/>
              <w:bottom w:val="single" w:sz="4" w:space="0" w:color="auto"/>
              <w:right w:val="single" w:sz="4" w:space="0" w:color="auto"/>
            </w:tcBorders>
          </w:tcPr>
          <w:p w:rsidR="000215C5" w:rsidRDefault="00703023">
            <w:pPr>
              <w:spacing w:after="120"/>
              <w:jc w:val="both"/>
              <w:rPr>
                <w:b/>
                <w:szCs w:val="24"/>
              </w:rPr>
            </w:pPr>
            <w:r>
              <w:rPr>
                <w:b/>
              </w:rPr>
              <w:t>Mallpost</w:t>
            </w:r>
            <w:r>
              <w:t>:</w:t>
            </w:r>
            <w:r>
              <w:rPr>
                <w:b/>
              </w:rPr>
              <w:t xml:space="preserve"> </w:t>
            </w:r>
            <w:r>
              <w:t>wqVolumeReferenceYear</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b/>
                <w:szCs w:val="24"/>
              </w:rPr>
            </w:pPr>
            <w:r>
              <w:rPr>
                <w:b/>
              </w:rPr>
              <w:t>Vägledning om hur man fyller i mallposten</w:t>
            </w:r>
            <w:r>
              <w:t>:</w:t>
            </w:r>
            <w:r>
              <w:rPr>
                <w:b/>
              </w:rPr>
              <w:t xml:space="preserve"> </w:t>
            </w:r>
            <w:r>
              <w:t>Villkorlig. Om vattenuttag har identifierats som en betydande påverkan på avrinningsdistriktet, ange det referensår (i formatet ÅÅÅÅ) eller den femårsperiod (i formatet ÅÅÅÅ--ÅÅÅÅ) som använts i beräkningen av vattenförbrukningen eller värden för annan användning än vattenförbrukning, import eller export.</w:t>
            </w:r>
            <w:r>
              <w:rPr>
                <w:b/>
              </w:rPr>
              <w:t xml:space="preserve"> </w:t>
            </w:r>
          </w:p>
          <w:p w:rsidR="000215C5" w:rsidRDefault="00703023">
            <w:pPr>
              <w:spacing w:after="120"/>
              <w:jc w:val="both"/>
              <w:rPr>
                <w:szCs w:val="24"/>
              </w:rPr>
            </w:pPr>
            <w:r>
              <w:rPr>
                <w:b/>
              </w:rPr>
              <w:t>Kvalitetskontroller</w:t>
            </w:r>
            <w:r>
              <w:t>:</w:t>
            </w:r>
            <w:r>
              <w:rPr>
                <w:b/>
              </w:rPr>
              <w:t xml:space="preserve"> </w:t>
            </w:r>
            <w:r>
              <w:t xml:space="preserve">Kontroll av posten: måste rapporteras i formatet ÅÅÅÅ (ett år) eller ÅÅÅÅ--ÅÅÅÅ (en period). </w:t>
            </w:r>
          </w:p>
          <w:p w:rsidR="000215C5" w:rsidRDefault="00703023">
            <w:pPr>
              <w:spacing w:after="120"/>
              <w:jc w:val="both"/>
              <w:rPr>
                <w:szCs w:val="24"/>
              </w:rPr>
            </w:pPr>
            <w:r>
              <w:t>Villkorlig kontroll: Rapportera om wqPressure är ”Yes” och reportedUnderSoEQuantity är ”No”.</w:t>
            </w:r>
          </w:p>
        </w:tc>
      </w:tr>
      <w:tr w:rsidR="000215C5">
        <w:tc>
          <w:tcPr>
            <w:tcW w:w="9889" w:type="dxa"/>
          </w:tcPr>
          <w:p w:rsidR="000215C5" w:rsidRDefault="00703023">
            <w:pPr>
              <w:spacing w:after="120"/>
              <w:jc w:val="both"/>
              <w:rPr>
                <w:b/>
                <w:szCs w:val="24"/>
              </w:rPr>
            </w:pPr>
            <w:r>
              <w:rPr>
                <w:b/>
              </w:rPr>
              <w:t>Mallpost</w:t>
            </w:r>
            <w:r>
              <w:t>:</w:t>
            </w:r>
            <w:r>
              <w:rPr>
                <w:b/>
              </w:rPr>
              <w:t xml:space="preserve"> </w:t>
            </w:r>
            <w:r>
              <w:t>wqCalculationMethodReference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Om vattenuttag har identifierats som en betydande påverkan på avrinningsdistriktet, ange hänvisningar eller hyperlänkar till dokument med närmare information om den eller de metoder som använts för uppskattningen av vattenkvantitetsvärden för varje parameter. Vägledning om vilka uppgifter som bör ingå i detta dokument ges i avsnitt </w:t>
            </w:r>
            <w:r>
              <w:fldChar w:fldCharType="begin"/>
            </w:r>
            <w:r>
              <w:instrText xml:space="preserve"> REF _Ref402960445 \r \h  \* MERGEFORMAT </w:instrText>
            </w:r>
            <w:r>
              <w:fldChar w:fldCharType="separate"/>
            </w:r>
            <w:r>
              <w:rPr>
                <w:szCs w:val="24"/>
              </w:rPr>
              <w:t>9.4.3.3</w:t>
            </w:r>
            <w:r>
              <w:fldChar w:fldCharType="end"/>
            </w:r>
            <w:r>
              <w:t>.</w:t>
            </w:r>
          </w:p>
          <w:p w:rsidR="000215C5" w:rsidRDefault="00703023" w:rsidP="00764B64">
            <w:pPr>
              <w:keepLines/>
              <w:pageBreakBefore/>
              <w:spacing w:after="120"/>
              <w:jc w:val="both"/>
              <w:rPr>
                <w:szCs w:val="24"/>
              </w:rPr>
            </w:pPr>
            <w:r>
              <w:rPr>
                <w:b/>
              </w:rPr>
              <w:t>Kvalitetskontroller</w:t>
            </w:r>
            <w:r>
              <w:t>: Villkorlig kontroll: Rapportera om wqPressure är ”Yes” och reportedUnderSoEQuantity är ”No”.</w:t>
            </w:r>
          </w:p>
        </w:tc>
      </w:tr>
    </w:tbl>
    <w:p w:rsidR="000215C5" w:rsidRDefault="000215C5">
      <w:pPr>
        <w:jc w:val="both"/>
      </w:pPr>
    </w:p>
    <w:p w:rsidR="000215C5" w:rsidRDefault="00703023">
      <w:pPr>
        <w:jc w:val="both"/>
      </w:pPr>
      <w:r>
        <w:t>Följande klass (underkategori till WaterQuantity) används för att rapportera information om var och en av de elva användningstyperna avseende vattenkvantitet.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tcPr>
          <w:p w:rsidR="000215C5" w:rsidRDefault="00703023">
            <w:pPr>
              <w:spacing w:after="120"/>
              <w:jc w:val="both"/>
              <w:rPr>
                <w:b/>
                <w:szCs w:val="24"/>
              </w:rPr>
            </w:pPr>
            <w:r>
              <w:rPr>
                <w:b/>
              </w:rPr>
              <w:t>Mall: RBMPPoM (fortsättning)</w:t>
            </w:r>
          </w:p>
        </w:tc>
      </w:tr>
      <w:tr w:rsidR="000215C5">
        <w:tc>
          <w:tcPr>
            <w:tcW w:w="9889" w:type="dxa"/>
            <w:tcBorders>
              <w:top w:val="single" w:sz="4" w:space="0" w:color="auto"/>
              <w:left w:val="single" w:sz="4" w:space="0" w:color="auto"/>
              <w:bottom w:val="single" w:sz="4" w:space="0" w:color="auto"/>
              <w:right w:val="single" w:sz="4" w:space="0" w:color="auto"/>
            </w:tcBorders>
          </w:tcPr>
          <w:p w:rsidR="000215C5" w:rsidRPr="00FD78F1" w:rsidRDefault="00703023">
            <w:pPr>
              <w:spacing w:after="120"/>
              <w:jc w:val="both"/>
              <w:rPr>
                <w:b/>
                <w:i/>
                <w:szCs w:val="24"/>
                <w:lang w:val="en-GB"/>
              </w:rPr>
            </w:pPr>
            <w:r w:rsidRPr="00FD78F1">
              <w:rPr>
                <w:b/>
                <w:i/>
                <w:lang w:val="en-GB"/>
              </w:rPr>
              <w:t>Class WQUse</w:t>
            </w:r>
          </w:p>
          <w:p w:rsidR="000215C5" w:rsidRPr="00FD78F1" w:rsidRDefault="00703023">
            <w:pPr>
              <w:spacing w:after="120"/>
              <w:jc w:val="both"/>
              <w:rPr>
                <w:i/>
                <w:szCs w:val="24"/>
                <w:lang w:val="en-GB"/>
              </w:rPr>
            </w:pPr>
            <w:r w:rsidRPr="00FD78F1">
              <w:rPr>
                <w:b/>
                <w:i/>
                <w:lang w:val="en-GB"/>
              </w:rPr>
              <w:t xml:space="preserve">Egenskaper: </w:t>
            </w:r>
            <w:r w:rsidRPr="00FD78F1">
              <w:rPr>
                <w:i/>
                <w:lang w:val="en-GB"/>
              </w:rPr>
              <w:t xml:space="preserve">maxOccurs 11 minOccur: 0 (multiplicity is 0 </w:t>
            </w:r>
            <w:r w:rsidRPr="00FD78F1">
              <w:rPr>
                <w:i/>
                <w:u w:val="single"/>
                <w:lang w:val="en-GB"/>
              </w:rPr>
              <w:t>or</w:t>
            </w:r>
            <w:r w:rsidRPr="00FD78F1">
              <w:rPr>
                <w:i/>
                <w:lang w:val="en-GB"/>
              </w:rPr>
              <w:t xml:space="preserve"> 11)</w:t>
            </w:r>
          </w:p>
          <w:p w:rsidR="000215C5" w:rsidRDefault="00703023">
            <w:pPr>
              <w:spacing w:after="120"/>
              <w:jc w:val="both"/>
              <w:rPr>
                <w:i/>
                <w:szCs w:val="24"/>
              </w:rPr>
            </w:pPr>
            <w:r>
              <w:rPr>
                <w:i/>
              </w:rPr>
              <w:t>Villkorlig kontroll: Rapportera information om de elva användningstyperna avseende vattenkvantitet om wqPressure är ”Yes” och reportedUnderSoEQuantity är ”No”.</w:t>
            </w:r>
          </w:p>
        </w:tc>
      </w:tr>
      <w:tr w:rsidR="000215C5">
        <w:tc>
          <w:tcPr>
            <w:tcW w:w="9889" w:type="dxa"/>
            <w:tcBorders>
              <w:top w:val="single" w:sz="4" w:space="0" w:color="auto"/>
              <w:left w:val="single" w:sz="4" w:space="0" w:color="auto"/>
              <w:bottom w:val="single" w:sz="4" w:space="0" w:color="auto"/>
              <w:right w:val="single" w:sz="4" w:space="0" w:color="auto"/>
            </w:tcBorders>
          </w:tcPr>
          <w:p w:rsidR="000215C5" w:rsidRDefault="00703023">
            <w:pPr>
              <w:spacing w:after="120"/>
              <w:jc w:val="both"/>
              <w:rPr>
                <w:szCs w:val="24"/>
              </w:rPr>
            </w:pPr>
            <w:r>
              <w:rPr>
                <w:b/>
              </w:rPr>
              <w:t xml:space="preserve">Mallpost: </w:t>
            </w:r>
            <w:r>
              <w:t>wqUseType</w:t>
            </w:r>
          </w:p>
          <w:p w:rsidR="000215C5" w:rsidRDefault="00703023">
            <w:pPr>
              <w:spacing w:after="120"/>
              <w:jc w:val="both"/>
              <w:rPr>
                <w:szCs w:val="24"/>
              </w:rPr>
            </w:pPr>
            <w:r>
              <w:rPr>
                <w:b/>
              </w:rPr>
              <w:t>Fälttyp/alternativ:</w:t>
            </w:r>
            <w:r>
              <w:t xml:space="preserve"> WQUseTypeList_Enum:</w:t>
            </w:r>
          </w:p>
          <w:p w:rsidR="000215C5" w:rsidRDefault="00703023">
            <w:pPr>
              <w:spacing w:after="120"/>
              <w:jc w:val="both"/>
              <w:rPr>
                <w:szCs w:val="24"/>
              </w:rPr>
            </w:pPr>
            <w:r>
              <w:t>ConsumptiveUseAgricultureGW</w:t>
            </w:r>
          </w:p>
          <w:p w:rsidR="000215C5" w:rsidRDefault="00703023">
            <w:pPr>
              <w:spacing w:after="120"/>
              <w:jc w:val="both"/>
              <w:rPr>
                <w:szCs w:val="24"/>
              </w:rPr>
            </w:pPr>
            <w:r>
              <w:t>ConsumptiveUseAgricultureSW</w:t>
            </w:r>
          </w:p>
          <w:p w:rsidR="000215C5" w:rsidRDefault="00703023">
            <w:pPr>
              <w:spacing w:after="120"/>
              <w:jc w:val="both"/>
              <w:rPr>
                <w:szCs w:val="24"/>
              </w:rPr>
            </w:pPr>
            <w:r>
              <w:t>ConsumptiveUseIndustryEnergy</w:t>
            </w:r>
          </w:p>
          <w:p w:rsidR="000215C5" w:rsidRDefault="00703023">
            <w:pPr>
              <w:spacing w:after="120"/>
              <w:jc w:val="both"/>
              <w:rPr>
                <w:szCs w:val="24"/>
              </w:rPr>
            </w:pPr>
            <w:r>
              <w:t>ConsumptiveUseIndustryGW</w:t>
            </w:r>
          </w:p>
          <w:p w:rsidR="000215C5" w:rsidRDefault="00703023">
            <w:pPr>
              <w:spacing w:after="120"/>
              <w:jc w:val="both"/>
              <w:rPr>
                <w:szCs w:val="24"/>
              </w:rPr>
            </w:pPr>
            <w:r>
              <w:t>ConsumptiveUseIndustrySW</w:t>
            </w:r>
          </w:p>
          <w:p w:rsidR="000215C5" w:rsidRDefault="00703023">
            <w:pPr>
              <w:spacing w:after="120"/>
              <w:jc w:val="both"/>
              <w:rPr>
                <w:szCs w:val="24"/>
              </w:rPr>
            </w:pPr>
            <w:r>
              <w:t>ConsumptiveUseWaterSupplyGW</w:t>
            </w:r>
          </w:p>
          <w:p w:rsidR="000215C5" w:rsidRDefault="00703023">
            <w:pPr>
              <w:spacing w:after="120"/>
              <w:jc w:val="both"/>
              <w:rPr>
                <w:szCs w:val="24"/>
              </w:rPr>
            </w:pPr>
            <w:r>
              <w:t>ConsumptiveUseWaterSupplySW</w:t>
            </w:r>
          </w:p>
          <w:p w:rsidR="000215C5" w:rsidRDefault="00703023">
            <w:pPr>
              <w:spacing w:after="120"/>
              <w:jc w:val="both"/>
              <w:rPr>
                <w:szCs w:val="24"/>
              </w:rPr>
            </w:pPr>
            <w:r>
              <w:t>DesalinatedWater</w:t>
            </w:r>
          </w:p>
          <w:p w:rsidR="000215C5" w:rsidRDefault="00703023">
            <w:pPr>
              <w:spacing w:after="120"/>
              <w:jc w:val="both"/>
              <w:rPr>
                <w:szCs w:val="24"/>
              </w:rPr>
            </w:pPr>
            <w:r>
              <w:t>ReusedWater</w:t>
            </w:r>
          </w:p>
          <w:p w:rsidR="000215C5" w:rsidRDefault="00703023">
            <w:pPr>
              <w:spacing w:after="120"/>
              <w:jc w:val="both"/>
              <w:rPr>
                <w:szCs w:val="24"/>
              </w:rPr>
            </w:pPr>
            <w:r>
              <w:t>WaterExports</w:t>
            </w:r>
          </w:p>
          <w:p w:rsidR="000215C5" w:rsidRDefault="00703023">
            <w:pPr>
              <w:spacing w:after="120"/>
              <w:jc w:val="both"/>
              <w:rPr>
                <w:szCs w:val="24"/>
              </w:rPr>
            </w:pPr>
            <w:r>
              <w:t>WaterImports</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Lämna information i de två posterna nedan för varje typ som utgör en betydande påverkan.</w:t>
            </w:r>
          </w:p>
          <w:p w:rsidR="000215C5" w:rsidRDefault="00703023">
            <w:pPr>
              <w:spacing w:after="120"/>
              <w:jc w:val="both"/>
              <w:rPr>
                <w:szCs w:val="24"/>
              </w:rPr>
            </w:pPr>
            <w:r>
              <w:rPr>
                <w:b/>
              </w:rPr>
              <w:t>Kvalitetskontroller:</w:t>
            </w:r>
            <w:r>
              <w:t xml:space="preserve"> Intern kontroll: Information ska lämnas för alla användningstyper. Varje användningstyp får bara väljas en gång.</w:t>
            </w:r>
          </w:p>
        </w:tc>
      </w:tr>
      <w:tr w:rsidR="000215C5">
        <w:tc>
          <w:tcPr>
            <w:tcW w:w="9889" w:type="dxa"/>
            <w:tcBorders>
              <w:top w:val="single" w:sz="4" w:space="0" w:color="auto"/>
              <w:left w:val="single" w:sz="4" w:space="0" w:color="auto"/>
              <w:bottom w:val="single" w:sz="4" w:space="0" w:color="auto"/>
              <w:right w:val="single" w:sz="4" w:space="0" w:color="auto"/>
            </w:tcBorders>
          </w:tcPr>
          <w:p w:rsidR="000215C5" w:rsidRDefault="00703023">
            <w:pPr>
              <w:spacing w:after="120"/>
              <w:jc w:val="both"/>
              <w:rPr>
                <w:szCs w:val="24"/>
              </w:rPr>
            </w:pPr>
            <w:r>
              <w:rPr>
                <w:b/>
              </w:rPr>
              <w:t xml:space="preserve">Mallpost: </w:t>
            </w:r>
            <w:r>
              <w:t>wqCalculationMethod</w:t>
            </w:r>
          </w:p>
          <w:p w:rsidR="000215C5" w:rsidRDefault="00703023">
            <w:pPr>
              <w:spacing w:after="120"/>
              <w:jc w:val="both"/>
              <w:rPr>
                <w:szCs w:val="24"/>
              </w:rPr>
            </w:pPr>
            <w:r>
              <w:rPr>
                <w:b/>
              </w:rPr>
              <w:t>Fälttyp/alternativ:</w:t>
            </w:r>
            <w:r>
              <w:t xml:space="preserve"> WQCalculationMethod_Enum: Förteckning över beräkningsmetoder för vattenkvantitet (se bilaga 8o).</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Välj den beräkningsmetod som använts för uppskattningen av volymer för vattenkvantitet.</w:t>
            </w:r>
          </w:p>
        </w:tc>
      </w:tr>
      <w:tr w:rsidR="000215C5">
        <w:tc>
          <w:tcPr>
            <w:tcW w:w="9889" w:type="dxa"/>
            <w:tcBorders>
              <w:top w:val="single" w:sz="4" w:space="0" w:color="auto"/>
              <w:left w:val="single" w:sz="4" w:space="0" w:color="auto"/>
              <w:bottom w:val="single" w:sz="4" w:space="0" w:color="auto"/>
              <w:right w:val="single" w:sz="4" w:space="0" w:color="auto"/>
            </w:tcBorders>
          </w:tcPr>
          <w:p w:rsidR="000215C5" w:rsidRDefault="00703023">
            <w:pPr>
              <w:spacing w:after="120"/>
              <w:jc w:val="both"/>
              <w:rPr>
                <w:szCs w:val="24"/>
              </w:rPr>
            </w:pPr>
            <w:r>
              <w:rPr>
                <w:b/>
              </w:rPr>
              <w:t xml:space="preserve">Mallpost: </w:t>
            </w:r>
            <w:r>
              <w:t>wqUseVolume</w:t>
            </w:r>
          </w:p>
          <w:p w:rsidR="000215C5" w:rsidRDefault="00703023">
            <w:pPr>
              <w:spacing w:after="120"/>
              <w:jc w:val="both"/>
              <w:rPr>
                <w:szCs w:val="24"/>
              </w:rPr>
            </w:pPr>
            <w:r>
              <w:rPr>
                <w:b/>
              </w:rPr>
              <w:t>Fälttyp/alternativ:</w:t>
            </w:r>
            <w:r>
              <w:t xml:space="preserve"> NumberDecimalType</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xml:space="preserve"> Villkorlig: Ange årlig volym för varje vattenanvändning som utgör en betydande påverkan, i Hm</w:t>
            </w:r>
            <w:r>
              <w:rPr>
                <w:vertAlign w:val="superscript"/>
              </w:rPr>
              <w:t>3</w:t>
            </w:r>
            <w:r>
              <w:t xml:space="preserve">. </w:t>
            </w:r>
          </w:p>
          <w:p w:rsidR="000215C5" w:rsidRDefault="00703023">
            <w:pPr>
              <w:spacing w:after="120"/>
              <w:jc w:val="both"/>
              <w:rPr>
                <w:szCs w:val="24"/>
              </w:rPr>
            </w:pPr>
            <w:r>
              <w:t xml:space="preserve">Om ConsumptiveUseIndustryEnergy finns tillgänglig, ange procentandel av årsförbrukningen av ytvatten för energiproduktion i avrinningsdistriktet (förbrukning = uttag – återföring), t.ex. på grund av avdunstat kylvatten, i förhållande till industrins totala förbrukning som rapporterats under ConsumptiveUseIndustrySW. </w:t>
            </w:r>
          </w:p>
          <w:p w:rsidR="000215C5" w:rsidRDefault="00703023">
            <w:pPr>
              <w:spacing w:after="120"/>
              <w:jc w:val="both"/>
              <w:rPr>
                <w:szCs w:val="24"/>
              </w:rPr>
            </w:pPr>
            <w:r>
              <w:rPr>
                <w:b/>
              </w:rPr>
              <w:t>Kvalitetskontroller</w:t>
            </w:r>
            <w:r>
              <w:t>: Rappotera om wqCalculationMethod skiljer sig från ”</w:t>
            </w:r>
            <w:r>
              <w:rPr>
                <w:rFonts w:ascii="Calibri" w:hAnsi="Calibri"/>
                <w:color w:val="000000"/>
                <w:sz w:val="22"/>
              </w:rPr>
              <w:t>Water quantity use data not available”</w:t>
            </w:r>
            <w:r>
              <w:t xml:space="preserve"> och ”</w:t>
            </w:r>
            <w:r>
              <w:rPr>
                <w:rFonts w:ascii="Calibri" w:hAnsi="Calibri"/>
                <w:color w:val="000000"/>
                <w:sz w:val="22"/>
              </w:rPr>
              <w:t>Water quantity use not relevant or not significant”</w:t>
            </w:r>
            <w:r>
              <w:t>.</w:t>
            </w:r>
          </w:p>
        </w:tc>
      </w:tr>
    </w:tbl>
    <w:p w:rsidR="000215C5" w:rsidRDefault="000215C5">
      <w:pPr>
        <w:jc w:val="both"/>
      </w:pPr>
    </w:p>
    <w:p w:rsidR="000215C5" w:rsidRDefault="00703023">
      <w:pPr>
        <w:pStyle w:val="Rubrik4"/>
      </w:pPr>
      <w:bookmarkStart w:id="688" w:name="_Ref402960445"/>
      <w:r>
        <w:t>Vägledning om innehållet i förvaltningsplanerna för avrinningsdistrikt eller i bakgrundsdokument</w:t>
      </w:r>
      <w:bookmarkEnd w:id="688"/>
    </w:p>
    <w:p w:rsidR="000215C5" w:rsidRDefault="00703023">
      <w:pPr>
        <w:jc w:val="both"/>
      </w:pPr>
      <w:r>
        <w:t>Nedan ges vägledning om de uppgifter som kommissionen förväntar sig att medlemsstaterna lämnar i de relevanta kapitlen om vattenuttag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pPr>
      <w:r>
        <w:t>Medlemsstater som anser att vattenuttag utgör en betydande påverkan på avrinningsdistriktet ska ta med en beskrivning av metoden för att uppskatta vattenbalans, vattenuttag och vattenförbrukning i förvaltningsplanerna eller bakgrundsdokumenten.</w:t>
      </w:r>
    </w:p>
    <w:p w:rsidR="000215C5" w:rsidRDefault="00703023">
      <w:pPr>
        <w:numPr>
          <w:ilvl w:val="0"/>
          <w:numId w:val="47"/>
        </w:numPr>
        <w:jc w:val="both"/>
      </w:pPr>
      <w:r>
        <w:t>Om uppgifterna kommer från hydrologisk modellering och modellering av vattenbalans ska bakgrundsdokumenten innehålla en kortfattad granskning av de använda modellernas tillförlitlighet och förmåga att representera de framträdande dragen hos det fysiska systemet samt en beskrivning av simuleringarnas exakthet och opartiskhet.</w:t>
      </w:r>
    </w:p>
    <w:p w:rsidR="000215C5" w:rsidRDefault="00703023">
      <w:pPr>
        <w:numPr>
          <w:ilvl w:val="0"/>
          <w:numId w:val="47"/>
        </w:numPr>
        <w:jc w:val="both"/>
      </w:pPr>
      <w:r>
        <w:t>Om indikatorer har använts ska deras representativitet, tillförlitlighet och känslighet beskrivas i bakgrundsdokumenten.</w:t>
      </w:r>
    </w:p>
    <w:p w:rsidR="000215C5" w:rsidRDefault="00703023">
      <w:pPr>
        <w:pStyle w:val="Rubrik4"/>
      </w:pPr>
      <w:r>
        <w:t>Ordlista</w:t>
      </w:r>
    </w:p>
    <w:p w:rsidR="000215C5" w:rsidRDefault="00703023">
      <w:pPr>
        <w:jc w:val="both"/>
      </w:pPr>
      <w:r>
        <w:t>Vattenförbrukning, offentlig försörjning: Total volym dricksvatten som förbrukas av slutanvändarna för ett särskilt ändamål inom territoriet, som de får via offentliga försörjningssystem. Offentlig vattenförsörjning avser vatten som levereras av ekonomiska enheter som samlar in, renar och distribuerar vatten (exklusive system som drivs för jordbruksändamål och rening av avloppsvatten endast för att förebygga föroreningar). Det motsvarar avdelning 41 Nace/Isic, oberoende av berörd sektor. Vattenförsörjning från ett offentligt försörjningsföretag till ett annat undantas. Offentliga vattenförsörjningstjänster levererar vatten till hushåll, kontor, restauranger och hotell, fabriker, kommuner osv. (samtliga eller några av dessa användningar). Eftersom detta beror på vilket system som används kanske det inte är möjligt att skilja mellan de mängder som är avsedda för varje användare. Det kan naturligtvis vara möjligt i vissa fall.</w:t>
      </w:r>
    </w:p>
    <w:p w:rsidR="000215C5" w:rsidRDefault="00703023">
      <w:pPr>
        <w:jc w:val="both"/>
      </w:pPr>
      <w:r>
        <w:t>Återanvänt vatten: Vattenvolymer som har genomgått rening och levereras till användare som återtaget avloppsvatten för återanvändning inom avrinningsdistriktet. Detta utgör direkt försörjning av renat avloppsvatten till användaren. Avloppsvatten som släpps ut i vattendrag och används igen nedströms är undantaget. Återvinning är undantaget. Om denna vattenmängd görs tillgänglig för mottagare utanför avrinningsdistriktet – med andra ord att vattnet exporteras för återanvändning på annat håll – ska den inte rapporteras här.</w:t>
      </w:r>
    </w:p>
    <w:p w:rsidR="000215C5" w:rsidRDefault="00703023">
      <w:pPr>
        <w:jc w:val="both"/>
      </w:pPr>
      <w:r>
        <w:t>Användning av vatten som producerats genom en avsaltningsprocess: Total vattenvolym som erhållits genom avsaltningsprocesser för försörjning till slutanvändare.</w:t>
      </w:r>
    </w:p>
    <w:p w:rsidR="000215C5" w:rsidRDefault="00703023">
      <w:pPr>
        <w:jc w:val="both"/>
      </w:pPr>
      <w:r>
        <w:t>Import och export av vatten: Total volym bulkvatten som är föremål för handel och som importeras från eller exporteras till ett annat territorium utanför avrinningsdistriktet, i form av en vattenöverföring.</w:t>
      </w:r>
    </w:p>
    <w:p w:rsidR="000215C5" w:rsidRDefault="00703023">
      <w:pPr>
        <w:jc w:val="both"/>
      </w:pPr>
      <w:r>
        <w:t>För att förenkla hänvisningar, underlätta en gemensam förståelse och möjliggöra kompletterande rapportering innehåller bilaga 2 en jämförelse mellan de berörda statistikklasserna (Nace) och vattendirektivets förteckning över påverkan.</w:t>
      </w:r>
    </w:p>
    <w:p w:rsidR="000215C5" w:rsidRDefault="00703023">
      <w:pPr>
        <w:pStyle w:val="Rubrik1"/>
        <w:jc w:val="both"/>
      </w:pPr>
      <w:bookmarkStart w:id="689" w:name="_Toc375220124"/>
      <w:bookmarkStart w:id="690" w:name="_Toc375294184"/>
      <w:bookmarkStart w:id="691" w:name="_Toc386464253"/>
      <w:bookmarkStart w:id="692" w:name="_Toc388280345"/>
      <w:bookmarkStart w:id="693" w:name="_Ref425264453"/>
      <w:bookmarkStart w:id="694" w:name="_Toc425522081"/>
      <w:bookmarkStart w:id="695" w:name="_Toc432666093"/>
      <w:bookmarkStart w:id="696" w:name="_Toc437520289"/>
      <w:r>
        <w:t>Åtgärdsprogram som rapporteras per avrinningsdistrikt/delavrinningsdistrikt (mallen RBMPPoM)</w:t>
      </w:r>
      <w:bookmarkEnd w:id="689"/>
      <w:bookmarkEnd w:id="690"/>
      <w:bookmarkEnd w:id="691"/>
      <w:bookmarkEnd w:id="692"/>
      <w:bookmarkEnd w:id="693"/>
      <w:bookmarkEnd w:id="694"/>
      <w:bookmarkEnd w:id="695"/>
      <w:bookmarkEnd w:id="696"/>
    </w:p>
    <w:p w:rsidR="000215C5" w:rsidRDefault="00703023">
      <w:pPr>
        <w:pStyle w:val="Rubrik2"/>
        <w:jc w:val="both"/>
      </w:pPr>
      <w:bookmarkStart w:id="697" w:name="_Toc386464254"/>
      <w:bookmarkStart w:id="698" w:name="_Toc388280346"/>
      <w:bookmarkStart w:id="699" w:name="_Toc425522082"/>
      <w:bookmarkStart w:id="700" w:name="_Toc432666094"/>
      <w:bookmarkStart w:id="701" w:name="_Toc437520290"/>
      <w:r>
        <w:t>Viktiga åtgärdstyper för att hantera betydande påverkan</w:t>
      </w:r>
      <w:bookmarkEnd w:id="697"/>
      <w:bookmarkEnd w:id="698"/>
      <w:bookmarkEnd w:id="699"/>
      <w:bookmarkEnd w:id="700"/>
      <w:bookmarkEnd w:id="701"/>
    </w:p>
    <w:p w:rsidR="000215C5" w:rsidRDefault="00703023">
      <w:pPr>
        <w:pStyle w:val="Rubrik3"/>
      </w:pPr>
      <w:bookmarkStart w:id="702" w:name="_Toc388280347"/>
      <w:r>
        <w:t>Inledning</w:t>
      </w:r>
      <w:bookmarkEnd w:id="702"/>
    </w:p>
    <w:p w:rsidR="000215C5" w:rsidRDefault="00703023">
      <w:pPr>
        <w:jc w:val="both"/>
      </w:pPr>
      <w:r>
        <w:t>Enligt vattendirektivet ska ett åtgärdsprogram upprättas för varje avrinningsdistrikt för att hantera den betydande påverkan som identifierats och uppnå de mål som fastställs i artikel 4. I direktivet anges att åtgärdsplanerna åtminstone ska innehålla ”grundläggande åtgärder” samt ”kompletterande” åtgärder när så är nödvändigt för att uppfylla målen.</w:t>
      </w:r>
    </w:p>
    <w:p w:rsidR="000215C5" w:rsidRDefault="00703023">
      <w:pPr>
        <w:jc w:val="both"/>
      </w:pPr>
      <w:r>
        <w:t>De grundläggande åtgärderna ska åtminstone bestå av följande:</w:t>
      </w:r>
    </w:p>
    <w:p w:rsidR="000215C5" w:rsidRDefault="00703023">
      <w:pPr>
        <w:numPr>
          <w:ilvl w:val="0"/>
          <w:numId w:val="62"/>
        </w:numPr>
        <w:jc w:val="both"/>
      </w:pPr>
      <w:r>
        <w:t>De åtgärder som krävs för att genomföra den befintliga unionslagstiftningen för skydd av vatten samt annan miljölagstiftning (som anges i artikel 10 och i bilaga VI, del A – se beskrivningen nedan).</w:t>
      </w:r>
    </w:p>
    <w:p w:rsidR="000215C5" w:rsidRDefault="00703023">
      <w:pPr>
        <w:numPr>
          <w:ilvl w:val="0"/>
          <w:numId w:val="62"/>
        </w:numPr>
        <w:jc w:val="both"/>
      </w:pPr>
      <w:r>
        <w:t>Åtgärder för att genomföra artikel 9 (täckning av kostnader).</w:t>
      </w:r>
    </w:p>
    <w:p w:rsidR="000215C5" w:rsidRDefault="00703023">
      <w:pPr>
        <w:numPr>
          <w:ilvl w:val="0"/>
          <w:numId w:val="62"/>
        </w:numPr>
        <w:jc w:val="both"/>
      </w:pPr>
      <w:r>
        <w:t>Åtgärder för att främja en effektiv och hållbar vattenanvändning.</w:t>
      </w:r>
    </w:p>
    <w:p w:rsidR="000215C5" w:rsidRDefault="00703023">
      <w:pPr>
        <w:numPr>
          <w:ilvl w:val="0"/>
          <w:numId w:val="62"/>
        </w:numPr>
        <w:jc w:val="both"/>
      </w:pPr>
      <w:r>
        <w:t>Åtgärder för att skydda vattenkvaliteten för att minska den nivå av vattenrening som krävs för framställning av dricksvatten.</w:t>
      </w:r>
    </w:p>
    <w:p w:rsidR="000215C5" w:rsidRDefault="00703023">
      <w:pPr>
        <w:numPr>
          <w:ilvl w:val="0"/>
          <w:numId w:val="62"/>
        </w:numPr>
        <w:jc w:val="both"/>
      </w:pPr>
      <w:r>
        <w:t>Åtgärder för att reglera uttag från yt- och grundvatten.</w:t>
      </w:r>
    </w:p>
    <w:p w:rsidR="000215C5" w:rsidRDefault="00703023">
      <w:pPr>
        <w:numPr>
          <w:ilvl w:val="0"/>
          <w:numId w:val="62"/>
        </w:numPr>
        <w:jc w:val="both"/>
      </w:pPr>
      <w:r>
        <w:t>Åtgärder för att reglera grundvattenbildning.</w:t>
      </w:r>
    </w:p>
    <w:p w:rsidR="000215C5" w:rsidRDefault="00703023">
      <w:pPr>
        <w:numPr>
          <w:ilvl w:val="0"/>
          <w:numId w:val="62"/>
        </w:numPr>
        <w:jc w:val="both"/>
      </w:pPr>
      <w:r>
        <w:t>Åtgärder för att reglera utsläpp från punktkällor.</w:t>
      </w:r>
    </w:p>
    <w:p w:rsidR="000215C5" w:rsidRDefault="00703023">
      <w:pPr>
        <w:numPr>
          <w:ilvl w:val="0"/>
          <w:numId w:val="62"/>
        </w:numPr>
        <w:jc w:val="both"/>
      </w:pPr>
      <w:r>
        <w:t>Åtgärder för att förhindra eller reglera tillförsel av diffusa förorenande ämnen.</w:t>
      </w:r>
    </w:p>
    <w:p w:rsidR="000215C5" w:rsidRDefault="00703023">
      <w:pPr>
        <w:numPr>
          <w:ilvl w:val="0"/>
          <w:numId w:val="62"/>
        </w:numPr>
        <w:jc w:val="both"/>
      </w:pPr>
      <w:r>
        <w:t>Åtgärder för att hantera betydande negativa konsekvenser för vattenförekomsternas status, särskilt hydromorfologiska förhållanden.</w:t>
      </w:r>
    </w:p>
    <w:p w:rsidR="000215C5" w:rsidRDefault="00703023">
      <w:pPr>
        <w:numPr>
          <w:ilvl w:val="0"/>
          <w:numId w:val="62"/>
        </w:numPr>
        <w:jc w:val="both"/>
      </w:pPr>
      <w:r>
        <w:t>Åtgärder för att förbjuda direkta utsläpp till grundvatten.</w:t>
      </w:r>
    </w:p>
    <w:p w:rsidR="000215C5" w:rsidRDefault="00703023">
      <w:pPr>
        <w:numPr>
          <w:ilvl w:val="0"/>
          <w:numId w:val="62"/>
        </w:numPr>
        <w:jc w:val="both"/>
      </w:pPr>
      <w:r>
        <w:t>Åtgärder för att eliminera eller minska förorening av prioriterade ämnen.</w:t>
      </w:r>
    </w:p>
    <w:p w:rsidR="000215C5" w:rsidRDefault="00703023">
      <w:pPr>
        <w:numPr>
          <w:ilvl w:val="0"/>
          <w:numId w:val="62"/>
        </w:numPr>
        <w:jc w:val="both"/>
      </w:pPr>
      <w:r>
        <w:t>Åtgärder för att förhindra oavsiktlig förorening.</w:t>
      </w:r>
    </w:p>
    <w:p w:rsidR="000215C5" w:rsidRDefault="00703023">
      <w:pPr>
        <w:jc w:val="both"/>
      </w:pPr>
      <w:r>
        <w:t>Lagstiftningen i artikel 10 och del A i bilaga VI:</w:t>
      </w:r>
    </w:p>
    <w:p w:rsidR="000215C5" w:rsidRDefault="00703023">
      <w:pPr>
        <w:jc w:val="both"/>
      </w:pPr>
      <w:r>
        <w:t>i) Badvattendirektivet (76/160/EEG).</w:t>
      </w:r>
    </w:p>
    <w:p w:rsidR="000215C5" w:rsidRDefault="00703023">
      <w:pPr>
        <w:jc w:val="both"/>
      </w:pPr>
      <w:r>
        <w:t>ii) Fågeldirektivet (79/409/EEG).</w:t>
      </w:r>
    </w:p>
    <w:p w:rsidR="000215C5" w:rsidRDefault="00703023">
      <w:pPr>
        <w:jc w:val="both"/>
      </w:pPr>
      <w:r>
        <w:t>iii) Dricksvattendirektivet (80/778/EEG), ändrat genom direktiv 98/83/EG.</w:t>
      </w:r>
    </w:p>
    <w:p w:rsidR="000215C5" w:rsidRDefault="00703023">
      <w:pPr>
        <w:jc w:val="both"/>
      </w:pPr>
      <w:r>
        <w:t>iv) Direktivet om risker för storolyckor (Sevesodirektivet) (96/82/EG).</w:t>
      </w:r>
    </w:p>
    <w:p w:rsidR="000215C5" w:rsidRDefault="00703023">
      <w:pPr>
        <w:jc w:val="both"/>
      </w:pPr>
      <w:r>
        <w:t>v) Direktivet om miljökonsekvensbedömningar (85/337/EEG).</w:t>
      </w:r>
    </w:p>
    <w:p w:rsidR="000215C5" w:rsidRDefault="00703023">
      <w:pPr>
        <w:jc w:val="both"/>
      </w:pPr>
      <w:r>
        <w:t>vi) Direktivet om avloppsslam (86/278/EEG).</w:t>
      </w:r>
    </w:p>
    <w:p w:rsidR="000215C5" w:rsidRDefault="00703023">
      <w:pPr>
        <w:jc w:val="both"/>
      </w:pPr>
      <w:r>
        <w:t>vii) Direktivet om rening av avloppsvatten från tätbebyggelse (91/271/EEG).</w:t>
      </w:r>
    </w:p>
    <w:p w:rsidR="000215C5" w:rsidRDefault="00703023">
      <w:pPr>
        <w:jc w:val="both"/>
      </w:pPr>
      <w:r>
        <w:t>viii) Direktivet om växtskyddsmedel (91/414/EEG).</w:t>
      </w:r>
    </w:p>
    <w:p w:rsidR="000215C5" w:rsidRDefault="00703023">
      <w:pPr>
        <w:jc w:val="both"/>
      </w:pPr>
      <w:r>
        <w:t>iv) Nitratdirektivet (91/676/EEG).</w:t>
      </w:r>
    </w:p>
    <w:p w:rsidR="000215C5" w:rsidRDefault="00703023">
      <w:pPr>
        <w:jc w:val="both"/>
      </w:pPr>
      <w:r>
        <w:t>iv) Direktivet om livsmiljöer (92/43/EEG).</w:t>
      </w:r>
    </w:p>
    <w:p w:rsidR="000215C5" w:rsidRDefault="00703023">
      <w:pPr>
        <w:jc w:val="both"/>
      </w:pPr>
      <w:r>
        <w:t>x) Direktivet om samordnade åtgärder för att förebygga och begränsa föroreningar (96/61/EG).</w:t>
      </w:r>
    </w:p>
    <w:p w:rsidR="000215C5" w:rsidRDefault="00703023">
      <w:pPr>
        <w:jc w:val="both"/>
      </w:pPr>
      <w:r>
        <w:t>Kompletterande åtgärder är åtgärder som utformas och genomförs förutom de grundläggande åtgärderna när de är nödvändiga för att uppnå vattendirektivets miljömål enligt artikel 4 och bilaga V. Kompletterande åtgärder kan bestå av ytterligare lagstiftningsbefogenheter, fiskala åtgärder, forskning samt informationskampanjer som går utöver de grundläggande åtgärderna och anses nödvändiga för att uppnå målen.</w:t>
      </w:r>
    </w:p>
    <w:p w:rsidR="000215C5" w:rsidRDefault="00703023">
      <w:pPr>
        <w:jc w:val="both"/>
      </w:pPr>
      <w:r>
        <w:t xml:space="preserve">Enligt artikel 11.5 kan </w:t>
      </w:r>
      <w:r w:rsidR="00781786">
        <w:t>ytterligare</w:t>
      </w:r>
      <w:r>
        <w:t xml:space="preserve"> åtgärder vara nödvändiga när det är osannolikt att de mål för vattenförekomsten som ställs upp enligt artikel 4 kommer att nås efter det att åtgärder vidtagits enligt den första åtgärdsplanen. Om genomförandet av en </w:t>
      </w:r>
      <w:r w:rsidR="00781786">
        <w:t>ytterligare</w:t>
      </w:r>
      <w:r>
        <w:t xml:space="preserve"> åtgärd varar längre än planeringscykeln för förvaltningen av avrinningsdistriktet är den varken en grundläggande eller en kompletterande åtgärd.</w:t>
      </w:r>
    </w:p>
    <w:p w:rsidR="000215C5" w:rsidRDefault="00703023">
      <w:pPr>
        <w:jc w:val="both"/>
      </w:pPr>
      <w:r>
        <w:t>Åtgärderna ska vara riktade till typen och omfattningen för att se till att påverkan hanteras och att åtgärderna leder till förbättringar så att god status eller potential uppnås i de enskilda vattenförekomsterna. De bör utformas på grundval av bedömningen av vattenförekomstens faktiska status, kompletterat med information från analysen av påverkan och effekter för vattenförekomsten.</w:t>
      </w:r>
    </w:p>
    <w:p w:rsidR="000215C5" w:rsidRDefault="00703023">
      <w:pPr>
        <w:pStyle w:val="Rubrik3"/>
      </w:pPr>
      <w:bookmarkStart w:id="703" w:name="_Ref386447279"/>
      <w:bookmarkStart w:id="704" w:name="_Toc388280355"/>
      <w:r>
        <w:t>De centrala åtgärdstypernas funktion</w:t>
      </w:r>
      <w:bookmarkEnd w:id="703"/>
      <w:bookmarkEnd w:id="704"/>
    </w:p>
    <w:p w:rsidR="000215C5" w:rsidRDefault="00703023">
      <w:pPr>
        <w:jc w:val="both"/>
      </w:pPr>
      <w:r>
        <w:t xml:space="preserve">Begreppet centrala åtgärdstyper (Key Types of Measure, KTM) utvecklades 2012 för att förenkla rapporteringen. De togs fram till följd av de stora skillnaderna i detaljnivå i rapporteringen 2010. En del medlemsstater rapporterade 10–20 åtgärder medan andra rapporterade hundratals eller till och med tusentals. Centrala åtgärdstyper utgörs av grupper av åtgärder som inriktas på samma påverkan eller har samma syfte. De anges i medlemsstaternas åtgärdsplaner. De åtgärder som förtecknas i åtgärdsplanen (som ingår i förvaltningsplanen) grupperas i centrala åtgärdstyper för rapporteringsändamål. Samma åtgärd kan ingå i mer än en central åtgärdstyp eftersom de kan ha flera syften, men även för att åtgärdsgrupperna inte är helt oberoende enheter. Det finns en viss överlappning för att hjälpa medlemsstaterna att rapportera sina åtgärdsplaner på ett så enkelt sätt som möjligt. </w:t>
      </w:r>
    </w:p>
    <w:p w:rsidR="000215C5" w:rsidRDefault="00703023">
      <w:pPr>
        <w:jc w:val="both"/>
      </w:pPr>
      <w:r>
        <w:t>De centrala åtgärdstyperna förväntas stå för den största delen av förbättringarna genom att minska påverkan i den utsträckning som krävs för att nå vattendirektivets miljömål. En central åtgärdstyp kan bestå av en nationell åtgärd, men utgörs vanligen av flera nationella åtgärder. I vissa medlemsstater kan t.ex. åtgärdsplanen för nitrater vara tillräcklig för att minska diffus förorening av näringsämnen från jordbruket till de nivåer som krävs för att uppnå god ekologisk status eller potential. I detta fall kan KTM2 (se förteckningen nedan) kopplas till en grundläggande åtgärd enligt artikel 11.3 a (dvs. genomförandet av nitratdirektivet). I andra medlemsstater kan även grundläggande åtgärder enligt artikel 11.3 h (bindande regler för reglering av diffus förorening) och kompletterande åtgärder (artikel 11.4) behövas för att uppnå vattendirektivets miljömål. I det senare fallet är KTM2 kopplad till minst tre nationella åtgärder.</w:t>
      </w:r>
    </w:p>
    <w:p w:rsidR="000215C5" w:rsidRDefault="00703023">
      <w:pPr>
        <w:jc w:val="both"/>
      </w:pPr>
      <w:r>
        <w:t>Medlemsstaterna förväntas kunna rapportera sina åtgärdsplaner genom att koppla dem till nationella åtgärder inom de fördefinierade centrala åtgärdstyperna. Med tanke på att de fördefinierade centrala åtgärdstyperna täcker de viktigaste vattenförvaltningsfrågorna i EU förväntas medlemsstaterna endast i undantagsfall använda de kompletterande åtgärder från de centrala åtgärdstyperna som de har fastställt.</w:t>
      </w:r>
    </w:p>
    <w:p w:rsidR="000215C5" w:rsidRDefault="00703023">
      <w:pPr>
        <w:jc w:val="both"/>
      </w:pPr>
      <w:r>
        <w:t>För att lämna information om de centrala åtgärdstypernas relativa bidrag till de grundläggande och kompletterande åtgärderna enligt artikel 11.3 a och 11.3 b–l och till uppnåendet av vattendirektivets miljömål, ska medlemsstaterna rapportera om de nationella åtgärder som är kopplade till de centrala åtgärdstyperna. Uppgifter om individuella åtgärder behöver dock inte rapporteras, förutom vissa riktade frågor om grundläggande åtgärder och andra specifika aspekter.</w:t>
      </w:r>
    </w:p>
    <w:p w:rsidR="000215C5" w:rsidRDefault="00703023">
      <w:pPr>
        <w:pStyle w:val="Rubrik3"/>
      </w:pPr>
      <w:bookmarkStart w:id="705" w:name="_Toc388280351"/>
      <w:bookmarkStart w:id="706" w:name="_Ref425272538"/>
      <w:r>
        <w:t>Fördefinierade centrala åtgärdstyper</w:t>
      </w:r>
      <w:bookmarkEnd w:id="705"/>
      <w:bookmarkEnd w:id="706"/>
    </w:p>
    <w:p w:rsidR="000215C5" w:rsidRDefault="00703023">
      <w:pPr>
        <w:jc w:val="both"/>
      </w:pPr>
      <w:r>
        <w:t>De fördefinierade centrala åtgärdstyperna (Predefined Key Types of Measure (KTM)) för rapporteringen 2016 baseras på de KTM som fastställdes i samband med framstegsrapporterna 2012 om genomförandet av åtgärdsprogrammet, de nya åtgärder som rapporterades av medlemsstaterna 2012 och gemensamt rapporterad betydande påverkan som tidigare inte ingick i de fördefinierade KTM.</w:t>
      </w:r>
    </w:p>
    <w:p w:rsidR="000215C5" w:rsidRDefault="00703023">
      <w:pPr>
        <w:jc w:val="both"/>
      </w:pPr>
      <w:r>
        <w:t xml:space="preserve">De flesta medlemsstater förväntas kunna rapportera sina åtgärder i form av fördefinierade KTM. ”Nya” KTM bör användas i mycket begränsad utsträckning för att underlätta jämförelser och sammanställning av informationen på EU-nivå. Medlemsstaterna förväntas samla sina nationella åtgärder (som oftast är mycket mer detaljerade än de centrala åtgärdstyperna) för att rapportera dem samlat som KTM (se avsnitt </w:t>
      </w:r>
      <w:r>
        <w:fldChar w:fldCharType="begin"/>
      </w:r>
      <w:r>
        <w:instrText xml:space="preserve"> REF _Ref386447279 \r \h  \* MERGEFORMAT </w:instrText>
      </w:r>
      <w:r>
        <w:fldChar w:fldCharType="separate"/>
      </w:r>
      <w:r>
        <w:t>10.1.2</w:t>
      </w:r>
      <w:r>
        <w:fldChar w:fldCharType="end"/>
      </w:r>
      <w:r>
        <w:t xml:space="preserve"> om de centrala åtgärdstypernas funktion och avsnittet nedan om kartläggning av centrala åtgärdstyper i förhållande till individuella åtgärder). Kvantitativa indikatorer rapporteras på KTM-nivå.</w:t>
      </w:r>
    </w:p>
    <w:p w:rsidR="000215C5" w:rsidRDefault="00703023">
      <w:pPr>
        <w:jc w:val="both"/>
      </w:pPr>
      <w:r>
        <w:t>De 25 fördefinierade åtgärdstyperna (KTM) förtecknas nedan.</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8739"/>
      </w:tblGrid>
      <w:tr w:rsidR="000215C5" w:rsidTr="00D33870">
        <w:trPr>
          <w:cantSplit/>
          <w:tblHeader/>
        </w:trPr>
        <w:tc>
          <w:tcPr>
            <w:tcW w:w="915" w:type="dxa"/>
            <w:shd w:val="clear" w:color="auto" w:fill="BFBFBF"/>
          </w:tcPr>
          <w:p w:rsidR="000215C5" w:rsidRDefault="00703023">
            <w:pPr>
              <w:spacing w:after="0"/>
              <w:jc w:val="both"/>
              <w:rPr>
                <w:sz w:val="20"/>
              </w:rPr>
            </w:pPr>
            <w:r>
              <w:rPr>
                <w:sz w:val="20"/>
              </w:rPr>
              <w:t>KTM-nummer</w:t>
            </w:r>
          </w:p>
        </w:tc>
        <w:tc>
          <w:tcPr>
            <w:tcW w:w="8739" w:type="dxa"/>
            <w:shd w:val="clear" w:color="auto" w:fill="BFBFBF"/>
          </w:tcPr>
          <w:p w:rsidR="000215C5" w:rsidRDefault="00703023">
            <w:pPr>
              <w:spacing w:after="0"/>
              <w:jc w:val="both"/>
              <w:rPr>
                <w:b/>
                <w:bCs/>
                <w:sz w:val="20"/>
              </w:rPr>
            </w:pPr>
            <w:r>
              <w:rPr>
                <w:b/>
                <w:sz w:val="20"/>
              </w:rPr>
              <w:t>Beskrivning</w:t>
            </w:r>
          </w:p>
        </w:tc>
      </w:tr>
      <w:tr w:rsidR="000215C5" w:rsidTr="00D33870">
        <w:trPr>
          <w:cantSplit/>
        </w:trPr>
        <w:tc>
          <w:tcPr>
            <w:tcW w:w="915" w:type="dxa"/>
            <w:shd w:val="clear" w:color="auto" w:fill="auto"/>
          </w:tcPr>
          <w:p w:rsidR="000215C5" w:rsidRDefault="00703023">
            <w:pPr>
              <w:spacing w:after="0"/>
              <w:jc w:val="both"/>
              <w:rPr>
                <w:sz w:val="20"/>
              </w:rPr>
            </w:pPr>
            <w:r>
              <w:rPr>
                <w:sz w:val="20"/>
              </w:rPr>
              <w:t>1</w:t>
            </w:r>
          </w:p>
        </w:tc>
        <w:tc>
          <w:tcPr>
            <w:tcW w:w="8739" w:type="dxa"/>
            <w:shd w:val="clear" w:color="auto" w:fill="auto"/>
          </w:tcPr>
          <w:p w:rsidR="000215C5" w:rsidRDefault="00703023">
            <w:pPr>
              <w:spacing w:after="0"/>
              <w:jc w:val="both"/>
              <w:rPr>
                <w:sz w:val="20"/>
              </w:rPr>
            </w:pPr>
            <w:r>
              <w:rPr>
                <w:sz w:val="20"/>
              </w:rPr>
              <w:t>Bygga eller uppgradera anläggningar för rening av avloppsvatten.</w:t>
            </w:r>
          </w:p>
        </w:tc>
      </w:tr>
      <w:tr w:rsidR="000215C5" w:rsidTr="00D33870">
        <w:trPr>
          <w:cantSplit/>
        </w:trPr>
        <w:tc>
          <w:tcPr>
            <w:tcW w:w="915" w:type="dxa"/>
            <w:shd w:val="clear" w:color="auto" w:fill="auto"/>
          </w:tcPr>
          <w:p w:rsidR="000215C5" w:rsidRDefault="00703023">
            <w:pPr>
              <w:spacing w:after="0"/>
              <w:jc w:val="both"/>
              <w:rPr>
                <w:sz w:val="20"/>
              </w:rPr>
            </w:pPr>
            <w:r>
              <w:rPr>
                <w:sz w:val="20"/>
              </w:rPr>
              <w:t>2</w:t>
            </w:r>
          </w:p>
        </w:tc>
        <w:tc>
          <w:tcPr>
            <w:tcW w:w="8739" w:type="dxa"/>
            <w:shd w:val="clear" w:color="auto" w:fill="auto"/>
          </w:tcPr>
          <w:p w:rsidR="000215C5" w:rsidRDefault="00703023">
            <w:pPr>
              <w:spacing w:after="0"/>
              <w:jc w:val="both"/>
              <w:rPr>
                <w:sz w:val="20"/>
              </w:rPr>
            </w:pPr>
            <w:r>
              <w:rPr>
                <w:sz w:val="20"/>
              </w:rPr>
              <w:t>Minska föroreningar av näringsämnen från jordbruket.</w:t>
            </w:r>
          </w:p>
        </w:tc>
      </w:tr>
      <w:tr w:rsidR="000215C5" w:rsidTr="00D33870">
        <w:trPr>
          <w:cantSplit/>
        </w:trPr>
        <w:tc>
          <w:tcPr>
            <w:tcW w:w="915" w:type="dxa"/>
            <w:shd w:val="clear" w:color="auto" w:fill="auto"/>
          </w:tcPr>
          <w:p w:rsidR="000215C5" w:rsidRDefault="00703023">
            <w:pPr>
              <w:spacing w:after="0"/>
              <w:jc w:val="both"/>
              <w:rPr>
                <w:sz w:val="20"/>
              </w:rPr>
            </w:pPr>
            <w:r>
              <w:rPr>
                <w:sz w:val="20"/>
              </w:rPr>
              <w:t>3</w:t>
            </w:r>
          </w:p>
        </w:tc>
        <w:tc>
          <w:tcPr>
            <w:tcW w:w="8739" w:type="dxa"/>
            <w:shd w:val="clear" w:color="auto" w:fill="auto"/>
          </w:tcPr>
          <w:p w:rsidR="000215C5" w:rsidRDefault="00703023">
            <w:pPr>
              <w:spacing w:after="0"/>
              <w:jc w:val="both"/>
              <w:rPr>
                <w:sz w:val="20"/>
              </w:rPr>
            </w:pPr>
            <w:r>
              <w:rPr>
                <w:sz w:val="20"/>
              </w:rPr>
              <w:t>Minska föroreningar av bekämpningsmedel från jordbruket.</w:t>
            </w:r>
          </w:p>
        </w:tc>
      </w:tr>
      <w:tr w:rsidR="000215C5" w:rsidTr="00D33870">
        <w:trPr>
          <w:cantSplit/>
        </w:trPr>
        <w:tc>
          <w:tcPr>
            <w:tcW w:w="915" w:type="dxa"/>
            <w:shd w:val="clear" w:color="auto" w:fill="auto"/>
          </w:tcPr>
          <w:p w:rsidR="000215C5" w:rsidRDefault="00703023">
            <w:pPr>
              <w:spacing w:after="0"/>
              <w:jc w:val="both"/>
              <w:rPr>
                <w:sz w:val="20"/>
              </w:rPr>
            </w:pPr>
            <w:r>
              <w:rPr>
                <w:sz w:val="20"/>
              </w:rPr>
              <w:t>4</w:t>
            </w:r>
          </w:p>
        </w:tc>
        <w:tc>
          <w:tcPr>
            <w:tcW w:w="8739" w:type="dxa"/>
            <w:shd w:val="clear" w:color="auto" w:fill="auto"/>
          </w:tcPr>
          <w:p w:rsidR="000215C5" w:rsidRDefault="00703023">
            <w:pPr>
              <w:spacing w:after="0"/>
              <w:jc w:val="both"/>
              <w:rPr>
                <w:sz w:val="20"/>
              </w:rPr>
            </w:pPr>
            <w:r>
              <w:rPr>
                <w:sz w:val="20"/>
              </w:rPr>
              <w:t>Återställa förorenade områden (historisk förorening inklusive sediment, grundvatten och mark).</w:t>
            </w:r>
          </w:p>
        </w:tc>
      </w:tr>
      <w:tr w:rsidR="000215C5" w:rsidTr="00D33870">
        <w:trPr>
          <w:cantSplit/>
        </w:trPr>
        <w:tc>
          <w:tcPr>
            <w:tcW w:w="915" w:type="dxa"/>
            <w:shd w:val="clear" w:color="auto" w:fill="auto"/>
          </w:tcPr>
          <w:p w:rsidR="000215C5" w:rsidRDefault="00703023">
            <w:pPr>
              <w:spacing w:after="0"/>
              <w:jc w:val="both"/>
              <w:rPr>
                <w:sz w:val="20"/>
              </w:rPr>
            </w:pPr>
            <w:r>
              <w:rPr>
                <w:sz w:val="20"/>
              </w:rPr>
              <w:t>5</w:t>
            </w:r>
          </w:p>
        </w:tc>
        <w:tc>
          <w:tcPr>
            <w:tcW w:w="8739" w:type="dxa"/>
            <w:shd w:val="clear" w:color="auto" w:fill="auto"/>
          </w:tcPr>
          <w:p w:rsidR="000215C5" w:rsidRDefault="00703023">
            <w:pPr>
              <w:spacing w:after="0"/>
              <w:jc w:val="both"/>
              <w:rPr>
                <w:sz w:val="20"/>
              </w:rPr>
            </w:pPr>
            <w:r>
              <w:rPr>
                <w:sz w:val="20"/>
              </w:rPr>
              <w:t>Förbättra kontinuiteten längs hela vattendraget (t.ex. genom att anlägga passager för fisk och riva gamla dammar).</w:t>
            </w:r>
          </w:p>
        </w:tc>
      </w:tr>
      <w:tr w:rsidR="000215C5" w:rsidTr="00D33870">
        <w:trPr>
          <w:cantSplit/>
        </w:trPr>
        <w:tc>
          <w:tcPr>
            <w:tcW w:w="915" w:type="dxa"/>
            <w:shd w:val="clear" w:color="auto" w:fill="auto"/>
          </w:tcPr>
          <w:p w:rsidR="000215C5" w:rsidRDefault="00703023">
            <w:pPr>
              <w:spacing w:after="0"/>
              <w:jc w:val="both"/>
              <w:rPr>
                <w:sz w:val="20"/>
              </w:rPr>
            </w:pPr>
            <w:r>
              <w:rPr>
                <w:sz w:val="20"/>
              </w:rPr>
              <w:t>6</w:t>
            </w:r>
          </w:p>
        </w:tc>
        <w:tc>
          <w:tcPr>
            <w:tcW w:w="8739" w:type="dxa"/>
            <w:shd w:val="clear" w:color="auto" w:fill="auto"/>
          </w:tcPr>
          <w:p w:rsidR="000215C5" w:rsidRDefault="00703023">
            <w:pPr>
              <w:spacing w:after="0"/>
              <w:jc w:val="both"/>
              <w:rPr>
                <w:sz w:val="20"/>
              </w:rPr>
            </w:pPr>
            <w:r>
              <w:rPr>
                <w:sz w:val="20"/>
              </w:rPr>
              <w:t>Förbättra de hydromorfologiska förhållandena för andra vattenförekomster än vattendrag med kontinuitet längs hela vattendraget (t.ex. återställande av floder, förbättringar av strandområden, rivning av hårda vallar, återanslutning av floder till flodslätter, förbättringar av de hydromorfologiska förhållandena för vatten i övergångszoner och kustvatten osv.).</w:t>
            </w:r>
          </w:p>
        </w:tc>
      </w:tr>
      <w:tr w:rsidR="000215C5" w:rsidTr="00D33870">
        <w:trPr>
          <w:cantSplit/>
        </w:trPr>
        <w:tc>
          <w:tcPr>
            <w:tcW w:w="915" w:type="dxa"/>
            <w:shd w:val="clear" w:color="auto" w:fill="auto"/>
          </w:tcPr>
          <w:p w:rsidR="000215C5" w:rsidRDefault="00703023">
            <w:pPr>
              <w:spacing w:after="0"/>
              <w:jc w:val="both"/>
              <w:rPr>
                <w:sz w:val="20"/>
              </w:rPr>
            </w:pPr>
            <w:r>
              <w:rPr>
                <w:sz w:val="20"/>
              </w:rPr>
              <w:t>7</w:t>
            </w:r>
          </w:p>
        </w:tc>
        <w:tc>
          <w:tcPr>
            <w:tcW w:w="8739" w:type="dxa"/>
            <w:shd w:val="clear" w:color="auto" w:fill="auto"/>
          </w:tcPr>
          <w:p w:rsidR="000215C5" w:rsidRDefault="00703023">
            <w:pPr>
              <w:spacing w:after="0"/>
              <w:jc w:val="both"/>
              <w:rPr>
                <w:sz w:val="20"/>
              </w:rPr>
            </w:pPr>
            <w:r>
              <w:rPr>
                <w:sz w:val="20"/>
              </w:rPr>
              <w:t>Förbättringar av flödesmönster och/eller skapande av ekologiska flöden.</w:t>
            </w:r>
          </w:p>
        </w:tc>
      </w:tr>
      <w:tr w:rsidR="000215C5" w:rsidTr="00D33870">
        <w:trPr>
          <w:cantSplit/>
        </w:trPr>
        <w:tc>
          <w:tcPr>
            <w:tcW w:w="915" w:type="dxa"/>
            <w:shd w:val="clear" w:color="auto" w:fill="auto"/>
          </w:tcPr>
          <w:p w:rsidR="000215C5" w:rsidRDefault="00703023">
            <w:pPr>
              <w:spacing w:after="0"/>
              <w:jc w:val="both"/>
              <w:rPr>
                <w:sz w:val="20"/>
              </w:rPr>
            </w:pPr>
            <w:r>
              <w:rPr>
                <w:sz w:val="20"/>
              </w:rPr>
              <w:t>8</w:t>
            </w:r>
          </w:p>
        </w:tc>
        <w:tc>
          <w:tcPr>
            <w:tcW w:w="8739" w:type="dxa"/>
            <w:shd w:val="clear" w:color="auto" w:fill="auto"/>
          </w:tcPr>
          <w:p w:rsidR="000215C5" w:rsidRDefault="00703023">
            <w:pPr>
              <w:spacing w:after="0"/>
              <w:jc w:val="both"/>
              <w:rPr>
                <w:sz w:val="20"/>
              </w:rPr>
            </w:pPr>
            <w:r>
              <w:rPr>
                <w:sz w:val="20"/>
              </w:rPr>
              <w:t>Vatteneffektivitet, tekniska åtgärder för bevattning, industri, energi och hushåll.</w:t>
            </w:r>
          </w:p>
        </w:tc>
      </w:tr>
      <w:tr w:rsidR="000215C5" w:rsidTr="00D33870">
        <w:trPr>
          <w:cantSplit/>
        </w:trPr>
        <w:tc>
          <w:tcPr>
            <w:tcW w:w="915" w:type="dxa"/>
            <w:shd w:val="clear" w:color="auto" w:fill="auto"/>
          </w:tcPr>
          <w:p w:rsidR="000215C5" w:rsidRDefault="00703023">
            <w:pPr>
              <w:spacing w:after="0"/>
              <w:jc w:val="both"/>
              <w:rPr>
                <w:sz w:val="20"/>
              </w:rPr>
            </w:pPr>
            <w:r>
              <w:rPr>
                <w:sz w:val="20"/>
              </w:rPr>
              <w:t>9</w:t>
            </w:r>
          </w:p>
        </w:tc>
        <w:tc>
          <w:tcPr>
            <w:tcW w:w="8739" w:type="dxa"/>
            <w:shd w:val="clear" w:color="auto" w:fill="auto"/>
          </w:tcPr>
          <w:p w:rsidR="000215C5" w:rsidRDefault="00703023">
            <w:pPr>
              <w:spacing w:after="0"/>
              <w:jc w:val="both"/>
              <w:rPr>
                <w:sz w:val="20"/>
              </w:rPr>
            </w:pPr>
            <w:r>
              <w:rPr>
                <w:sz w:val="20"/>
              </w:rPr>
              <w:t>Politiska åtgärder för vattenprissättning i syfte att täcka kostnader för vattentjänster från hushållen.</w:t>
            </w:r>
          </w:p>
        </w:tc>
      </w:tr>
      <w:tr w:rsidR="000215C5" w:rsidTr="00D33870">
        <w:trPr>
          <w:cantSplit/>
        </w:trPr>
        <w:tc>
          <w:tcPr>
            <w:tcW w:w="915" w:type="dxa"/>
            <w:shd w:val="clear" w:color="auto" w:fill="auto"/>
          </w:tcPr>
          <w:p w:rsidR="000215C5" w:rsidRDefault="00703023">
            <w:pPr>
              <w:spacing w:after="0"/>
              <w:jc w:val="both"/>
              <w:rPr>
                <w:sz w:val="20"/>
              </w:rPr>
            </w:pPr>
            <w:r>
              <w:rPr>
                <w:sz w:val="20"/>
              </w:rPr>
              <w:t>10</w:t>
            </w:r>
          </w:p>
        </w:tc>
        <w:tc>
          <w:tcPr>
            <w:tcW w:w="8739" w:type="dxa"/>
            <w:shd w:val="clear" w:color="auto" w:fill="auto"/>
          </w:tcPr>
          <w:p w:rsidR="000215C5" w:rsidRDefault="00703023">
            <w:pPr>
              <w:spacing w:after="0"/>
              <w:jc w:val="both"/>
              <w:rPr>
                <w:sz w:val="20"/>
              </w:rPr>
            </w:pPr>
            <w:r>
              <w:rPr>
                <w:sz w:val="20"/>
              </w:rPr>
              <w:t>Politiska åtgärder för vattenprissättning i syfte att täcka kostnader för vattentjänster från industrin.</w:t>
            </w:r>
          </w:p>
        </w:tc>
      </w:tr>
      <w:tr w:rsidR="000215C5" w:rsidTr="00D33870">
        <w:trPr>
          <w:cantSplit/>
        </w:trPr>
        <w:tc>
          <w:tcPr>
            <w:tcW w:w="915" w:type="dxa"/>
            <w:shd w:val="clear" w:color="auto" w:fill="auto"/>
          </w:tcPr>
          <w:p w:rsidR="000215C5" w:rsidRDefault="00703023">
            <w:pPr>
              <w:spacing w:after="0"/>
              <w:jc w:val="both"/>
              <w:rPr>
                <w:sz w:val="20"/>
              </w:rPr>
            </w:pPr>
            <w:r>
              <w:rPr>
                <w:sz w:val="20"/>
              </w:rPr>
              <w:t>11</w:t>
            </w:r>
          </w:p>
        </w:tc>
        <w:tc>
          <w:tcPr>
            <w:tcW w:w="8739" w:type="dxa"/>
            <w:shd w:val="clear" w:color="auto" w:fill="auto"/>
          </w:tcPr>
          <w:p w:rsidR="000215C5" w:rsidRDefault="00703023">
            <w:pPr>
              <w:spacing w:after="0"/>
              <w:jc w:val="both"/>
              <w:rPr>
                <w:sz w:val="20"/>
              </w:rPr>
            </w:pPr>
            <w:r>
              <w:rPr>
                <w:sz w:val="20"/>
              </w:rPr>
              <w:t>Politiska åtgärder för vattenprissättning i syfte att täcka kostnader för vattentjänster från jordbruket.</w:t>
            </w:r>
          </w:p>
        </w:tc>
      </w:tr>
      <w:tr w:rsidR="000215C5" w:rsidTr="00D33870">
        <w:trPr>
          <w:cantSplit/>
        </w:trPr>
        <w:tc>
          <w:tcPr>
            <w:tcW w:w="915" w:type="dxa"/>
            <w:shd w:val="clear" w:color="auto" w:fill="auto"/>
          </w:tcPr>
          <w:p w:rsidR="000215C5" w:rsidRDefault="00703023">
            <w:pPr>
              <w:spacing w:after="0"/>
              <w:jc w:val="both"/>
              <w:rPr>
                <w:sz w:val="20"/>
              </w:rPr>
            </w:pPr>
            <w:r>
              <w:rPr>
                <w:sz w:val="20"/>
              </w:rPr>
              <w:t>12</w:t>
            </w:r>
          </w:p>
        </w:tc>
        <w:tc>
          <w:tcPr>
            <w:tcW w:w="8739" w:type="dxa"/>
            <w:shd w:val="clear" w:color="auto" w:fill="auto"/>
          </w:tcPr>
          <w:p w:rsidR="000215C5" w:rsidRDefault="00703023">
            <w:pPr>
              <w:spacing w:after="0"/>
              <w:jc w:val="both"/>
              <w:rPr>
                <w:sz w:val="20"/>
              </w:rPr>
            </w:pPr>
            <w:r>
              <w:rPr>
                <w:sz w:val="20"/>
              </w:rPr>
              <w:t>Rådgivningstjänster för jordbruket.</w:t>
            </w:r>
          </w:p>
        </w:tc>
      </w:tr>
      <w:tr w:rsidR="000215C5" w:rsidTr="00D33870">
        <w:trPr>
          <w:cantSplit/>
        </w:trPr>
        <w:tc>
          <w:tcPr>
            <w:tcW w:w="915" w:type="dxa"/>
            <w:shd w:val="clear" w:color="auto" w:fill="auto"/>
          </w:tcPr>
          <w:p w:rsidR="000215C5" w:rsidRDefault="00703023">
            <w:pPr>
              <w:spacing w:after="0"/>
              <w:jc w:val="both"/>
              <w:rPr>
                <w:sz w:val="20"/>
              </w:rPr>
            </w:pPr>
            <w:r>
              <w:rPr>
                <w:sz w:val="20"/>
              </w:rPr>
              <w:t>13</w:t>
            </w:r>
          </w:p>
        </w:tc>
        <w:tc>
          <w:tcPr>
            <w:tcW w:w="8739" w:type="dxa"/>
            <w:shd w:val="clear" w:color="auto" w:fill="auto"/>
          </w:tcPr>
          <w:p w:rsidR="000215C5" w:rsidRDefault="00703023">
            <w:pPr>
              <w:spacing w:after="0"/>
              <w:jc w:val="both"/>
              <w:rPr>
                <w:sz w:val="20"/>
              </w:rPr>
            </w:pPr>
            <w:r>
              <w:rPr>
                <w:sz w:val="20"/>
              </w:rPr>
              <w:t>Åtgärder för skydd av dricksvatten (t.ex. inrättande av säkra zoner, buffertzoner osv.).</w:t>
            </w:r>
          </w:p>
        </w:tc>
      </w:tr>
      <w:tr w:rsidR="000215C5" w:rsidTr="00D33870">
        <w:trPr>
          <w:cantSplit/>
        </w:trPr>
        <w:tc>
          <w:tcPr>
            <w:tcW w:w="915" w:type="dxa"/>
            <w:shd w:val="clear" w:color="auto" w:fill="auto"/>
          </w:tcPr>
          <w:p w:rsidR="000215C5" w:rsidRDefault="00703023">
            <w:pPr>
              <w:spacing w:after="0"/>
              <w:jc w:val="both"/>
              <w:rPr>
                <w:sz w:val="20"/>
              </w:rPr>
            </w:pPr>
            <w:r>
              <w:rPr>
                <w:sz w:val="20"/>
              </w:rPr>
              <w:t>14</w:t>
            </w:r>
          </w:p>
        </w:tc>
        <w:tc>
          <w:tcPr>
            <w:tcW w:w="8739" w:type="dxa"/>
            <w:shd w:val="clear" w:color="auto" w:fill="auto"/>
          </w:tcPr>
          <w:p w:rsidR="000215C5" w:rsidRDefault="00703023">
            <w:pPr>
              <w:spacing w:after="0"/>
              <w:jc w:val="both"/>
              <w:rPr>
                <w:sz w:val="20"/>
              </w:rPr>
            </w:pPr>
            <w:r>
              <w:rPr>
                <w:sz w:val="20"/>
              </w:rPr>
              <w:t>Forskning, förbättring av kunskapsbasen för att minska osäkerheten.</w:t>
            </w:r>
          </w:p>
        </w:tc>
      </w:tr>
      <w:tr w:rsidR="000215C5" w:rsidTr="00D33870">
        <w:trPr>
          <w:cantSplit/>
        </w:trPr>
        <w:tc>
          <w:tcPr>
            <w:tcW w:w="915" w:type="dxa"/>
            <w:shd w:val="clear" w:color="auto" w:fill="auto"/>
          </w:tcPr>
          <w:p w:rsidR="000215C5" w:rsidRDefault="00703023">
            <w:pPr>
              <w:spacing w:after="0"/>
              <w:jc w:val="both"/>
              <w:rPr>
                <w:sz w:val="20"/>
              </w:rPr>
            </w:pPr>
            <w:r>
              <w:rPr>
                <w:sz w:val="20"/>
              </w:rPr>
              <w:t>15</w:t>
            </w:r>
          </w:p>
        </w:tc>
        <w:tc>
          <w:tcPr>
            <w:tcW w:w="8739" w:type="dxa"/>
            <w:shd w:val="clear" w:color="auto" w:fill="auto"/>
          </w:tcPr>
          <w:p w:rsidR="000215C5" w:rsidRDefault="00703023">
            <w:pPr>
              <w:spacing w:after="0"/>
              <w:jc w:val="both"/>
              <w:rPr>
                <w:sz w:val="20"/>
              </w:rPr>
            </w:pPr>
            <w:r>
              <w:rPr>
                <w:sz w:val="20"/>
              </w:rPr>
              <w:t>Åtgärder för stegvis eliminering av utsläpp och spill av prioriterade farliga ämnen eller för att minska utsläpp och spill av prioriterade ämnen.</w:t>
            </w:r>
          </w:p>
        </w:tc>
      </w:tr>
      <w:tr w:rsidR="000215C5" w:rsidTr="00D33870">
        <w:trPr>
          <w:cantSplit/>
        </w:trPr>
        <w:tc>
          <w:tcPr>
            <w:tcW w:w="915" w:type="dxa"/>
            <w:shd w:val="clear" w:color="auto" w:fill="auto"/>
          </w:tcPr>
          <w:p w:rsidR="000215C5" w:rsidRDefault="00703023">
            <w:pPr>
              <w:spacing w:after="0"/>
              <w:jc w:val="both"/>
              <w:rPr>
                <w:sz w:val="20"/>
              </w:rPr>
            </w:pPr>
            <w:r>
              <w:rPr>
                <w:sz w:val="20"/>
              </w:rPr>
              <w:t>16</w:t>
            </w:r>
          </w:p>
        </w:tc>
        <w:tc>
          <w:tcPr>
            <w:tcW w:w="8739" w:type="dxa"/>
            <w:shd w:val="clear" w:color="auto" w:fill="auto"/>
          </w:tcPr>
          <w:p w:rsidR="000215C5" w:rsidRDefault="00703023">
            <w:pPr>
              <w:spacing w:after="0"/>
              <w:jc w:val="both"/>
              <w:rPr>
                <w:sz w:val="20"/>
              </w:rPr>
            </w:pPr>
            <w:r>
              <w:rPr>
                <w:sz w:val="20"/>
              </w:rPr>
              <w:t>Uppgraderingar eller förbättringar av reningsanläggningar för industriavloppsvatten (inklusive jordbruk).</w:t>
            </w:r>
          </w:p>
        </w:tc>
      </w:tr>
      <w:tr w:rsidR="000215C5" w:rsidTr="00D33870">
        <w:trPr>
          <w:cantSplit/>
        </w:trPr>
        <w:tc>
          <w:tcPr>
            <w:tcW w:w="915" w:type="dxa"/>
            <w:shd w:val="clear" w:color="auto" w:fill="auto"/>
          </w:tcPr>
          <w:p w:rsidR="000215C5" w:rsidRDefault="00703023">
            <w:pPr>
              <w:spacing w:after="0"/>
              <w:jc w:val="both"/>
              <w:rPr>
                <w:sz w:val="20"/>
              </w:rPr>
            </w:pPr>
            <w:r>
              <w:rPr>
                <w:sz w:val="20"/>
              </w:rPr>
              <w:t>17</w:t>
            </w:r>
          </w:p>
        </w:tc>
        <w:tc>
          <w:tcPr>
            <w:tcW w:w="8739" w:type="dxa"/>
            <w:shd w:val="clear" w:color="auto" w:fill="auto"/>
          </w:tcPr>
          <w:p w:rsidR="000215C5" w:rsidRDefault="00703023">
            <w:pPr>
              <w:spacing w:after="0"/>
              <w:jc w:val="both"/>
              <w:rPr>
                <w:sz w:val="20"/>
              </w:rPr>
            </w:pPr>
            <w:r>
              <w:rPr>
                <w:sz w:val="20"/>
              </w:rPr>
              <w:t>Åtgärder för att minska sediment från markerosion och ytvattenavrinning.</w:t>
            </w:r>
          </w:p>
        </w:tc>
      </w:tr>
      <w:tr w:rsidR="000215C5" w:rsidTr="00D33870">
        <w:trPr>
          <w:cantSplit/>
        </w:trPr>
        <w:tc>
          <w:tcPr>
            <w:tcW w:w="915" w:type="dxa"/>
            <w:shd w:val="clear" w:color="auto" w:fill="auto"/>
          </w:tcPr>
          <w:p w:rsidR="000215C5" w:rsidRDefault="00703023">
            <w:pPr>
              <w:spacing w:after="0"/>
              <w:jc w:val="both"/>
              <w:rPr>
                <w:sz w:val="20"/>
              </w:rPr>
            </w:pPr>
            <w:r>
              <w:rPr>
                <w:sz w:val="20"/>
              </w:rPr>
              <w:t>18</w:t>
            </w:r>
          </w:p>
        </w:tc>
        <w:tc>
          <w:tcPr>
            <w:tcW w:w="8739" w:type="dxa"/>
            <w:shd w:val="clear" w:color="auto" w:fill="auto"/>
          </w:tcPr>
          <w:p w:rsidR="000215C5" w:rsidRDefault="00703023">
            <w:pPr>
              <w:spacing w:after="0"/>
              <w:jc w:val="both"/>
              <w:rPr>
                <w:sz w:val="20"/>
              </w:rPr>
            </w:pPr>
            <w:r>
              <w:rPr>
                <w:sz w:val="20"/>
              </w:rPr>
              <w:t>Åtgärder för att förhindra eller reglera negativa effekter av invasiva främmande arter och införda sjukdomar.</w:t>
            </w:r>
          </w:p>
        </w:tc>
      </w:tr>
      <w:tr w:rsidR="000215C5" w:rsidTr="00D33870">
        <w:trPr>
          <w:cantSplit/>
        </w:trPr>
        <w:tc>
          <w:tcPr>
            <w:tcW w:w="915" w:type="dxa"/>
            <w:shd w:val="clear" w:color="auto" w:fill="auto"/>
          </w:tcPr>
          <w:p w:rsidR="000215C5" w:rsidRDefault="00703023">
            <w:pPr>
              <w:spacing w:after="0"/>
              <w:jc w:val="both"/>
              <w:rPr>
                <w:sz w:val="20"/>
              </w:rPr>
            </w:pPr>
            <w:r>
              <w:rPr>
                <w:sz w:val="20"/>
              </w:rPr>
              <w:t>19</w:t>
            </w:r>
          </w:p>
        </w:tc>
        <w:tc>
          <w:tcPr>
            <w:tcW w:w="8739" w:type="dxa"/>
            <w:shd w:val="clear" w:color="auto" w:fill="auto"/>
          </w:tcPr>
          <w:p w:rsidR="000215C5" w:rsidRDefault="00703023">
            <w:pPr>
              <w:spacing w:after="0"/>
              <w:jc w:val="both"/>
              <w:rPr>
                <w:sz w:val="20"/>
              </w:rPr>
            </w:pPr>
            <w:r>
              <w:rPr>
                <w:sz w:val="20"/>
              </w:rPr>
              <w:t>Åtgärder för att förhindra eller reglera negativa effekter av rekreation, inklusive sportfiske.</w:t>
            </w:r>
          </w:p>
        </w:tc>
      </w:tr>
      <w:tr w:rsidR="000215C5" w:rsidTr="00D33870">
        <w:trPr>
          <w:cantSplit/>
        </w:trPr>
        <w:tc>
          <w:tcPr>
            <w:tcW w:w="915" w:type="dxa"/>
            <w:shd w:val="clear" w:color="auto" w:fill="auto"/>
          </w:tcPr>
          <w:p w:rsidR="000215C5" w:rsidRDefault="00703023">
            <w:pPr>
              <w:spacing w:after="0"/>
              <w:jc w:val="both"/>
              <w:rPr>
                <w:sz w:val="20"/>
              </w:rPr>
            </w:pPr>
            <w:r>
              <w:rPr>
                <w:sz w:val="20"/>
              </w:rPr>
              <w:t>20</w:t>
            </w:r>
          </w:p>
        </w:tc>
        <w:tc>
          <w:tcPr>
            <w:tcW w:w="8739" w:type="dxa"/>
            <w:shd w:val="clear" w:color="auto" w:fill="auto"/>
          </w:tcPr>
          <w:p w:rsidR="000215C5" w:rsidRDefault="00703023">
            <w:pPr>
              <w:spacing w:after="0"/>
              <w:jc w:val="both"/>
              <w:rPr>
                <w:sz w:val="20"/>
              </w:rPr>
            </w:pPr>
            <w:r>
              <w:rPr>
                <w:sz w:val="20"/>
              </w:rPr>
              <w:t>Åtgärder för att förhindra eller reglera negativa effekter av fiske och annat utnyttjande/avlägsnande av djur och växter.</w:t>
            </w:r>
          </w:p>
        </w:tc>
      </w:tr>
      <w:tr w:rsidR="000215C5" w:rsidTr="00D33870">
        <w:trPr>
          <w:cantSplit/>
        </w:trPr>
        <w:tc>
          <w:tcPr>
            <w:tcW w:w="915" w:type="dxa"/>
            <w:shd w:val="clear" w:color="auto" w:fill="auto"/>
          </w:tcPr>
          <w:p w:rsidR="000215C5" w:rsidRDefault="00703023">
            <w:pPr>
              <w:spacing w:after="0"/>
              <w:jc w:val="both"/>
              <w:rPr>
                <w:sz w:val="20"/>
              </w:rPr>
            </w:pPr>
            <w:r>
              <w:rPr>
                <w:sz w:val="20"/>
              </w:rPr>
              <w:t>21</w:t>
            </w:r>
          </w:p>
        </w:tc>
        <w:tc>
          <w:tcPr>
            <w:tcW w:w="8739" w:type="dxa"/>
            <w:shd w:val="clear" w:color="auto" w:fill="auto"/>
          </w:tcPr>
          <w:p w:rsidR="000215C5" w:rsidRDefault="00703023">
            <w:pPr>
              <w:spacing w:after="0"/>
              <w:jc w:val="both"/>
              <w:rPr>
                <w:sz w:val="20"/>
              </w:rPr>
            </w:pPr>
            <w:r>
              <w:rPr>
                <w:sz w:val="20"/>
              </w:rPr>
              <w:t>Åtgärder för att förhindra eller reglera tillförsel av förorenande ämnen från tätorter, transport och anlagd infrastruktur.</w:t>
            </w:r>
          </w:p>
        </w:tc>
      </w:tr>
      <w:tr w:rsidR="000215C5" w:rsidTr="00D33870">
        <w:trPr>
          <w:cantSplit/>
        </w:trPr>
        <w:tc>
          <w:tcPr>
            <w:tcW w:w="915" w:type="dxa"/>
            <w:shd w:val="clear" w:color="auto" w:fill="auto"/>
          </w:tcPr>
          <w:p w:rsidR="000215C5" w:rsidRDefault="00703023">
            <w:pPr>
              <w:spacing w:after="0"/>
              <w:jc w:val="both"/>
              <w:rPr>
                <w:sz w:val="20"/>
              </w:rPr>
            </w:pPr>
            <w:r>
              <w:rPr>
                <w:sz w:val="20"/>
              </w:rPr>
              <w:t>22</w:t>
            </w:r>
          </w:p>
        </w:tc>
        <w:tc>
          <w:tcPr>
            <w:tcW w:w="8739" w:type="dxa"/>
            <w:shd w:val="clear" w:color="auto" w:fill="auto"/>
          </w:tcPr>
          <w:p w:rsidR="000215C5" w:rsidRDefault="00703023">
            <w:pPr>
              <w:spacing w:after="0"/>
              <w:jc w:val="both"/>
              <w:rPr>
                <w:sz w:val="20"/>
              </w:rPr>
            </w:pPr>
            <w:r>
              <w:rPr>
                <w:sz w:val="20"/>
              </w:rPr>
              <w:t>Åtgärder för att förhindra eller reglera tillförsel av förorenande ämnen från skogsbruket.</w:t>
            </w:r>
          </w:p>
        </w:tc>
      </w:tr>
      <w:tr w:rsidR="000215C5" w:rsidTr="00D33870">
        <w:trPr>
          <w:cantSplit/>
        </w:trPr>
        <w:tc>
          <w:tcPr>
            <w:tcW w:w="915" w:type="dxa"/>
            <w:shd w:val="clear" w:color="auto" w:fill="auto"/>
          </w:tcPr>
          <w:p w:rsidR="000215C5" w:rsidRDefault="00703023">
            <w:pPr>
              <w:spacing w:after="0"/>
              <w:jc w:val="both"/>
              <w:rPr>
                <w:sz w:val="20"/>
              </w:rPr>
            </w:pPr>
            <w:r>
              <w:rPr>
                <w:sz w:val="20"/>
              </w:rPr>
              <w:t>23</w:t>
            </w:r>
          </w:p>
        </w:tc>
        <w:tc>
          <w:tcPr>
            <w:tcW w:w="8739" w:type="dxa"/>
            <w:shd w:val="clear" w:color="auto" w:fill="auto"/>
          </w:tcPr>
          <w:p w:rsidR="000215C5" w:rsidRDefault="00703023">
            <w:pPr>
              <w:spacing w:after="0"/>
              <w:jc w:val="both"/>
              <w:rPr>
                <w:sz w:val="20"/>
              </w:rPr>
            </w:pPr>
            <w:r>
              <w:rPr>
                <w:sz w:val="20"/>
              </w:rPr>
              <w:t>Åtgärder för naturlig vattenbindning.</w:t>
            </w:r>
          </w:p>
        </w:tc>
      </w:tr>
      <w:tr w:rsidR="000215C5" w:rsidTr="00D33870">
        <w:trPr>
          <w:cantSplit/>
        </w:trPr>
        <w:tc>
          <w:tcPr>
            <w:tcW w:w="915" w:type="dxa"/>
            <w:shd w:val="clear" w:color="auto" w:fill="auto"/>
          </w:tcPr>
          <w:p w:rsidR="000215C5" w:rsidRDefault="00703023">
            <w:pPr>
              <w:spacing w:after="0"/>
              <w:jc w:val="both"/>
              <w:rPr>
                <w:sz w:val="20"/>
              </w:rPr>
            </w:pPr>
            <w:r>
              <w:rPr>
                <w:sz w:val="20"/>
              </w:rPr>
              <w:t>24</w:t>
            </w:r>
          </w:p>
        </w:tc>
        <w:tc>
          <w:tcPr>
            <w:tcW w:w="8739" w:type="dxa"/>
            <w:shd w:val="clear" w:color="auto" w:fill="auto"/>
          </w:tcPr>
          <w:p w:rsidR="000215C5" w:rsidRDefault="00703023">
            <w:pPr>
              <w:spacing w:after="0"/>
              <w:jc w:val="both"/>
              <w:rPr>
                <w:sz w:val="20"/>
              </w:rPr>
            </w:pPr>
            <w:r>
              <w:rPr>
                <w:sz w:val="20"/>
              </w:rPr>
              <w:t>Anpassning till klimatförändringarna.</w:t>
            </w:r>
          </w:p>
        </w:tc>
      </w:tr>
      <w:tr w:rsidR="000215C5" w:rsidTr="00D33870">
        <w:trPr>
          <w:cantSplit/>
        </w:trPr>
        <w:tc>
          <w:tcPr>
            <w:tcW w:w="915" w:type="dxa"/>
            <w:shd w:val="clear" w:color="auto" w:fill="auto"/>
          </w:tcPr>
          <w:p w:rsidR="000215C5" w:rsidRDefault="00703023">
            <w:pPr>
              <w:spacing w:after="0"/>
              <w:jc w:val="both"/>
              <w:rPr>
                <w:sz w:val="20"/>
              </w:rPr>
            </w:pPr>
            <w:r>
              <w:rPr>
                <w:sz w:val="20"/>
              </w:rPr>
              <w:t>25</w:t>
            </w:r>
          </w:p>
        </w:tc>
        <w:tc>
          <w:tcPr>
            <w:tcW w:w="8739" w:type="dxa"/>
            <w:shd w:val="clear" w:color="auto" w:fill="auto"/>
          </w:tcPr>
          <w:p w:rsidR="000215C5" w:rsidRDefault="00703023">
            <w:pPr>
              <w:spacing w:after="0"/>
              <w:jc w:val="both"/>
              <w:rPr>
                <w:sz w:val="20"/>
              </w:rPr>
            </w:pPr>
            <w:r>
              <w:rPr>
                <w:sz w:val="20"/>
              </w:rPr>
              <w:t>Åtgärder för att motverka försurning.</w:t>
            </w:r>
          </w:p>
        </w:tc>
      </w:tr>
    </w:tbl>
    <w:p w:rsidR="000215C5" w:rsidRDefault="000215C5">
      <w:pPr>
        <w:spacing w:after="0"/>
        <w:jc w:val="both"/>
        <w:rPr>
          <w:sz w:val="20"/>
        </w:rPr>
      </w:pPr>
    </w:p>
    <w:p w:rsidR="000215C5" w:rsidRDefault="00703023">
      <w:pPr>
        <w:pStyle w:val="Rubrik3"/>
      </w:pPr>
      <w:bookmarkStart w:id="707" w:name="_Toc388280352"/>
      <w:r>
        <w:t>Kartläggning av centrala åtgärdstyper</w:t>
      </w:r>
      <w:bookmarkEnd w:id="707"/>
    </w:p>
    <w:p w:rsidR="000215C5" w:rsidRDefault="00703023">
      <w:pPr>
        <w:jc w:val="both"/>
      </w:pPr>
      <w:r>
        <w:t>Vägledning ges om hur centrala åtgärdstyper kan tillämpas på betydande påverkan och kemiska ämnen som leder till att målen inte uppnås. Detta görs genom att betydande påverkan, kemiska ämnen som leder till att god status inte uppnås eller andra relevanta mål samt RBSP som leder till att god ekologisk status eller potential inte uppnås kartläggs mot de fördefinierade centrala åtgärdstyperna. Fler än en central åtgärdstyp kan vara tillämplig på en viss typ av påverkan eller ett visst ämne beroende på effekterna av påverkan (t.ex. förorening av näringsämnen, organiska eller kemiska föroreningar) och de särskilda förhållanden som råder i varje medlemsstat. Resultaten av den vägledande kartläggningen av påverkan mot KTM ges i bilaga 3.</w:t>
      </w:r>
    </w:p>
    <w:p w:rsidR="000215C5" w:rsidRDefault="00703023">
      <w:pPr>
        <w:pStyle w:val="Rubrik3"/>
      </w:pPr>
      <w:bookmarkStart w:id="708" w:name="_Toc388280353"/>
      <w:r>
        <w:t>Kvantitativa indikatorer för omfattningen av olika typer av påverkan</w:t>
      </w:r>
      <w:bookmarkEnd w:id="708"/>
    </w:p>
    <w:p w:rsidR="000215C5" w:rsidRDefault="00703023">
      <w:pPr>
        <w:jc w:val="both"/>
      </w:pPr>
      <w:r>
        <w:t>Dessutom ges kvantitativa indikatorer för omfattningen av olika typer av påverkan eller kemiska ämnen som leder till att målen inte uppnås för varje typ av betydande påverkan och generellt för prioriterade ämnen eller RBSP. Dessa kvantitativa indikatorer är avsedda att ge information om den lucka som förväntas uppstå och som måste fyllas när den andra planeringscykeln inleds 2015 när det gäller omfattningen av den påverkan som måste minskas för att uppnå vattendirektivets miljömål. Den lucka som måste fyllas när det gäller målet att uppnå god ekologisk status eller potential motsvarar den nödvändiga minskningen av påverkan (t.ex. belastning av näringsämnen) så att vattenförekomster som har (eller förväntas ha) sämre än god status eller potential 2015 uppnår god status eller potential. Värden för de kvantitativa indikatorerna krävs även för 2021 och 2027, för att visa i hur stor utsträckning påverkan måste minskas ytterligare för att uppnå vattendirektivets mål. Värdena för 2021 och 2027 förväntas därför bli lägre än värdet för 2015.</w:t>
      </w:r>
    </w:p>
    <w:p w:rsidR="000215C5" w:rsidRDefault="00703023">
      <w:pPr>
        <w:jc w:val="both"/>
      </w:pPr>
      <w:r>
        <w:t>Medlemsstaterna rekommenderas att rapportera en standardindikator för varje typ av påverkan eller kemiskt ämne (antal och längd/yta för vattenförekomster som berörs av den relevanta typen av betydande påverkan eller det berörda kemiska ämnet), och minst en fördefinierad indikator som är särskilt relevant för den individuella påverkan eller det individuella kemiska ämnet (här kan medlemsstaterna rapportera så många de vill). Å ena sidan kommer detta att ge jämförbar information om utgångspunkten och förväntade framsteg (med hjälp av standardindikatorn), och å andra sidan kan medlemsstaterna välja den indikator för påverkan eller kemiskt ämne som är lämpligast för deras särskilda förhållanden eller som det finns lättillgänglig information om. Om medlemsstaterna inte kan rapportera de fördefinierade kvantitativa indikatorerna får de välja och rapportera egna kvantitativa indikatorer som bäst motsvarar deras särskilda förhållanden och situation. Förteckningen över de fördefinierade indikatorerna återfinns i bilaga 3.</w:t>
      </w:r>
    </w:p>
    <w:p w:rsidR="000215C5" w:rsidRDefault="00703023">
      <w:pPr>
        <w:jc w:val="both"/>
      </w:pPr>
      <w:r>
        <w:t>Kvantitativa indikatorer anses utgöra ett förvaltningsverktyg och är den bästa uppskattning som medlemsstaterna kan lämna för att visa hur långt de har kvar för att uppnå god status eller potential och förväntade framsteg till en viss tidsfrist. Precis som alla processer i planeringscykeln är kvantifieringen av påverkan föremål för osäkerheter. I vissa fall finns inte uppgifter och information tillgängliga för att ta fram en användbar kvantitativ indikator. Så kan särskilt vara fallet för vissa typer av påverkan som är svårare att kvantifiera och/eller komplexa avrinningsdistrikt som är utsatta för många typer av påverkan, där det är svårt att skilja mellan påverkan och åtgärder.</w:t>
      </w:r>
    </w:p>
    <w:p w:rsidR="000215C5" w:rsidRDefault="00703023">
      <w:pPr>
        <w:jc w:val="both"/>
      </w:pPr>
      <w:r>
        <w:t>Medlemsstaterna uppmanas därför att rapportera så många kvantitativa indikatorer som de kan. När det gäller påverkan ska de rapportera om informationen finns tillgänglig eller kan härledas med rimliga ansträngningar. Om medlemsstaterna inte rapporterar kvantitativa indikatorer för påverkan i detta avseende anses detta inte utgöra bristande efterlevnad av vattendirektivets bestämmelser. Som ett alternativ kan medlemsstaterna använda andra stödjande verktyg för att utvärdera påverkan och åtgärdernas effekter. I sådana fall ska en hänvisning till dessa förvaltningsverktyg anges.</w:t>
      </w:r>
    </w:p>
    <w:p w:rsidR="000215C5" w:rsidRDefault="00703023">
      <w:pPr>
        <w:jc w:val="both"/>
      </w:pPr>
      <w:r>
        <w:t xml:space="preserve">Indikatorerna ska utformas på ett sådant sätt att de representerar luckan för att uppnå god status eller potential för varje typ av betydande påverkan. En indikator som har värdet 0 avser en nivå av påverkan som </w:t>
      </w:r>
      <w:r>
        <w:rPr>
          <w:u w:val="single"/>
        </w:rPr>
        <w:t>motsvarar</w:t>
      </w:r>
      <w:r>
        <w:t xml:space="preserve"> 100 % god status eller potential, vilket innebär att indikatorn skulle göra det möjligt för de berörda vattenförekomsterna att uppnå god status eller potential. Med tanke på att de berörda vattenförekomsterna kan vara utsatta för andra typer av påverkan kanske de ändå inte uppnår god status eller potential. God status eller potential kanske inte heller uppnås omedelbart till följd av naturliga förhållanden eller en fördröjd reaktion från ekosystemet.</w:t>
      </w:r>
    </w:p>
    <w:p w:rsidR="000215C5" w:rsidRDefault="00703023">
      <w:pPr>
        <w:jc w:val="both"/>
      </w:pPr>
      <w:r>
        <w:t>Rapporteringen av kvantitativa indikatorer för 2027 är valfri. Om en indikator har ett värde som är större än 0 år 2027 tolkas som att medlemsstaten kommer att hänvisa till artikel 4.5 och ställa upp lägre miljömål. Alternativt och om information finns tillgänglig kan medlemsstaten ange om den planerar att tillämpa artikel 4.5 för den sista planeringscykeln (dvs. procentintervallet för de vattenförekomster som inte förväntas uppnå god status 2027).</w:t>
      </w:r>
    </w:p>
    <w:p w:rsidR="000215C5" w:rsidRDefault="00703023">
      <w:pPr>
        <w:pStyle w:val="Rubrik3"/>
      </w:pPr>
      <w:bookmarkStart w:id="709" w:name="_Toc388280354"/>
      <w:r>
        <w:t>Kvantitativa indikatorer för omfattning och framsteg mot genomförandet av åtgärder</w:t>
      </w:r>
      <w:bookmarkEnd w:id="709"/>
    </w:p>
    <w:p w:rsidR="000215C5" w:rsidRDefault="00703023">
      <w:pPr>
        <w:jc w:val="both"/>
      </w:pPr>
      <w:r>
        <w:t>En eller flera kvantitativa indikatorer har fördefinierats för varje central åtgärdstyp. Dessa indikatorer är avsedda att ge information om omfattningen av den åtgärd som förväntas minska påverkan till nivåer där vattendirektivets miljömål kan uppnås. Värdet på indikatorn vid inledandet av den andra planeringscykeln 2015 ger information om åtgärdens omfattning (t.ex. antalet anläggningar för rening av avloppsvatten som behöver uppgraderas, antalet hinder som måste ändras för att möjliggöra kontinuitet, minskad längd på buffertar för att minska diffusa utsläpp osv.), och som skulle minska påverkan till en nivå där de berörda vattenförekomsterna kan uppnå vattendirektivets miljömål. I likhet med påverkan kanske det inte är tillräckligt att genomföra vissa centrala åtgärdstyper för att uppnå målen om flera olika typer av påverkan spelar in.</w:t>
      </w:r>
    </w:p>
    <w:p w:rsidR="000215C5" w:rsidRDefault="00703023">
      <w:pPr>
        <w:jc w:val="both"/>
      </w:pPr>
      <w:r>
        <w:t>Värden för de kvantitativa indikatorerna krävs även för 2021 och 2027 i syfte att ge information om åtgärdernas förväntade framsteg under den andra och tredje planeringscykeln. Om alla åtgärder som planerades 2015 genomförs fullständigt och är operativa till 2021 blir värdet 0 för indikatorn år 2021. Om värdena för indikatorn 2015 och 2021 är desamma betyder det att inga framsteg förväntas mellan dessa år (dvs. under den andra planeringscykeln). Indikatorvärdena bör minska allteftersom framsteg görs i genomförandet av åtgärderna.</w:t>
      </w:r>
    </w:p>
    <w:p w:rsidR="000215C5" w:rsidRDefault="00703023">
      <w:pPr>
        <w:jc w:val="both"/>
      </w:pPr>
      <w:r>
        <w:t>Medlemsstaterna kan välja så många av de fördefinierade kvantitativa indikatorerna för genomförandet av de centrala åtgärdstyperna som de anser vara lämpligt för deras förhållanden och situation, men ska välja minst en fördefinierad indikator för varje KTM. De kan också välja och rapportera sina egna kvantitativa indikatorer som bäst motsvarar deras särskilda förhållanden och situation. De fördefinierade indikatorerna anges i bilaga 3.</w:t>
      </w:r>
    </w:p>
    <w:p w:rsidR="000215C5" w:rsidRDefault="00703023">
      <w:pPr>
        <w:jc w:val="both"/>
      </w:pPr>
      <w:r>
        <w:t xml:space="preserve">Kvantifieringen av åtgärder för att uppnå vattendirektivets miljömål anses ingå i direktivets genomförande. Det kan dock vara en utmanande uppgift, särskilt när det gäller typer av påverkan där förhållandet mellan påverkan och åtgärd är osäkrare och även i komplexa avrinningsdistrikt som är utsatta för många former av påverkan. I vissa fall finns inte uppgifter och information tillgängliga för att ta fram en användbar kvantitativ indikator. </w:t>
      </w:r>
    </w:p>
    <w:p w:rsidR="000215C5" w:rsidRDefault="00703023">
      <w:pPr>
        <w:jc w:val="both"/>
      </w:pPr>
      <w:r>
        <w:t>I likhet med kvantitativa indikatorer för påverkan uppmanas medlemsstaterna därför att rapportera så många kvantitativa indikatorer för åtgärder som de kan som det finns information för eller där informationen kan härledas med rimliga ansträngningar. Om medlemsstaterna inte rapporterar kvantitativa indikatorer för åtgärder i detta avseende anses detta inte utgöra bristande efterlevnad av vattendirektivets bestämmelser. Som ett alternativ kan medlemsstaterna använda andra stödjande verktyg för att utvärdera påverkan och åtgärdernas effekter. I sådana fall ska en hänvisning till dessa förvaltningsverktyg anges.</w:t>
      </w:r>
    </w:p>
    <w:p w:rsidR="000215C5" w:rsidRDefault="00703023">
      <w:pPr>
        <w:jc w:val="both"/>
      </w:pPr>
      <w:r>
        <w:t xml:space="preserve">KTM kan vara relevanta för fler än en typ av påverkan och fler än en KTM kan vara tillämplig på en typ av påverkan. Detta kräver en flexibel rapporteringsstruktur. Samma betydande påverkan kan rapporteras fler än en gång om den är kopplad till flera KTM. I tabellen nedan ges ett exempel på detta för diffusa föroreningar i jordbruket, där KTM2 och KTM3 är relevanta. </w:t>
      </w:r>
    </w:p>
    <w:p w:rsidR="000215C5" w:rsidRDefault="00703023">
      <w:pPr>
        <w:jc w:val="both"/>
      </w:pPr>
      <w:r>
        <w:t>Det kommer att vara möjligt att lägga till nya KTM som är viktiga i ett visst avrinningsdistrikt om den betydande påverkan som är föremål för åtgärderna inte täcks av någon av de fördefinierade KTM. I sådana fall ska medlemsstaterna även rapportera en kvantitativ indikator för åtgärdens förväntade framsteg under den andra planeringscykeln, inklusive en definition av indikatorn, enheter, det värde som motsvarar situationen 2015 och den förväntade situationen 2021 i slutet av den andra planeringscykeln.</w:t>
      </w:r>
    </w:p>
    <w:p w:rsidR="000215C5" w:rsidRDefault="00703023">
      <w:pPr>
        <w:jc w:val="both"/>
      </w:pPr>
      <w:r>
        <w:t xml:space="preserve">Indikatorerna ska utformas på ett sådant sätt att de representerar luckan för att uppnå god status eller potential för varje typ av åtgärd. En indikator som har värdet 0 avser en KTM som </w:t>
      </w:r>
      <w:r>
        <w:rPr>
          <w:u w:val="single"/>
        </w:rPr>
        <w:t>motsvarar</w:t>
      </w:r>
      <w:r>
        <w:t xml:space="preserve"> 100 % god status eller potential, vilket innebär att indikatorn skulle göra det möjligt för de berörda vattenförekomsterna att uppnå god status eller potential. Med tanke på att de berörda vattenförekomsterna kan omfattas av andra KTM kanske de ändå inte uppnår god status eller potential. God status eller potential kanske inte heller uppnås omedelbart till följd av naturliga förhållanden eller en fördröjd reaktion från ekosystemet. Eventuella nya KTM som rapporteras av medlemsstaterna ska vara utformade på samma sätt.</w:t>
      </w:r>
    </w:p>
    <w:p w:rsidR="000215C5" w:rsidRDefault="00703023">
      <w:pPr>
        <w:jc w:val="both"/>
      </w:pPr>
      <w:r>
        <w:t>Rapporteringen av kvantitativa indikatorer för 2027 är valfri. Om en KTM har ett värde som är större än 0 år 2027 tolkas som att medlemsstaten kommer att hänvisa till artikel 4.5 och ställa upp lägre miljömål Alternativt och om information finns tillgänglig kan medlemsstaten ange om den planerar att tillämpa artikel 4.5 för den sista planeringscykeln (dvs. procentintervallet för de vattenförekomster som inte förväntas uppnå god status 2027).</w:t>
      </w:r>
    </w:p>
    <w:p w:rsidR="000215C5" w:rsidRDefault="00703023">
      <w:pPr>
        <w:jc w:val="both"/>
      </w:pPr>
      <w:r>
        <w:t>Följande tabell visar ett exempel på den typ av information som kan härledas från rapporteringen (tabellen är ett teoretiskt exempel som endast ges i illustrativt syfte).</w:t>
      </w:r>
    </w:p>
    <w:p w:rsidR="000215C5" w:rsidRDefault="000215C5">
      <w:pPr>
        <w:jc w:val="both"/>
      </w:pPr>
    </w:p>
    <w:p w:rsidR="000215C5" w:rsidRDefault="000215C5">
      <w:pPr>
        <w:jc w:val="both"/>
        <w:sectPr w:rsidR="000215C5">
          <w:headerReference w:type="default" r:id="rId27"/>
          <w:footerReference w:type="default" r:id="rId28"/>
          <w:headerReference w:type="first" r:id="rId29"/>
          <w:footerReference w:type="first" r:id="rId30"/>
          <w:pgSz w:w="11906" w:h="16838"/>
          <w:pgMar w:top="1021" w:right="851" w:bottom="1021" w:left="1418" w:header="601" w:footer="1077" w:gutter="0"/>
          <w:cols w:space="720"/>
          <w:docGrid w:linePitch="326"/>
        </w:sectPr>
      </w:pPr>
    </w:p>
    <w:p w:rsidR="000215C5" w:rsidRDefault="00703023">
      <w:pPr>
        <w:jc w:val="both"/>
      </w:pPr>
      <w:r>
        <w:t>För ett visst avrinningsdistrikt/delavrinningsdistrikt:</w:t>
      </w:r>
    </w:p>
    <w:tbl>
      <w:tblPr>
        <w:tblW w:w="149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123"/>
        <w:gridCol w:w="1307"/>
        <w:gridCol w:w="1231"/>
        <w:gridCol w:w="1148"/>
        <w:gridCol w:w="1056"/>
        <w:gridCol w:w="1126"/>
        <w:gridCol w:w="1408"/>
        <w:gridCol w:w="1371"/>
        <w:gridCol w:w="1573"/>
        <w:gridCol w:w="1417"/>
        <w:gridCol w:w="1418"/>
      </w:tblGrid>
      <w:tr w:rsidR="000215C5" w:rsidTr="00B20748">
        <w:trPr>
          <w:cantSplit/>
          <w:tblHeader/>
        </w:trPr>
        <w:tc>
          <w:tcPr>
            <w:tcW w:w="735"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B20748">
              <w:rPr>
                <w:rFonts w:ascii="Calibri" w:hAnsi="Calibri"/>
                <w:color w:val="000000"/>
                <w:sz w:val="18"/>
              </w:rPr>
              <w:t>-</w:t>
            </w:r>
            <w:r>
              <w:rPr>
                <w:rFonts w:ascii="Calibri" w:hAnsi="Calibri"/>
                <w:color w:val="000000"/>
                <w:sz w:val="18"/>
              </w:rPr>
              <w:t>vatten eller grund</w:t>
            </w:r>
            <w:r w:rsidR="00B20748">
              <w:rPr>
                <w:rFonts w:ascii="Calibri" w:hAnsi="Calibri"/>
                <w:color w:val="000000"/>
                <w:sz w:val="18"/>
              </w:rPr>
              <w:t>-</w:t>
            </w:r>
            <w:r>
              <w:rPr>
                <w:rFonts w:ascii="Calibri" w:hAnsi="Calibri"/>
                <w:color w:val="000000"/>
                <w:sz w:val="18"/>
              </w:rPr>
              <w:t>vatten</w:t>
            </w:r>
          </w:p>
        </w:tc>
        <w:tc>
          <w:tcPr>
            <w:tcW w:w="1123"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Betydande påverkan eller ämne som leder till att målen inte uppnås</w:t>
            </w:r>
          </w:p>
        </w:tc>
        <w:tc>
          <w:tcPr>
            <w:tcW w:w="1307"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Procent</w:t>
            </w:r>
            <w:r w:rsidR="00B20748">
              <w:rPr>
                <w:rFonts w:ascii="Calibri" w:hAnsi="Calibri"/>
                <w:color w:val="000000"/>
                <w:sz w:val="18"/>
              </w:rPr>
              <w:t>-</w:t>
            </w:r>
            <w:r>
              <w:rPr>
                <w:rFonts w:ascii="Calibri" w:hAnsi="Calibri"/>
                <w:color w:val="000000"/>
                <w:sz w:val="18"/>
              </w:rPr>
              <w:t>andel vattenföre</w:t>
            </w:r>
            <w:r w:rsidR="00B20748">
              <w:rPr>
                <w:rFonts w:ascii="Calibri" w:hAnsi="Calibri"/>
                <w:color w:val="000000"/>
                <w:sz w:val="18"/>
              </w:rPr>
              <w:t>-</w:t>
            </w:r>
            <w:r>
              <w:rPr>
                <w:rFonts w:ascii="Calibri" w:hAnsi="Calibri"/>
                <w:color w:val="000000"/>
                <w:sz w:val="18"/>
              </w:rPr>
              <w:t>komster som utsätts för betydande påverkan eller ämnen som leder till att målen inte uppnås</w:t>
            </w:r>
          </w:p>
        </w:tc>
        <w:tc>
          <w:tcPr>
            <w:tcW w:w="1231"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Indikator för påverkan (posten IndicatorGap)</w:t>
            </w:r>
          </w:p>
        </w:tc>
        <w:tc>
          <w:tcPr>
            <w:tcW w:w="1148"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Indikator för omfatt</w:t>
            </w:r>
            <w:r w:rsidR="00B20748">
              <w:rPr>
                <w:rFonts w:ascii="Calibri" w:hAnsi="Calibri"/>
                <w:color w:val="000000"/>
                <w:sz w:val="18"/>
              </w:rPr>
              <w:t>-</w:t>
            </w:r>
            <w:r>
              <w:rPr>
                <w:rFonts w:ascii="Calibri" w:hAnsi="Calibri"/>
                <w:color w:val="000000"/>
                <w:sz w:val="18"/>
              </w:rPr>
              <w:t>ningen av påverkan 2015 (indikator</w:t>
            </w:r>
            <w:r w:rsidR="00B20748">
              <w:rPr>
                <w:rFonts w:ascii="Calibri" w:hAnsi="Calibri"/>
                <w:color w:val="000000"/>
                <w:sz w:val="18"/>
              </w:rPr>
              <w:t>-</w:t>
            </w:r>
            <w:r>
              <w:rPr>
                <w:rFonts w:ascii="Calibri" w:hAnsi="Calibri"/>
                <w:color w:val="000000"/>
                <w:sz w:val="18"/>
              </w:rPr>
              <w:t>värde Gap2015)</w:t>
            </w:r>
          </w:p>
        </w:tc>
        <w:tc>
          <w:tcPr>
            <w:tcW w:w="1056"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Indikator för omfatt</w:t>
            </w:r>
            <w:r w:rsidR="00B20748">
              <w:rPr>
                <w:rFonts w:ascii="Calibri" w:hAnsi="Calibri"/>
                <w:color w:val="000000"/>
                <w:sz w:val="18"/>
              </w:rPr>
              <w:t>-</w:t>
            </w:r>
            <w:r>
              <w:rPr>
                <w:rFonts w:ascii="Calibri" w:hAnsi="Calibri"/>
                <w:color w:val="000000"/>
                <w:sz w:val="18"/>
              </w:rPr>
              <w:t>ningen av påverkan 2021 (indikator</w:t>
            </w:r>
            <w:r w:rsidR="00B20748">
              <w:rPr>
                <w:rFonts w:ascii="Calibri" w:hAnsi="Calibri"/>
                <w:color w:val="000000"/>
                <w:sz w:val="18"/>
              </w:rPr>
              <w:t>-</w:t>
            </w:r>
            <w:r>
              <w:rPr>
                <w:rFonts w:ascii="Calibri" w:hAnsi="Calibri"/>
                <w:color w:val="000000"/>
                <w:sz w:val="18"/>
              </w:rPr>
              <w:t>värde Gap2021)</w:t>
            </w:r>
          </w:p>
        </w:tc>
        <w:tc>
          <w:tcPr>
            <w:tcW w:w="1126"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Indikator för omfatt</w:t>
            </w:r>
            <w:r w:rsidR="00B20748">
              <w:rPr>
                <w:rFonts w:ascii="Calibri" w:hAnsi="Calibri"/>
                <w:color w:val="000000"/>
                <w:sz w:val="18"/>
              </w:rPr>
              <w:t>-</w:t>
            </w:r>
            <w:r>
              <w:rPr>
                <w:rFonts w:ascii="Calibri" w:hAnsi="Calibri"/>
                <w:color w:val="000000"/>
                <w:sz w:val="18"/>
              </w:rPr>
              <w:t>ningen av påverkan 2027 (indikator</w:t>
            </w:r>
            <w:r w:rsidR="00B20748">
              <w:rPr>
                <w:rFonts w:ascii="Calibri" w:hAnsi="Calibri"/>
                <w:color w:val="000000"/>
                <w:sz w:val="18"/>
              </w:rPr>
              <w:t>-</w:t>
            </w:r>
            <w:r>
              <w:rPr>
                <w:rFonts w:ascii="Calibri" w:hAnsi="Calibri"/>
                <w:color w:val="000000"/>
                <w:sz w:val="18"/>
              </w:rPr>
              <w:t>värde Gap2027)</w:t>
            </w:r>
          </w:p>
        </w:tc>
        <w:tc>
          <w:tcPr>
            <w:tcW w:w="1408"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KTM som används för att hantera påverkan eller ämnet</w:t>
            </w:r>
          </w:p>
        </w:tc>
        <w:tc>
          <w:tcPr>
            <w:tcW w:w="1371"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Indikator för KTM (KTM Indicator)</w:t>
            </w:r>
          </w:p>
        </w:tc>
        <w:tc>
          <w:tcPr>
            <w:tcW w:w="1573"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Indikator för den omfattning åtgärden måste ha för att uppnå 100 % GES/GEP/GCS (KTM Indicator Value2015)</w:t>
            </w:r>
          </w:p>
        </w:tc>
        <w:tc>
          <w:tcPr>
            <w:tcW w:w="1417"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Indikator för den omfattning som fortfarande krävs för att åtgärden ska uppnå 100 % GES/GEP/GCS (KTM Indicator Value2021)</w:t>
            </w:r>
          </w:p>
        </w:tc>
        <w:tc>
          <w:tcPr>
            <w:tcW w:w="1418" w:type="dxa"/>
            <w:shd w:val="clear" w:color="auto" w:fill="D9D9D9"/>
          </w:tcPr>
          <w:p w:rsidR="000215C5" w:rsidRDefault="00703023">
            <w:pPr>
              <w:spacing w:after="0"/>
              <w:jc w:val="both"/>
              <w:rPr>
                <w:rFonts w:ascii="Calibri" w:hAnsi="Calibri" w:cs="Calibri"/>
                <w:color w:val="000000"/>
                <w:sz w:val="18"/>
                <w:szCs w:val="22"/>
              </w:rPr>
            </w:pPr>
            <w:r>
              <w:rPr>
                <w:rFonts w:ascii="Calibri" w:hAnsi="Calibri"/>
                <w:color w:val="000000"/>
                <w:sz w:val="18"/>
              </w:rPr>
              <w:t>Indikator för den omfattning som fortfarande krävs för att åtgärden ska uppnå 100 % GES/GEP/GCS (KTM Indicator Value2027)</w:t>
            </w:r>
          </w:p>
        </w:tc>
      </w:tr>
      <w:tr w:rsidR="000215C5" w:rsidTr="00B20748">
        <w:trPr>
          <w:cantSplit/>
        </w:trPr>
        <w:tc>
          <w:tcPr>
            <w:tcW w:w="735" w:type="dxa"/>
            <w:vMerge w:val="restart"/>
            <w:vAlign w:val="center"/>
          </w:tcPr>
          <w:p w:rsidR="000215C5" w:rsidRDefault="00703023">
            <w:pPr>
              <w:jc w:val="both"/>
              <w:rPr>
                <w:rFonts w:ascii="Calibri" w:hAnsi="Calibri" w:cs="Calibri"/>
                <w:color w:val="000000"/>
                <w:sz w:val="18"/>
                <w:szCs w:val="22"/>
              </w:rPr>
            </w:pPr>
            <w:r>
              <w:rPr>
                <w:rFonts w:ascii="Calibri" w:hAnsi="Calibri"/>
                <w:color w:val="000000"/>
                <w:sz w:val="18"/>
              </w:rPr>
              <w:t>Yt</w:t>
            </w:r>
            <w:r w:rsidR="00B20748">
              <w:rPr>
                <w:rFonts w:ascii="Calibri" w:hAnsi="Calibri"/>
                <w:color w:val="000000"/>
                <w:sz w:val="18"/>
              </w:rPr>
              <w:t>-</w:t>
            </w:r>
            <w:r>
              <w:rPr>
                <w:rFonts w:ascii="Calibri" w:hAnsi="Calibri"/>
                <w:color w:val="000000"/>
                <w:sz w:val="18"/>
              </w:rPr>
              <w:t>vatten</w:t>
            </w:r>
          </w:p>
        </w:tc>
        <w:tc>
          <w:tcPr>
            <w:tcW w:w="1123"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1.1 Punkt</w:t>
            </w:r>
            <w:r w:rsidR="005E1D38">
              <w:rPr>
                <w:rFonts w:ascii="Calibri" w:hAnsi="Calibri"/>
                <w:color w:val="000000"/>
                <w:sz w:val="18"/>
              </w:rPr>
              <w:t>-</w:t>
            </w:r>
            <w:r>
              <w:rPr>
                <w:rFonts w:ascii="Calibri" w:hAnsi="Calibri"/>
                <w:color w:val="000000"/>
                <w:sz w:val="18"/>
              </w:rPr>
              <w:t>utsläpp – avlopps</w:t>
            </w:r>
            <w:r w:rsidR="00B20748">
              <w:rPr>
                <w:rFonts w:ascii="Calibri" w:hAnsi="Calibri"/>
                <w:color w:val="000000"/>
                <w:sz w:val="18"/>
              </w:rPr>
              <w:t>-</w:t>
            </w:r>
            <w:r>
              <w:rPr>
                <w:rFonts w:ascii="Calibri" w:hAnsi="Calibri"/>
                <w:color w:val="000000"/>
                <w:sz w:val="18"/>
              </w:rPr>
              <w:t>vatten från tätbe</w:t>
            </w:r>
            <w:r w:rsidR="00B20748">
              <w:rPr>
                <w:rFonts w:ascii="Calibri" w:hAnsi="Calibri"/>
                <w:color w:val="000000"/>
                <w:sz w:val="18"/>
              </w:rPr>
              <w:t>-</w:t>
            </w:r>
            <w:r>
              <w:rPr>
                <w:rFonts w:ascii="Calibri" w:hAnsi="Calibri"/>
                <w:color w:val="000000"/>
                <w:sz w:val="18"/>
              </w:rPr>
              <w:t>byggelse</w:t>
            </w:r>
          </w:p>
        </w:tc>
        <w:tc>
          <w:tcPr>
            <w:tcW w:w="1307"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25 %</w:t>
            </w:r>
          </w:p>
        </w:tc>
        <w:tc>
          <w:tcPr>
            <w:tcW w:w="1231" w:type="dxa"/>
            <w:shd w:val="clear" w:color="auto" w:fill="auto"/>
            <w:vAlign w:val="center"/>
          </w:tcPr>
          <w:p w:rsidR="000215C5" w:rsidRDefault="00703023">
            <w:pPr>
              <w:spacing w:after="0"/>
              <w:jc w:val="both"/>
              <w:rPr>
                <w:rFonts w:ascii="Calibri" w:hAnsi="Calibri" w:cs="Calibri"/>
                <w:color w:val="000000"/>
                <w:sz w:val="18"/>
              </w:rPr>
            </w:pPr>
            <w:r>
              <w:rPr>
                <w:rFonts w:ascii="Calibri" w:hAnsi="Calibri"/>
                <w:color w:val="000000"/>
                <w:sz w:val="18"/>
              </w:rPr>
              <w:t>Antal berörda vatten</w:t>
            </w:r>
            <w:r w:rsidR="00B20748">
              <w:rPr>
                <w:rFonts w:ascii="Calibri" w:hAnsi="Calibri"/>
                <w:color w:val="000000"/>
                <w:sz w:val="18"/>
              </w:rPr>
              <w:t>-</w:t>
            </w:r>
            <w:r>
              <w:rPr>
                <w:rFonts w:ascii="Calibri" w:hAnsi="Calibri"/>
                <w:color w:val="000000"/>
                <w:sz w:val="18"/>
              </w:rPr>
              <w:t xml:space="preserve">förekomster </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250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180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KTM1, byggande eller uppgradering av renings</w:t>
            </w:r>
            <w:r w:rsidR="00B20748">
              <w:rPr>
                <w:rFonts w:ascii="Calibri" w:hAnsi="Calibri"/>
                <w:color w:val="000000"/>
                <w:sz w:val="18"/>
              </w:rPr>
              <w:t>-</w:t>
            </w:r>
            <w:r>
              <w:rPr>
                <w:rFonts w:ascii="Calibri" w:hAnsi="Calibri"/>
                <w:color w:val="000000"/>
                <w:sz w:val="18"/>
              </w:rPr>
              <w:t>anläggning</w:t>
            </w:r>
          </w:p>
        </w:tc>
        <w:tc>
          <w:tcPr>
            <w:tcW w:w="1371"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Antalet renings</w:t>
            </w:r>
            <w:r w:rsidR="00B20748">
              <w:rPr>
                <w:rFonts w:ascii="Calibri" w:hAnsi="Calibri"/>
                <w:color w:val="000000"/>
                <w:sz w:val="18"/>
              </w:rPr>
              <w:t>-</w:t>
            </w:r>
            <w:r>
              <w:rPr>
                <w:rFonts w:ascii="Calibri" w:hAnsi="Calibri"/>
                <w:color w:val="000000"/>
                <w:sz w:val="18"/>
              </w:rPr>
              <w:t>anläggningar som ska byggas eller uppgraderas</w:t>
            </w:r>
          </w:p>
        </w:tc>
        <w:tc>
          <w:tcPr>
            <w:tcW w:w="1573"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53</w:t>
            </w:r>
          </w:p>
        </w:tc>
        <w:tc>
          <w:tcPr>
            <w:tcW w:w="1417"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25</w:t>
            </w:r>
          </w:p>
        </w:tc>
        <w:tc>
          <w:tcPr>
            <w:tcW w:w="1418"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0</w:t>
            </w:r>
          </w:p>
        </w:tc>
      </w:tr>
      <w:tr w:rsidR="000215C5" w:rsidTr="00B20748">
        <w:trPr>
          <w:cantSplit/>
        </w:trPr>
        <w:tc>
          <w:tcPr>
            <w:tcW w:w="735" w:type="dxa"/>
            <w:vMerge/>
            <w:vAlign w:val="center"/>
          </w:tcPr>
          <w:p w:rsidR="000215C5" w:rsidRDefault="000215C5">
            <w:pPr>
              <w:jc w:val="both"/>
              <w:rPr>
                <w:rFonts w:ascii="Calibri" w:hAnsi="Calibri" w:cs="Calibri"/>
                <w:color w:val="000000"/>
                <w:sz w:val="18"/>
                <w:szCs w:val="22"/>
              </w:rPr>
            </w:pPr>
          </w:p>
        </w:tc>
        <w:tc>
          <w:tcPr>
            <w:tcW w:w="1123" w:type="dxa"/>
            <w:vMerge/>
            <w:shd w:val="clear" w:color="auto" w:fill="auto"/>
            <w:vAlign w:val="center"/>
          </w:tcPr>
          <w:p w:rsidR="000215C5" w:rsidRDefault="000215C5">
            <w:pPr>
              <w:jc w:val="both"/>
              <w:rPr>
                <w:rFonts w:ascii="Calibri" w:hAnsi="Calibri" w:cs="Calibri"/>
                <w:color w:val="000000"/>
                <w:sz w:val="18"/>
                <w:szCs w:val="22"/>
              </w:rPr>
            </w:pPr>
          </w:p>
        </w:tc>
        <w:tc>
          <w:tcPr>
            <w:tcW w:w="1307" w:type="dxa"/>
            <w:vMerge/>
            <w:shd w:val="clear" w:color="auto" w:fill="auto"/>
            <w:vAlign w:val="center"/>
          </w:tcPr>
          <w:p w:rsidR="000215C5" w:rsidRDefault="000215C5">
            <w:pPr>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rPr>
            </w:pPr>
            <w:r>
              <w:rPr>
                <w:rFonts w:ascii="Calibri" w:hAnsi="Calibri"/>
                <w:color w:val="000000"/>
                <w:sz w:val="18"/>
              </w:rPr>
              <w:t>De berörda vatten</w:t>
            </w:r>
            <w:r w:rsidR="00B20748">
              <w:rPr>
                <w:rFonts w:ascii="Calibri" w:hAnsi="Calibri"/>
                <w:color w:val="000000"/>
                <w:sz w:val="18"/>
              </w:rPr>
              <w:t>-</w:t>
            </w:r>
            <w:r>
              <w:rPr>
                <w:rFonts w:ascii="Calibri" w:hAnsi="Calibri"/>
                <w:color w:val="000000"/>
                <w:sz w:val="18"/>
              </w:rPr>
              <w:t>förekomst</w:t>
            </w:r>
            <w:r w:rsidR="00B20748">
              <w:rPr>
                <w:rFonts w:ascii="Calibri" w:hAnsi="Calibri"/>
                <w:color w:val="000000"/>
                <w:sz w:val="18"/>
              </w:rPr>
              <w:t>-</w:t>
            </w:r>
            <w:r>
              <w:rPr>
                <w:rFonts w:ascii="Calibri" w:hAnsi="Calibri"/>
                <w:color w:val="000000"/>
                <w:sz w:val="18"/>
              </w:rPr>
              <w:t>ernas längd (km)</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2 000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1 300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jc w:val="both"/>
              <w:rPr>
                <w:rFonts w:ascii="Calibri" w:hAnsi="Calibri" w:cs="Calibri"/>
                <w:color w:val="000000"/>
                <w:sz w:val="18"/>
                <w:szCs w:val="22"/>
              </w:rPr>
            </w:pPr>
          </w:p>
        </w:tc>
        <w:tc>
          <w:tcPr>
            <w:tcW w:w="1371" w:type="dxa"/>
            <w:vMerge/>
            <w:shd w:val="clear" w:color="auto" w:fill="auto"/>
            <w:vAlign w:val="center"/>
          </w:tcPr>
          <w:p w:rsidR="000215C5" w:rsidRDefault="000215C5">
            <w:pPr>
              <w:jc w:val="both"/>
              <w:rPr>
                <w:rFonts w:ascii="Calibri" w:hAnsi="Calibri" w:cs="Calibri"/>
                <w:color w:val="000000"/>
                <w:sz w:val="18"/>
                <w:szCs w:val="22"/>
              </w:rPr>
            </w:pPr>
          </w:p>
        </w:tc>
        <w:tc>
          <w:tcPr>
            <w:tcW w:w="1573" w:type="dxa"/>
            <w:vMerge/>
            <w:shd w:val="clear" w:color="auto" w:fill="auto"/>
            <w:vAlign w:val="center"/>
          </w:tcPr>
          <w:p w:rsidR="000215C5" w:rsidRDefault="000215C5">
            <w:pPr>
              <w:jc w:val="both"/>
              <w:rPr>
                <w:rFonts w:ascii="Calibri" w:hAnsi="Calibri" w:cs="Calibri"/>
                <w:color w:val="000000"/>
                <w:sz w:val="18"/>
                <w:szCs w:val="22"/>
              </w:rPr>
            </w:pPr>
          </w:p>
        </w:tc>
        <w:tc>
          <w:tcPr>
            <w:tcW w:w="1417" w:type="dxa"/>
            <w:vMerge/>
            <w:shd w:val="clear" w:color="auto" w:fill="auto"/>
            <w:vAlign w:val="center"/>
          </w:tcPr>
          <w:p w:rsidR="000215C5" w:rsidRDefault="000215C5">
            <w:pPr>
              <w:jc w:val="both"/>
              <w:rPr>
                <w:rFonts w:ascii="Calibri" w:hAnsi="Calibri" w:cs="Calibri"/>
                <w:color w:val="000000"/>
                <w:sz w:val="18"/>
                <w:szCs w:val="22"/>
              </w:rPr>
            </w:pPr>
          </w:p>
        </w:tc>
        <w:tc>
          <w:tcPr>
            <w:tcW w:w="1418" w:type="dxa"/>
            <w:vMerge/>
            <w:shd w:val="clear" w:color="auto" w:fill="auto"/>
            <w:vAlign w:val="center"/>
          </w:tcPr>
          <w:p w:rsidR="000215C5" w:rsidRDefault="000215C5">
            <w:pPr>
              <w:jc w:val="both"/>
              <w:rPr>
                <w:rFonts w:ascii="Calibri" w:hAnsi="Calibri" w:cs="Calibri"/>
                <w:color w:val="000000"/>
                <w:sz w:val="18"/>
                <w:szCs w:val="22"/>
              </w:rPr>
            </w:pP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rPr>
            </w:pPr>
            <w:r>
              <w:rPr>
                <w:rFonts w:ascii="Calibri" w:hAnsi="Calibri"/>
                <w:color w:val="000000"/>
                <w:sz w:val="18"/>
              </w:rPr>
              <w:t>BOD-belastning som ska minskas (i ton) för att uppnå målen</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50 000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20 000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jc w:val="both"/>
              <w:rPr>
                <w:rFonts w:ascii="Calibri" w:hAnsi="Calibri" w:cs="Calibri"/>
                <w:color w:val="000000"/>
                <w:sz w:val="18"/>
                <w:szCs w:val="22"/>
              </w:rPr>
            </w:pPr>
          </w:p>
        </w:tc>
        <w:tc>
          <w:tcPr>
            <w:tcW w:w="1371" w:type="dxa"/>
            <w:vMerge/>
            <w:shd w:val="clear" w:color="auto" w:fill="auto"/>
            <w:vAlign w:val="center"/>
          </w:tcPr>
          <w:p w:rsidR="000215C5" w:rsidRDefault="000215C5">
            <w:pPr>
              <w:jc w:val="both"/>
              <w:rPr>
                <w:rFonts w:ascii="Calibri" w:hAnsi="Calibri" w:cs="Calibri"/>
                <w:color w:val="000000"/>
                <w:sz w:val="18"/>
                <w:szCs w:val="22"/>
              </w:rPr>
            </w:pPr>
          </w:p>
        </w:tc>
        <w:tc>
          <w:tcPr>
            <w:tcW w:w="1573" w:type="dxa"/>
            <w:vMerge/>
            <w:shd w:val="clear" w:color="auto" w:fill="auto"/>
            <w:vAlign w:val="center"/>
          </w:tcPr>
          <w:p w:rsidR="000215C5" w:rsidRDefault="000215C5">
            <w:pPr>
              <w:jc w:val="both"/>
              <w:rPr>
                <w:rFonts w:ascii="Calibri" w:hAnsi="Calibri" w:cs="Calibri"/>
                <w:color w:val="000000"/>
                <w:sz w:val="18"/>
                <w:szCs w:val="22"/>
              </w:rPr>
            </w:pPr>
          </w:p>
        </w:tc>
        <w:tc>
          <w:tcPr>
            <w:tcW w:w="1417" w:type="dxa"/>
            <w:vMerge/>
            <w:shd w:val="clear" w:color="auto" w:fill="auto"/>
            <w:vAlign w:val="center"/>
          </w:tcPr>
          <w:p w:rsidR="000215C5" w:rsidRDefault="000215C5">
            <w:pPr>
              <w:jc w:val="both"/>
              <w:rPr>
                <w:rFonts w:ascii="Calibri" w:hAnsi="Calibri" w:cs="Calibri"/>
                <w:color w:val="000000"/>
                <w:sz w:val="18"/>
                <w:szCs w:val="22"/>
              </w:rPr>
            </w:pPr>
          </w:p>
        </w:tc>
        <w:tc>
          <w:tcPr>
            <w:tcW w:w="1418" w:type="dxa"/>
            <w:vMerge/>
            <w:shd w:val="clear" w:color="auto" w:fill="auto"/>
            <w:vAlign w:val="center"/>
          </w:tcPr>
          <w:p w:rsidR="000215C5" w:rsidRDefault="000215C5">
            <w:pPr>
              <w:jc w:val="both"/>
              <w:rPr>
                <w:rFonts w:ascii="Calibri" w:hAnsi="Calibri" w:cs="Calibri"/>
                <w:color w:val="000000"/>
                <w:sz w:val="18"/>
                <w:szCs w:val="22"/>
              </w:rPr>
            </w:pP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rPr>
            </w:pPr>
            <w:r>
              <w:rPr>
                <w:rFonts w:ascii="Calibri" w:hAnsi="Calibri"/>
                <w:color w:val="000000"/>
                <w:sz w:val="18"/>
              </w:rPr>
              <w:t>Kväve</w:t>
            </w:r>
            <w:r w:rsidR="00B20748">
              <w:rPr>
                <w:rFonts w:ascii="Calibri" w:hAnsi="Calibri"/>
                <w:color w:val="000000"/>
                <w:sz w:val="18"/>
              </w:rPr>
              <w:t>-</w:t>
            </w:r>
            <w:r>
              <w:rPr>
                <w:rFonts w:ascii="Calibri" w:hAnsi="Calibri"/>
                <w:color w:val="000000"/>
                <w:sz w:val="18"/>
              </w:rPr>
              <w:t>belastning som ska minskas (i ton) för att uppnå målen</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4 500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3 250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jc w:val="both"/>
              <w:rPr>
                <w:rFonts w:ascii="Calibri" w:hAnsi="Calibri" w:cs="Calibri"/>
                <w:color w:val="000000"/>
                <w:sz w:val="18"/>
                <w:szCs w:val="22"/>
              </w:rPr>
            </w:pPr>
          </w:p>
        </w:tc>
        <w:tc>
          <w:tcPr>
            <w:tcW w:w="1371" w:type="dxa"/>
            <w:vMerge/>
            <w:shd w:val="clear" w:color="auto" w:fill="auto"/>
            <w:vAlign w:val="center"/>
          </w:tcPr>
          <w:p w:rsidR="000215C5" w:rsidRDefault="000215C5">
            <w:pPr>
              <w:jc w:val="both"/>
              <w:rPr>
                <w:rFonts w:ascii="Calibri" w:hAnsi="Calibri" w:cs="Calibri"/>
                <w:color w:val="000000"/>
                <w:sz w:val="18"/>
                <w:szCs w:val="22"/>
              </w:rPr>
            </w:pPr>
          </w:p>
        </w:tc>
        <w:tc>
          <w:tcPr>
            <w:tcW w:w="1573" w:type="dxa"/>
            <w:vMerge/>
            <w:shd w:val="clear" w:color="auto" w:fill="auto"/>
            <w:vAlign w:val="center"/>
          </w:tcPr>
          <w:p w:rsidR="000215C5" w:rsidRDefault="000215C5">
            <w:pPr>
              <w:jc w:val="both"/>
              <w:rPr>
                <w:rFonts w:ascii="Calibri" w:hAnsi="Calibri" w:cs="Calibri"/>
                <w:color w:val="000000"/>
                <w:sz w:val="18"/>
                <w:szCs w:val="22"/>
              </w:rPr>
            </w:pPr>
          </w:p>
        </w:tc>
        <w:tc>
          <w:tcPr>
            <w:tcW w:w="1417" w:type="dxa"/>
            <w:vMerge/>
            <w:shd w:val="clear" w:color="auto" w:fill="auto"/>
            <w:vAlign w:val="center"/>
          </w:tcPr>
          <w:p w:rsidR="000215C5" w:rsidRDefault="000215C5">
            <w:pPr>
              <w:jc w:val="both"/>
              <w:rPr>
                <w:rFonts w:ascii="Calibri" w:hAnsi="Calibri" w:cs="Calibri"/>
                <w:color w:val="000000"/>
                <w:sz w:val="18"/>
                <w:szCs w:val="22"/>
              </w:rPr>
            </w:pPr>
          </w:p>
        </w:tc>
        <w:tc>
          <w:tcPr>
            <w:tcW w:w="1418" w:type="dxa"/>
            <w:vMerge/>
            <w:shd w:val="clear" w:color="auto" w:fill="auto"/>
            <w:vAlign w:val="center"/>
          </w:tcPr>
          <w:p w:rsidR="000215C5" w:rsidRDefault="000215C5">
            <w:pPr>
              <w:jc w:val="both"/>
              <w:rPr>
                <w:rFonts w:ascii="Calibri" w:hAnsi="Calibri" w:cs="Calibri"/>
                <w:color w:val="000000"/>
                <w:sz w:val="18"/>
                <w:szCs w:val="22"/>
              </w:rPr>
            </w:pP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rPr>
            </w:pPr>
            <w:r>
              <w:rPr>
                <w:rFonts w:ascii="Calibri" w:hAnsi="Calibri"/>
                <w:color w:val="000000"/>
                <w:sz w:val="18"/>
              </w:rPr>
              <w:t>Fosfor</w:t>
            </w:r>
            <w:r w:rsidR="00B20748">
              <w:rPr>
                <w:rFonts w:ascii="Calibri" w:hAnsi="Calibri"/>
                <w:color w:val="000000"/>
                <w:sz w:val="18"/>
              </w:rPr>
              <w:t>-</w:t>
            </w:r>
            <w:r>
              <w:rPr>
                <w:rFonts w:ascii="Calibri" w:hAnsi="Calibri"/>
                <w:color w:val="000000"/>
                <w:sz w:val="18"/>
              </w:rPr>
              <w:t>belastning som ska minskas (i ton) för att uppnå målen</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71"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57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vMerge/>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Align w:val="center"/>
          </w:tcPr>
          <w:p w:rsidR="000215C5" w:rsidRDefault="000215C5">
            <w:pPr>
              <w:spacing w:after="0"/>
              <w:jc w:val="both"/>
              <w:rPr>
                <w:rFonts w:ascii="Calibri" w:hAnsi="Calibri" w:cs="Calibri"/>
                <w:color w:val="000000"/>
                <w:sz w:val="18"/>
                <w:szCs w:val="22"/>
              </w:rPr>
            </w:pPr>
          </w:p>
        </w:tc>
        <w:tc>
          <w:tcPr>
            <w:tcW w:w="1123" w:type="dxa"/>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0215C5">
            <w:pPr>
              <w:spacing w:after="0"/>
              <w:jc w:val="both"/>
              <w:rPr>
                <w:rFonts w:ascii="Calibri" w:hAnsi="Calibri" w:cs="Calibri"/>
                <w:color w:val="000000"/>
                <w:sz w:val="18"/>
              </w:rPr>
            </w:pPr>
          </w:p>
        </w:tc>
        <w:tc>
          <w:tcPr>
            <w:tcW w:w="1148" w:type="dxa"/>
            <w:shd w:val="clear" w:color="auto" w:fill="auto"/>
            <w:vAlign w:val="center"/>
          </w:tcPr>
          <w:p w:rsidR="000215C5" w:rsidRDefault="000215C5">
            <w:pPr>
              <w:spacing w:after="0"/>
              <w:jc w:val="both"/>
              <w:rPr>
                <w:rFonts w:ascii="Calibri" w:hAnsi="Calibri" w:cs="Calibri"/>
                <w:color w:val="000000"/>
                <w:sz w:val="18"/>
                <w:szCs w:val="22"/>
              </w:rPr>
            </w:pPr>
          </w:p>
        </w:tc>
        <w:tc>
          <w:tcPr>
            <w:tcW w:w="1056" w:type="dxa"/>
            <w:shd w:val="clear" w:color="auto" w:fill="auto"/>
            <w:vAlign w:val="center"/>
          </w:tcPr>
          <w:p w:rsidR="000215C5" w:rsidRDefault="000215C5">
            <w:pPr>
              <w:spacing w:after="0"/>
              <w:jc w:val="both"/>
              <w:rPr>
                <w:rFonts w:ascii="Calibri" w:hAnsi="Calibri" w:cs="Calibri"/>
                <w:color w:val="000000"/>
                <w:sz w:val="18"/>
                <w:szCs w:val="22"/>
              </w:rPr>
            </w:pPr>
          </w:p>
        </w:tc>
        <w:tc>
          <w:tcPr>
            <w:tcW w:w="1126" w:type="dxa"/>
            <w:shd w:val="clear" w:color="auto" w:fill="auto"/>
            <w:vAlign w:val="center"/>
          </w:tcPr>
          <w:p w:rsidR="000215C5" w:rsidRDefault="000215C5">
            <w:pPr>
              <w:spacing w:after="0"/>
              <w:jc w:val="both"/>
              <w:rPr>
                <w:rFonts w:ascii="Calibri" w:hAnsi="Calibri" w:cs="Calibri"/>
                <w:color w:val="000000"/>
                <w:sz w:val="18"/>
                <w:szCs w:val="22"/>
              </w:rPr>
            </w:pPr>
          </w:p>
        </w:tc>
        <w:tc>
          <w:tcPr>
            <w:tcW w:w="1408" w:type="dxa"/>
            <w:shd w:val="clear" w:color="auto" w:fill="auto"/>
            <w:vAlign w:val="center"/>
          </w:tcPr>
          <w:p w:rsidR="000215C5" w:rsidRDefault="000215C5">
            <w:pPr>
              <w:jc w:val="both"/>
              <w:rPr>
                <w:rFonts w:ascii="Calibri" w:hAnsi="Calibri" w:cs="Calibri"/>
                <w:color w:val="000000"/>
                <w:sz w:val="18"/>
                <w:szCs w:val="22"/>
              </w:rPr>
            </w:pPr>
          </w:p>
        </w:tc>
        <w:tc>
          <w:tcPr>
            <w:tcW w:w="1371" w:type="dxa"/>
            <w:shd w:val="clear" w:color="auto" w:fill="auto"/>
            <w:vAlign w:val="center"/>
          </w:tcPr>
          <w:p w:rsidR="000215C5" w:rsidRDefault="000215C5">
            <w:pPr>
              <w:jc w:val="both"/>
              <w:rPr>
                <w:rFonts w:ascii="Calibri" w:hAnsi="Calibri" w:cs="Calibri"/>
                <w:color w:val="000000"/>
                <w:sz w:val="18"/>
                <w:szCs w:val="22"/>
              </w:rPr>
            </w:pPr>
          </w:p>
        </w:tc>
        <w:tc>
          <w:tcPr>
            <w:tcW w:w="1573" w:type="dxa"/>
            <w:shd w:val="clear" w:color="auto" w:fill="auto"/>
            <w:vAlign w:val="center"/>
          </w:tcPr>
          <w:p w:rsidR="000215C5" w:rsidRDefault="000215C5">
            <w:pPr>
              <w:jc w:val="both"/>
              <w:rPr>
                <w:rFonts w:ascii="Calibri" w:hAnsi="Calibri" w:cs="Calibri"/>
                <w:color w:val="000000"/>
                <w:sz w:val="18"/>
                <w:szCs w:val="22"/>
              </w:rPr>
            </w:pPr>
          </w:p>
        </w:tc>
        <w:tc>
          <w:tcPr>
            <w:tcW w:w="1417" w:type="dxa"/>
            <w:shd w:val="clear" w:color="auto" w:fill="auto"/>
            <w:vAlign w:val="center"/>
          </w:tcPr>
          <w:p w:rsidR="000215C5" w:rsidRDefault="000215C5">
            <w:pPr>
              <w:jc w:val="both"/>
              <w:rPr>
                <w:rFonts w:ascii="Calibri" w:hAnsi="Calibri" w:cs="Calibri"/>
                <w:color w:val="000000"/>
                <w:sz w:val="18"/>
                <w:szCs w:val="22"/>
              </w:rPr>
            </w:pPr>
          </w:p>
        </w:tc>
        <w:tc>
          <w:tcPr>
            <w:tcW w:w="1418" w:type="dxa"/>
            <w:shd w:val="clear" w:color="auto" w:fill="auto"/>
            <w:vAlign w:val="center"/>
          </w:tcPr>
          <w:p w:rsidR="000215C5" w:rsidRDefault="000215C5">
            <w:pPr>
              <w:jc w:val="both"/>
              <w:rPr>
                <w:rFonts w:ascii="Calibri" w:hAnsi="Calibri" w:cs="Calibri"/>
                <w:color w:val="000000"/>
                <w:sz w:val="18"/>
                <w:szCs w:val="22"/>
              </w:rPr>
            </w:pPr>
          </w:p>
        </w:tc>
      </w:tr>
      <w:tr w:rsidR="000215C5" w:rsidTr="00B20748">
        <w:trPr>
          <w:cantSplit/>
        </w:trPr>
        <w:tc>
          <w:tcPr>
            <w:tcW w:w="735" w:type="dxa"/>
            <w:vMerge w:val="restart"/>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B20748">
              <w:rPr>
                <w:rFonts w:ascii="Calibri" w:hAnsi="Calibri"/>
                <w:color w:val="000000"/>
                <w:sz w:val="18"/>
              </w:rPr>
              <w:t>-</w:t>
            </w:r>
            <w:r>
              <w:rPr>
                <w:rFonts w:ascii="Calibri" w:hAnsi="Calibri"/>
                <w:color w:val="000000"/>
                <w:sz w:val="18"/>
              </w:rPr>
              <w:t>vatten</w:t>
            </w:r>
          </w:p>
        </w:tc>
        <w:tc>
          <w:tcPr>
            <w:tcW w:w="1123"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1.2 Punkt</w:t>
            </w:r>
            <w:r w:rsidR="00B20748">
              <w:rPr>
                <w:rFonts w:ascii="Calibri" w:hAnsi="Calibri"/>
                <w:color w:val="000000"/>
                <w:sz w:val="18"/>
              </w:rPr>
              <w:t>-</w:t>
            </w:r>
            <w:r>
              <w:rPr>
                <w:rFonts w:ascii="Calibri" w:hAnsi="Calibri"/>
                <w:color w:val="000000"/>
                <w:sz w:val="18"/>
              </w:rPr>
              <w:t>utsläpp – dagvatten</w:t>
            </w:r>
            <w:r w:rsidR="00B20748">
              <w:rPr>
                <w:rFonts w:ascii="Calibri" w:hAnsi="Calibri"/>
                <w:color w:val="000000"/>
                <w:sz w:val="18"/>
              </w:rPr>
              <w:t>-</w:t>
            </w:r>
            <w:r>
              <w:rPr>
                <w:rFonts w:ascii="Calibri" w:hAnsi="Calibri"/>
                <w:color w:val="000000"/>
                <w:sz w:val="18"/>
              </w:rPr>
              <w:t>utsläpp</w:t>
            </w:r>
          </w:p>
        </w:tc>
        <w:tc>
          <w:tcPr>
            <w:tcW w:w="1307"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13 %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berörda vatten</w:t>
            </w:r>
            <w:r w:rsidR="00B20748">
              <w:rPr>
                <w:rFonts w:ascii="Calibri" w:hAnsi="Calibri"/>
                <w:color w:val="000000"/>
                <w:sz w:val="18"/>
              </w:rPr>
              <w:t>-</w:t>
            </w:r>
            <w:r>
              <w:rPr>
                <w:rFonts w:ascii="Calibri" w:hAnsi="Calibri"/>
                <w:color w:val="000000"/>
                <w:sz w:val="18"/>
              </w:rPr>
              <w:t xml:space="preserve">förekomster </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130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70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KTM1, byggande eller uppgradering av renings</w:t>
            </w:r>
            <w:r w:rsidR="00B20748">
              <w:rPr>
                <w:rFonts w:ascii="Calibri" w:hAnsi="Calibri"/>
                <w:color w:val="000000"/>
                <w:sz w:val="18"/>
              </w:rPr>
              <w:t>-</w:t>
            </w:r>
            <w:r>
              <w:rPr>
                <w:rFonts w:ascii="Calibri" w:hAnsi="Calibri"/>
                <w:color w:val="000000"/>
                <w:sz w:val="18"/>
              </w:rPr>
              <w:t>anläggning</w:t>
            </w:r>
          </w:p>
        </w:tc>
        <w:tc>
          <w:tcPr>
            <w:tcW w:w="1371"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Antal tätorter där avlopps</w:t>
            </w:r>
            <w:r w:rsidR="00B20748">
              <w:rPr>
                <w:rFonts w:ascii="Calibri" w:hAnsi="Calibri"/>
                <w:color w:val="000000"/>
                <w:sz w:val="18"/>
              </w:rPr>
              <w:t>-</w:t>
            </w:r>
            <w:r>
              <w:rPr>
                <w:rFonts w:ascii="Calibri" w:hAnsi="Calibri"/>
                <w:color w:val="000000"/>
                <w:sz w:val="18"/>
              </w:rPr>
              <w:t>systemen behöver uppgraderas</w:t>
            </w:r>
          </w:p>
        </w:tc>
        <w:tc>
          <w:tcPr>
            <w:tcW w:w="1573"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11</w:t>
            </w:r>
          </w:p>
        </w:tc>
        <w:tc>
          <w:tcPr>
            <w:tcW w:w="1417"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5</w:t>
            </w:r>
          </w:p>
        </w:tc>
        <w:tc>
          <w:tcPr>
            <w:tcW w:w="1418"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0</w:t>
            </w: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De berörda vatten</w:t>
            </w:r>
            <w:r w:rsidR="00B20748">
              <w:rPr>
                <w:rFonts w:ascii="Calibri" w:hAnsi="Calibri"/>
                <w:color w:val="000000"/>
                <w:sz w:val="18"/>
              </w:rPr>
              <w:t>-</w:t>
            </w:r>
            <w:r>
              <w:rPr>
                <w:rFonts w:ascii="Calibri" w:hAnsi="Calibri"/>
                <w:color w:val="000000"/>
                <w:sz w:val="18"/>
              </w:rPr>
              <w:t>förekomst</w:t>
            </w:r>
            <w:r w:rsidR="00B20748">
              <w:rPr>
                <w:rFonts w:ascii="Calibri" w:hAnsi="Calibri"/>
                <w:color w:val="000000"/>
                <w:sz w:val="18"/>
              </w:rPr>
              <w:t>-</w:t>
            </w:r>
            <w:r>
              <w:rPr>
                <w:rFonts w:ascii="Calibri" w:hAnsi="Calibri"/>
                <w:color w:val="000000"/>
                <w:sz w:val="18"/>
              </w:rPr>
              <w:t>ernas längd (km)</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900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500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jc w:val="both"/>
              <w:rPr>
                <w:rFonts w:ascii="Calibri" w:hAnsi="Calibri" w:cs="Calibri"/>
                <w:color w:val="000000"/>
                <w:sz w:val="18"/>
                <w:szCs w:val="22"/>
              </w:rPr>
            </w:pPr>
          </w:p>
        </w:tc>
        <w:tc>
          <w:tcPr>
            <w:tcW w:w="1371" w:type="dxa"/>
            <w:vMerge/>
            <w:shd w:val="clear" w:color="auto" w:fill="auto"/>
            <w:vAlign w:val="center"/>
          </w:tcPr>
          <w:p w:rsidR="000215C5" w:rsidRDefault="000215C5">
            <w:pPr>
              <w:jc w:val="both"/>
              <w:rPr>
                <w:rFonts w:ascii="Calibri" w:hAnsi="Calibri" w:cs="Calibri"/>
                <w:color w:val="000000"/>
                <w:sz w:val="18"/>
                <w:szCs w:val="22"/>
              </w:rPr>
            </w:pPr>
          </w:p>
        </w:tc>
        <w:tc>
          <w:tcPr>
            <w:tcW w:w="1573" w:type="dxa"/>
            <w:vMerge/>
            <w:shd w:val="clear" w:color="auto" w:fill="auto"/>
            <w:vAlign w:val="center"/>
          </w:tcPr>
          <w:p w:rsidR="000215C5" w:rsidRDefault="000215C5">
            <w:pPr>
              <w:jc w:val="both"/>
              <w:rPr>
                <w:rFonts w:ascii="Calibri" w:hAnsi="Calibri" w:cs="Calibri"/>
                <w:color w:val="000000"/>
                <w:sz w:val="18"/>
                <w:szCs w:val="22"/>
              </w:rPr>
            </w:pPr>
          </w:p>
        </w:tc>
        <w:tc>
          <w:tcPr>
            <w:tcW w:w="1417" w:type="dxa"/>
            <w:vMerge/>
            <w:shd w:val="clear" w:color="auto" w:fill="auto"/>
            <w:vAlign w:val="center"/>
          </w:tcPr>
          <w:p w:rsidR="000215C5" w:rsidRDefault="000215C5">
            <w:pPr>
              <w:jc w:val="both"/>
              <w:rPr>
                <w:rFonts w:ascii="Calibri" w:hAnsi="Calibri" w:cs="Calibri"/>
                <w:color w:val="000000"/>
                <w:sz w:val="18"/>
                <w:szCs w:val="22"/>
              </w:rPr>
            </w:pPr>
          </w:p>
        </w:tc>
        <w:tc>
          <w:tcPr>
            <w:tcW w:w="1418" w:type="dxa"/>
            <w:vMerge/>
            <w:shd w:val="clear" w:color="auto" w:fill="auto"/>
            <w:vAlign w:val="center"/>
          </w:tcPr>
          <w:p w:rsidR="000215C5" w:rsidRDefault="000215C5">
            <w:pPr>
              <w:jc w:val="both"/>
              <w:rPr>
                <w:rFonts w:ascii="Calibri" w:hAnsi="Calibri" w:cs="Calibri"/>
                <w:color w:val="000000"/>
                <w:sz w:val="18"/>
                <w:szCs w:val="22"/>
              </w:rPr>
            </w:pP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tätorter med överdrivet stora dagvatten</w:t>
            </w:r>
            <w:r w:rsidR="00B20748">
              <w:rPr>
                <w:rFonts w:ascii="Calibri" w:hAnsi="Calibri"/>
                <w:color w:val="000000"/>
                <w:sz w:val="18"/>
              </w:rPr>
              <w:t>-</w:t>
            </w:r>
            <w:r>
              <w:rPr>
                <w:rFonts w:ascii="Calibri" w:hAnsi="Calibri"/>
                <w:color w:val="000000"/>
                <w:sz w:val="18"/>
              </w:rPr>
              <w:t>utsläpp</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11</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5</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71"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57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vMerge/>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Merge w:val="restart"/>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B20748">
              <w:rPr>
                <w:rFonts w:ascii="Calibri" w:hAnsi="Calibri"/>
                <w:color w:val="000000"/>
                <w:sz w:val="18"/>
              </w:rPr>
              <w:t>-</w:t>
            </w:r>
            <w:r>
              <w:rPr>
                <w:rFonts w:ascii="Calibri" w:hAnsi="Calibri"/>
                <w:color w:val="000000"/>
                <w:sz w:val="18"/>
              </w:rPr>
              <w:t>vatten</w:t>
            </w:r>
          </w:p>
        </w:tc>
        <w:tc>
          <w:tcPr>
            <w:tcW w:w="1123"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1.3 Punkt</w:t>
            </w:r>
            <w:r w:rsidR="00B20748">
              <w:rPr>
                <w:rFonts w:ascii="Calibri" w:hAnsi="Calibri"/>
                <w:color w:val="000000"/>
                <w:sz w:val="18"/>
              </w:rPr>
              <w:t>-</w:t>
            </w:r>
            <w:r>
              <w:rPr>
                <w:rFonts w:ascii="Calibri" w:hAnsi="Calibri"/>
                <w:color w:val="000000"/>
                <w:sz w:val="18"/>
              </w:rPr>
              <w:t>utsläpp – IED-anlägg</w:t>
            </w:r>
            <w:r w:rsidR="005E1D38">
              <w:rPr>
                <w:rFonts w:ascii="Calibri" w:hAnsi="Calibri"/>
                <w:color w:val="000000"/>
                <w:sz w:val="18"/>
              </w:rPr>
              <w:t>-</w:t>
            </w:r>
            <w:r>
              <w:rPr>
                <w:rFonts w:ascii="Calibri" w:hAnsi="Calibri"/>
                <w:color w:val="000000"/>
                <w:sz w:val="18"/>
              </w:rPr>
              <w:t>ningar</w:t>
            </w:r>
          </w:p>
        </w:tc>
        <w:tc>
          <w:tcPr>
            <w:tcW w:w="1307"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5 %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berörda vatten</w:t>
            </w:r>
            <w:r w:rsidR="005E1D38">
              <w:rPr>
                <w:rFonts w:ascii="Calibri" w:hAnsi="Calibri"/>
                <w:color w:val="000000"/>
                <w:sz w:val="18"/>
              </w:rPr>
              <w:t>-</w:t>
            </w:r>
            <w:r>
              <w:rPr>
                <w:rFonts w:ascii="Calibri" w:hAnsi="Calibri"/>
                <w:color w:val="000000"/>
                <w:sz w:val="18"/>
              </w:rPr>
              <w:t xml:space="preserve">förekomster </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50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KTM16 – uppgraderingar av renings</w:t>
            </w:r>
            <w:r w:rsidR="005E1D38">
              <w:rPr>
                <w:rFonts w:ascii="Calibri" w:hAnsi="Calibri"/>
                <w:color w:val="000000"/>
                <w:sz w:val="18"/>
              </w:rPr>
              <w:t>-</w:t>
            </w:r>
            <w:r>
              <w:rPr>
                <w:rFonts w:ascii="Calibri" w:hAnsi="Calibri"/>
                <w:color w:val="000000"/>
                <w:sz w:val="18"/>
              </w:rPr>
              <w:t>anläggningar för industri</w:t>
            </w:r>
            <w:r w:rsidR="005E1D38">
              <w:rPr>
                <w:rFonts w:ascii="Calibri" w:hAnsi="Calibri"/>
                <w:color w:val="000000"/>
                <w:sz w:val="18"/>
              </w:rPr>
              <w:t>-</w:t>
            </w:r>
            <w:r>
              <w:rPr>
                <w:rFonts w:ascii="Calibri" w:hAnsi="Calibri"/>
                <w:color w:val="000000"/>
                <w:sz w:val="18"/>
              </w:rPr>
              <w:t>avloppsvatten</w:t>
            </w:r>
          </w:p>
        </w:tc>
        <w:tc>
          <w:tcPr>
            <w:tcW w:w="1371"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Antal reviderade tillstånd som krävs för att uppnå målen</w:t>
            </w:r>
          </w:p>
        </w:tc>
        <w:tc>
          <w:tcPr>
            <w:tcW w:w="1573"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16</w:t>
            </w:r>
          </w:p>
        </w:tc>
        <w:tc>
          <w:tcPr>
            <w:tcW w:w="1417"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0</w:t>
            </w:r>
          </w:p>
        </w:tc>
        <w:tc>
          <w:tcPr>
            <w:tcW w:w="1418"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0</w:t>
            </w: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De berörda vatten</w:t>
            </w:r>
            <w:r w:rsidR="005E1D38">
              <w:rPr>
                <w:rFonts w:ascii="Calibri" w:hAnsi="Calibri"/>
                <w:color w:val="000000"/>
                <w:sz w:val="18"/>
              </w:rPr>
              <w:t>-</w:t>
            </w:r>
            <w:r>
              <w:rPr>
                <w:rFonts w:ascii="Calibri" w:hAnsi="Calibri"/>
                <w:color w:val="000000"/>
                <w:sz w:val="18"/>
              </w:rPr>
              <w:t>förekomsternas längd (km)</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jc w:val="both"/>
              <w:rPr>
                <w:rFonts w:ascii="Calibri" w:hAnsi="Calibri" w:cs="Calibri"/>
                <w:color w:val="000000"/>
                <w:sz w:val="18"/>
                <w:szCs w:val="22"/>
              </w:rPr>
            </w:pPr>
          </w:p>
        </w:tc>
        <w:tc>
          <w:tcPr>
            <w:tcW w:w="1371" w:type="dxa"/>
            <w:vMerge/>
            <w:shd w:val="clear" w:color="auto" w:fill="auto"/>
            <w:vAlign w:val="center"/>
          </w:tcPr>
          <w:p w:rsidR="000215C5" w:rsidRDefault="000215C5">
            <w:pPr>
              <w:jc w:val="both"/>
              <w:rPr>
                <w:rFonts w:ascii="Calibri" w:hAnsi="Calibri" w:cs="Calibri"/>
                <w:color w:val="000000"/>
                <w:sz w:val="18"/>
                <w:szCs w:val="22"/>
              </w:rPr>
            </w:pPr>
          </w:p>
        </w:tc>
        <w:tc>
          <w:tcPr>
            <w:tcW w:w="1573" w:type="dxa"/>
            <w:vMerge/>
            <w:shd w:val="clear" w:color="auto" w:fill="auto"/>
            <w:vAlign w:val="center"/>
          </w:tcPr>
          <w:p w:rsidR="000215C5" w:rsidRDefault="000215C5">
            <w:pPr>
              <w:jc w:val="both"/>
              <w:rPr>
                <w:rFonts w:ascii="Calibri" w:hAnsi="Calibri" w:cs="Calibri"/>
                <w:color w:val="000000"/>
                <w:sz w:val="18"/>
                <w:szCs w:val="22"/>
              </w:rPr>
            </w:pPr>
          </w:p>
        </w:tc>
        <w:tc>
          <w:tcPr>
            <w:tcW w:w="1417" w:type="dxa"/>
            <w:vMerge/>
            <w:shd w:val="clear" w:color="auto" w:fill="auto"/>
            <w:vAlign w:val="center"/>
          </w:tcPr>
          <w:p w:rsidR="000215C5" w:rsidRDefault="000215C5">
            <w:pPr>
              <w:jc w:val="both"/>
              <w:rPr>
                <w:rFonts w:ascii="Calibri" w:hAnsi="Calibri" w:cs="Calibri"/>
                <w:color w:val="000000"/>
                <w:sz w:val="18"/>
                <w:szCs w:val="22"/>
              </w:rPr>
            </w:pPr>
          </w:p>
        </w:tc>
        <w:tc>
          <w:tcPr>
            <w:tcW w:w="1418" w:type="dxa"/>
            <w:vMerge/>
            <w:shd w:val="clear" w:color="auto" w:fill="auto"/>
            <w:vAlign w:val="center"/>
          </w:tcPr>
          <w:p w:rsidR="000215C5" w:rsidRDefault="000215C5">
            <w:pPr>
              <w:jc w:val="both"/>
              <w:rPr>
                <w:rFonts w:ascii="Calibri" w:hAnsi="Calibri" w:cs="Calibri"/>
                <w:color w:val="000000"/>
                <w:sz w:val="18"/>
                <w:szCs w:val="22"/>
              </w:rPr>
            </w:pP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tillstånd som inte överens</w:t>
            </w:r>
            <w:r w:rsidR="005E1D38">
              <w:rPr>
                <w:rFonts w:ascii="Calibri" w:hAnsi="Calibri"/>
                <w:color w:val="000000"/>
                <w:sz w:val="18"/>
              </w:rPr>
              <w:t>-</w:t>
            </w:r>
            <w:r>
              <w:rPr>
                <w:rFonts w:ascii="Calibri" w:hAnsi="Calibri"/>
                <w:color w:val="000000"/>
                <w:sz w:val="18"/>
              </w:rPr>
              <w:t>stämmer med målet</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16</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71"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57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vMerge/>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Merge w:val="restart"/>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5E1D38">
              <w:rPr>
                <w:rFonts w:ascii="Calibri" w:hAnsi="Calibri"/>
                <w:color w:val="000000"/>
                <w:sz w:val="18"/>
              </w:rPr>
              <w:t>-</w:t>
            </w:r>
            <w:r>
              <w:rPr>
                <w:rFonts w:ascii="Calibri" w:hAnsi="Calibri"/>
                <w:color w:val="000000"/>
                <w:sz w:val="18"/>
              </w:rPr>
              <w:t>vatten</w:t>
            </w:r>
          </w:p>
        </w:tc>
        <w:tc>
          <w:tcPr>
            <w:tcW w:w="1123"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1.4 Punkt</w:t>
            </w:r>
            <w:r w:rsidR="005E1D38">
              <w:rPr>
                <w:rFonts w:ascii="Calibri" w:hAnsi="Calibri"/>
                <w:color w:val="000000"/>
                <w:sz w:val="18"/>
              </w:rPr>
              <w:t>-</w:t>
            </w:r>
            <w:r>
              <w:rPr>
                <w:rFonts w:ascii="Calibri" w:hAnsi="Calibri"/>
                <w:color w:val="000000"/>
                <w:sz w:val="18"/>
              </w:rPr>
              <w:t>utsläpp – anlägg</w:t>
            </w:r>
            <w:r w:rsidR="005E1D38">
              <w:rPr>
                <w:rFonts w:ascii="Calibri" w:hAnsi="Calibri"/>
                <w:color w:val="000000"/>
                <w:sz w:val="18"/>
              </w:rPr>
              <w:t>-</w:t>
            </w:r>
            <w:r>
              <w:rPr>
                <w:rFonts w:ascii="Calibri" w:hAnsi="Calibri"/>
                <w:color w:val="000000"/>
                <w:sz w:val="18"/>
              </w:rPr>
              <w:t>ningar som inte är IED-anlägg</w:t>
            </w:r>
            <w:r w:rsidR="005E1D38">
              <w:rPr>
                <w:rFonts w:ascii="Calibri" w:hAnsi="Calibri"/>
                <w:color w:val="000000"/>
                <w:sz w:val="18"/>
              </w:rPr>
              <w:t>-</w:t>
            </w:r>
            <w:r>
              <w:rPr>
                <w:rFonts w:ascii="Calibri" w:hAnsi="Calibri"/>
                <w:color w:val="000000"/>
                <w:sz w:val="18"/>
              </w:rPr>
              <w:t>ningar</w:t>
            </w:r>
          </w:p>
        </w:tc>
        <w:tc>
          <w:tcPr>
            <w:tcW w:w="1307"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berörda vatten</w:t>
            </w:r>
            <w:r w:rsidR="005E1D38">
              <w:rPr>
                <w:rFonts w:ascii="Calibri" w:hAnsi="Calibri"/>
                <w:color w:val="000000"/>
                <w:sz w:val="18"/>
              </w:rPr>
              <w:t>-</w:t>
            </w:r>
            <w:r>
              <w:rPr>
                <w:rFonts w:ascii="Calibri" w:hAnsi="Calibri"/>
                <w:color w:val="000000"/>
                <w:sz w:val="18"/>
              </w:rPr>
              <w:t xml:space="preserve">förekomster </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KTM16 – uppgraderingar av renings</w:t>
            </w:r>
            <w:r w:rsidR="005E1D38">
              <w:rPr>
                <w:rFonts w:ascii="Calibri" w:hAnsi="Calibri"/>
                <w:color w:val="000000"/>
                <w:sz w:val="18"/>
              </w:rPr>
              <w:t>-</w:t>
            </w:r>
            <w:r>
              <w:rPr>
                <w:rFonts w:ascii="Calibri" w:hAnsi="Calibri"/>
                <w:color w:val="000000"/>
                <w:sz w:val="18"/>
              </w:rPr>
              <w:t>anläggningar för industri</w:t>
            </w:r>
            <w:r w:rsidR="005E1D38">
              <w:rPr>
                <w:rFonts w:ascii="Calibri" w:hAnsi="Calibri"/>
                <w:color w:val="000000"/>
                <w:sz w:val="18"/>
              </w:rPr>
              <w:t>-</w:t>
            </w:r>
            <w:r>
              <w:rPr>
                <w:rFonts w:ascii="Calibri" w:hAnsi="Calibri"/>
                <w:color w:val="000000"/>
                <w:sz w:val="18"/>
              </w:rPr>
              <w:t>avloppsvatten</w:t>
            </w:r>
          </w:p>
        </w:tc>
        <w:tc>
          <w:tcPr>
            <w:tcW w:w="1371"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Antal reviderade tillstånd som krävs för att uppnå målen</w:t>
            </w:r>
          </w:p>
        </w:tc>
        <w:tc>
          <w:tcPr>
            <w:tcW w:w="1573"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7</w:t>
            </w:r>
          </w:p>
        </w:tc>
        <w:tc>
          <w:tcPr>
            <w:tcW w:w="1417"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0</w:t>
            </w:r>
          </w:p>
        </w:tc>
        <w:tc>
          <w:tcPr>
            <w:tcW w:w="1418" w:type="dxa"/>
            <w:vMerge w:val="restart"/>
            <w:shd w:val="clear" w:color="auto" w:fill="auto"/>
            <w:vAlign w:val="center"/>
          </w:tcPr>
          <w:p w:rsidR="000215C5" w:rsidRDefault="00703023">
            <w:pPr>
              <w:jc w:val="both"/>
              <w:rPr>
                <w:rFonts w:ascii="Calibri" w:hAnsi="Calibri" w:cs="Calibri"/>
                <w:color w:val="000000"/>
                <w:sz w:val="18"/>
                <w:szCs w:val="22"/>
              </w:rPr>
            </w:pPr>
            <w:r>
              <w:rPr>
                <w:rFonts w:ascii="Calibri" w:hAnsi="Calibri"/>
                <w:color w:val="000000"/>
                <w:sz w:val="18"/>
              </w:rPr>
              <w:t>0</w:t>
            </w: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De berörda vattenföre</w:t>
            </w:r>
            <w:r w:rsidR="005E1D38">
              <w:rPr>
                <w:rFonts w:ascii="Calibri" w:hAnsi="Calibri"/>
                <w:color w:val="000000"/>
                <w:sz w:val="18"/>
              </w:rPr>
              <w:t>-</w:t>
            </w:r>
            <w:r>
              <w:rPr>
                <w:rFonts w:ascii="Calibri" w:hAnsi="Calibri"/>
                <w:color w:val="000000"/>
                <w:sz w:val="18"/>
              </w:rPr>
              <w:t>komsternas längd (km)</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230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jc w:val="both"/>
              <w:rPr>
                <w:rFonts w:ascii="Calibri" w:hAnsi="Calibri" w:cs="Calibri"/>
                <w:color w:val="000000"/>
                <w:sz w:val="18"/>
                <w:szCs w:val="22"/>
              </w:rPr>
            </w:pPr>
          </w:p>
        </w:tc>
        <w:tc>
          <w:tcPr>
            <w:tcW w:w="1371" w:type="dxa"/>
            <w:vMerge/>
            <w:shd w:val="clear" w:color="auto" w:fill="auto"/>
            <w:vAlign w:val="center"/>
          </w:tcPr>
          <w:p w:rsidR="000215C5" w:rsidRDefault="000215C5">
            <w:pPr>
              <w:jc w:val="both"/>
              <w:rPr>
                <w:rFonts w:ascii="Calibri" w:hAnsi="Calibri" w:cs="Calibri"/>
                <w:color w:val="000000"/>
                <w:sz w:val="18"/>
                <w:szCs w:val="22"/>
              </w:rPr>
            </w:pPr>
          </w:p>
        </w:tc>
        <w:tc>
          <w:tcPr>
            <w:tcW w:w="1573" w:type="dxa"/>
            <w:vMerge/>
            <w:shd w:val="clear" w:color="auto" w:fill="auto"/>
            <w:vAlign w:val="center"/>
          </w:tcPr>
          <w:p w:rsidR="000215C5" w:rsidRDefault="000215C5">
            <w:pPr>
              <w:jc w:val="both"/>
              <w:rPr>
                <w:rFonts w:ascii="Calibri" w:hAnsi="Calibri" w:cs="Calibri"/>
                <w:color w:val="000000"/>
                <w:sz w:val="18"/>
                <w:szCs w:val="22"/>
              </w:rPr>
            </w:pPr>
          </w:p>
        </w:tc>
        <w:tc>
          <w:tcPr>
            <w:tcW w:w="1417" w:type="dxa"/>
            <w:vMerge/>
            <w:shd w:val="clear" w:color="auto" w:fill="auto"/>
            <w:vAlign w:val="center"/>
          </w:tcPr>
          <w:p w:rsidR="000215C5" w:rsidRDefault="000215C5">
            <w:pPr>
              <w:jc w:val="both"/>
              <w:rPr>
                <w:rFonts w:ascii="Calibri" w:hAnsi="Calibri" w:cs="Calibri"/>
                <w:color w:val="000000"/>
                <w:sz w:val="18"/>
                <w:szCs w:val="22"/>
              </w:rPr>
            </w:pPr>
          </w:p>
        </w:tc>
        <w:tc>
          <w:tcPr>
            <w:tcW w:w="1418" w:type="dxa"/>
            <w:vMerge/>
            <w:shd w:val="clear" w:color="auto" w:fill="auto"/>
            <w:vAlign w:val="center"/>
          </w:tcPr>
          <w:p w:rsidR="000215C5" w:rsidRDefault="000215C5">
            <w:pPr>
              <w:jc w:val="both"/>
              <w:rPr>
                <w:rFonts w:ascii="Calibri" w:hAnsi="Calibri" w:cs="Calibri"/>
                <w:color w:val="000000"/>
                <w:sz w:val="18"/>
                <w:szCs w:val="22"/>
              </w:rPr>
            </w:pP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tillstånd som inte överens</w:t>
            </w:r>
            <w:r w:rsidR="005E1D38">
              <w:rPr>
                <w:rFonts w:ascii="Calibri" w:hAnsi="Calibri"/>
                <w:color w:val="000000"/>
                <w:sz w:val="18"/>
              </w:rPr>
              <w:t>-</w:t>
            </w:r>
            <w:r>
              <w:rPr>
                <w:rFonts w:ascii="Calibri" w:hAnsi="Calibri"/>
                <w:color w:val="000000"/>
                <w:sz w:val="18"/>
              </w:rPr>
              <w:t>stämmer med målet</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7</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71"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57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vMerge/>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Merge w:val="restart"/>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5E1D38">
              <w:rPr>
                <w:rFonts w:ascii="Calibri" w:hAnsi="Calibri"/>
                <w:color w:val="000000"/>
                <w:sz w:val="18"/>
              </w:rPr>
              <w:t>-</w:t>
            </w:r>
            <w:r>
              <w:rPr>
                <w:rFonts w:ascii="Calibri" w:hAnsi="Calibri"/>
                <w:color w:val="000000"/>
                <w:sz w:val="18"/>
              </w:rPr>
              <w:t>vatten</w:t>
            </w:r>
          </w:p>
        </w:tc>
        <w:tc>
          <w:tcPr>
            <w:tcW w:w="1123"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2.2 Diffusa källor – jordbruk</w:t>
            </w:r>
          </w:p>
        </w:tc>
        <w:tc>
          <w:tcPr>
            <w:tcW w:w="1307"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60 %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berörda vatten</w:t>
            </w:r>
            <w:r w:rsidR="005E1D38">
              <w:rPr>
                <w:rFonts w:ascii="Calibri" w:hAnsi="Calibri"/>
                <w:color w:val="000000"/>
                <w:sz w:val="18"/>
              </w:rPr>
              <w:t>-</w:t>
            </w:r>
            <w:r>
              <w:rPr>
                <w:rFonts w:ascii="Calibri" w:hAnsi="Calibri"/>
                <w:color w:val="000000"/>
                <w:sz w:val="18"/>
              </w:rPr>
              <w:t xml:space="preserve">förekomster </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600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450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200</w:t>
            </w:r>
          </w:p>
        </w:tc>
        <w:tc>
          <w:tcPr>
            <w:tcW w:w="1408"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KTM2 – Minska föroreningar av näringsämnen från jordbruket.</w:t>
            </w:r>
          </w:p>
        </w:tc>
        <w:tc>
          <w:tcPr>
            <w:tcW w:w="1371"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Jordbruksareal som omfattas av åtgärder (km</w:t>
            </w:r>
            <w:r>
              <w:rPr>
                <w:rFonts w:ascii="Calibri" w:hAnsi="Calibri"/>
                <w:color w:val="000000"/>
                <w:sz w:val="18"/>
                <w:vertAlign w:val="superscript"/>
              </w:rPr>
              <w:t>2</w:t>
            </w:r>
            <w:r>
              <w:rPr>
                <w:rFonts w:ascii="Calibri" w:hAnsi="Calibri"/>
                <w:color w:val="000000"/>
                <w:sz w:val="18"/>
              </w:rPr>
              <w:t>) för att uppnå målen</w:t>
            </w:r>
          </w:p>
        </w:tc>
        <w:tc>
          <w:tcPr>
            <w:tcW w:w="1573"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6 000</w:t>
            </w:r>
          </w:p>
        </w:tc>
        <w:tc>
          <w:tcPr>
            <w:tcW w:w="1417"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3 000</w:t>
            </w:r>
          </w:p>
        </w:tc>
        <w:tc>
          <w:tcPr>
            <w:tcW w:w="1418"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700</w:t>
            </w: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De berörda vattenföre</w:t>
            </w:r>
            <w:r w:rsidR="005E1D38">
              <w:rPr>
                <w:rFonts w:ascii="Calibri" w:hAnsi="Calibri"/>
                <w:color w:val="000000"/>
                <w:sz w:val="18"/>
              </w:rPr>
              <w:t>-</w:t>
            </w:r>
            <w:r>
              <w:rPr>
                <w:rFonts w:ascii="Calibri" w:hAnsi="Calibri"/>
                <w:color w:val="000000"/>
                <w:sz w:val="18"/>
              </w:rPr>
              <w:t>komsternas längd (km)</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4 200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3 100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1 000</w:t>
            </w:r>
          </w:p>
        </w:tc>
        <w:tc>
          <w:tcPr>
            <w:tcW w:w="1408"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71"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57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vMerge/>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rPr>
            </w:pPr>
            <w:r>
              <w:rPr>
                <w:rFonts w:ascii="Calibri" w:hAnsi="Calibri"/>
                <w:color w:val="000000"/>
                <w:sz w:val="18"/>
              </w:rPr>
              <w:t>Kvävebelast</w:t>
            </w:r>
            <w:r w:rsidR="005E1D38">
              <w:rPr>
                <w:rFonts w:ascii="Calibri" w:hAnsi="Calibri"/>
                <w:color w:val="000000"/>
                <w:sz w:val="18"/>
              </w:rPr>
              <w:t>-</w:t>
            </w:r>
            <w:r>
              <w:rPr>
                <w:rFonts w:ascii="Calibri" w:hAnsi="Calibri"/>
                <w:color w:val="000000"/>
                <w:sz w:val="18"/>
              </w:rPr>
              <w:t>ning som ska minskas (i ton) för att uppnå målen</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26 000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20 000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8 000</w:t>
            </w:r>
          </w:p>
        </w:tc>
        <w:tc>
          <w:tcPr>
            <w:tcW w:w="1408"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71"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57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vMerge/>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Merge w:val="restart"/>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5E1D38">
              <w:rPr>
                <w:rFonts w:ascii="Calibri" w:hAnsi="Calibri"/>
                <w:color w:val="000000"/>
                <w:sz w:val="18"/>
              </w:rPr>
              <w:t>-</w:t>
            </w:r>
            <w:r>
              <w:rPr>
                <w:rFonts w:ascii="Calibri" w:hAnsi="Calibri"/>
                <w:color w:val="000000"/>
                <w:sz w:val="18"/>
              </w:rPr>
              <w:t>vatten</w:t>
            </w:r>
          </w:p>
        </w:tc>
        <w:tc>
          <w:tcPr>
            <w:tcW w:w="1123"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2.2 Diffusa källor – jordbruk</w:t>
            </w:r>
          </w:p>
        </w:tc>
        <w:tc>
          <w:tcPr>
            <w:tcW w:w="1307"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40 %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berörda vatten</w:t>
            </w:r>
            <w:r w:rsidR="005E1D38">
              <w:rPr>
                <w:rFonts w:ascii="Calibri" w:hAnsi="Calibri"/>
                <w:color w:val="000000"/>
                <w:sz w:val="18"/>
              </w:rPr>
              <w:t>-</w:t>
            </w:r>
            <w:r>
              <w:rPr>
                <w:rFonts w:ascii="Calibri" w:hAnsi="Calibri"/>
                <w:color w:val="000000"/>
                <w:sz w:val="18"/>
              </w:rPr>
              <w:t xml:space="preserve">förekomster </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250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100</w:t>
            </w:r>
          </w:p>
        </w:tc>
        <w:tc>
          <w:tcPr>
            <w:tcW w:w="1408"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KTM2 – Minska föroreningar av näringsämnen från jordbruket.</w:t>
            </w:r>
          </w:p>
        </w:tc>
        <w:tc>
          <w:tcPr>
            <w:tcW w:w="1371"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Jordbruksareal som omfattas av åtgärder (km</w:t>
            </w:r>
            <w:r>
              <w:rPr>
                <w:rFonts w:ascii="Calibri" w:hAnsi="Calibri"/>
                <w:color w:val="000000"/>
                <w:sz w:val="18"/>
                <w:vertAlign w:val="superscript"/>
              </w:rPr>
              <w:t>2</w:t>
            </w:r>
            <w:r>
              <w:rPr>
                <w:rFonts w:ascii="Calibri" w:hAnsi="Calibri"/>
                <w:color w:val="000000"/>
                <w:sz w:val="18"/>
              </w:rPr>
              <w:t>) för att uppnå målen</w:t>
            </w:r>
          </w:p>
        </w:tc>
        <w:tc>
          <w:tcPr>
            <w:tcW w:w="1573"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2 400</w:t>
            </w:r>
          </w:p>
        </w:tc>
        <w:tc>
          <w:tcPr>
            <w:tcW w:w="1417"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1 500</w:t>
            </w:r>
          </w:p>
        </w:tc>
        <w:tc>
          <w:tcPr>
            <w:tcW w:w="1418"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350</w:t>
            </w: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De berörda vattenföre</w:t>
            </w:r>
            <w:r w:rsidR="0082582C">
              <w:rPr>
                <w:rFonts w:ascii="Calibri" w:hAnsi="Calibri"/>
                <w:color w:val="000000"/>
                <w:sz w:val="18"/>
              </w:rPr>
              <w:t>-</w:t>
            </w:r>
            <w:r>
              <w:rPr>
                <w:rFonts w:ascii="Calibri" w:hAnsi="Calibri"/>
                <w:color w:val="000000"/>
                <w:sz w:val="18"/>
              </w:rPr>
              <w:t>komsternas längd (km)</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2 200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1 100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300</w:t>
            </w:r>
          </w:p>
        </w:tc>
        <w:tc>
          <w:tcPr>
            <w:tcW w:w="1408"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71"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57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vMerge/>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rPr>
            </w:pPr>
            <w:r>
              <w:rPr>
                <w:rFonts w:ascii="Calibri" w:hAnsi="Calibri"/>
                <w:color w:val="000000"/>
                <w:sz w:val="18"/>
              </w:rPr>
              <w:t>Fosforbelast</w:t>
            </w:r>
            <w:r w:rsidR="0082582C">
              <w:rPr>
                <w:rFonts w:ascii="Calibri" w:hAnsi="Calibri"/>
                <w:color w:val="000000"/>
                <w:sz w:val="18"/>
              </w:rPr>
              <w:t>-</w:t>
            </w:r>
            <w:r>
              <w:rPr>
                <w:rFonts w:ascii="Calibri" w:hAnsi="Calibri"/>
                <w:color w:val="000000"/>
                <w:sz w:val="18"/>
              </w:rPr>
              <w:t>ning som ska minskas (i ton) för att uppnå målen</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3 500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1 500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1 000</w:t>
            </w:r>
          </w:p>
        </w:tc>
        <w:tc>
          <w:tcPr>
            <w:tcW w:w="1408"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71"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57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vMerge/>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Merge w:val="restart"/>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82582C">
              <w:rPr>
                <w:rFonts w:ascii="Calibri" w:hAnsi="Calibri"/>
                <w:color w:val="000000"/>
                <w:sz w:val="18"/>
              </w:rPr>
              <w:t>-</w:t>
            </w:r>
            <w:r>
              <w:rPr>
                <w:rFonts w:ascii="Calibri" w:hAnsi="Calibri"/>
                <w:color w:val="000000"/>
                <w:sz w:val="18"/>
              </w:rPr>
              <w:t>vatten</w:t>
            </w:r>
          </w:p>
        </w:tc>
        <w:tc>
          <w:tcPr>
            <w:tcW w:w="1123"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2.2 Diffusa källor – jordbruk</w:t>
            </w:r>
          </w:p>
        </w:tc>
        <w:tc>
          <w:tcPr>
            <w:tcW w:w="1307"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20 %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 xml:space="preserve">Antal berörda vattenförekomster </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KTM3 – Minska föroreningar av bekämpningsämnen från jordbruket.</w:t>
            </w:r>
          </w:p>
        </w:tc>
        <w:tc>
          <w:tcPr>
            <w:tcW w:w="1371"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Jordbruksareal som omfattas av åtgärder (km</w:t>
            </w:r>
            <w:r>
              <w:rPr>
                <w:rFonts w:ascii="Calibri" w:hAnsi="Calibri"/>
                <w:color w:val="000000"/>
                <w:sz w:val="18"/>
                <w:vertAlign w:val="superscript"/>
              </w:rPr>
              <w:t>2</w:t>
            </w:r>
            <w:r>
              <w:rPr>
                <w:rFonts w:ascii="Calibri" w:hAnsi="Calibri"/>
                <w:color w:val="000000"/>
                <w:sz w:val="18"/>
              </w:rPr>
              <w:t>) för att uppnå målen</w:t>
            </w:r>
          </w:p>
        </w:tc>
        <w:tc>
          <w:tcPr>
            <w:tcW w:w="1573"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1 000</w:t>
            </w:r>
          </w:p>
        </w:tc>
        <w:tc>
          <w:tcPr>
            <w:tcW w:w="1417"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500</w:t>
            </w:r>
          </w:p>
        </w:tc>
        <w:tc>
          <w:tcPr>
            <w:tcW w:w="1418" w:type="dxa"/>
            <w:vMerge w:val="restart"/>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r>
      <w:tr w:rsidR="000215C5" w:rsidTr="00B20748">
        <w:trPr>
          <w:cantSplit/>
        </w:trPr>
        <w:tc>
          <w:tcPr>
            <w:tcW w:w="735" w:type="dxa"/>
            <w:vMerge/>
            <w:vAlign w:val="center"/>
          </w:tcPr>
          <w:p w:rsidR="000215C5" w:rsidRDefault="000215C5">
            <w:pPr>
              <w:spacing w:after="0"/>
              <w:jc w:val="both"/>
              <w:rPr>
                <w:rFonts w:ascii="Calibri" w:hAnsi="Calibri" w:cs="Calibri"/>
                <w:color w:val="000000"/>
                <w:sz w:val="18"/>
                <w:szCs w:val="22"/>
              </w:rPr>
            </w:pPr>
          </w:p>
        </w:tc>
        <w:tc>
          <w:tcPr>
            <w:tcW w:w="112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0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De berörda vattenföre</w:t>
            </w:r>
            <w:r w:rsidR="0082582C">
              <w:rPr>
                <w:rFonts w:ascii="Calibri" w:hAnsi="Calibri"/>
                <w:color w:val="000000"/>
                <w:sz w:val="18"/>
              </w:rPr>
              <w:t>-</w:t>
            </w:r>
            <w:r>
              <w:rPr>
                <w:rFonts w:ascii="Calibri" w:hAnsi="Calibri"/>
                <w:color w:val="000000"/>
                <w:sz w:val="18"/>
              </w:rPr>
              <w:t>komsternas längd (km)</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1 200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600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371"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573"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vMerge/>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vMerge/>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Grund</w:t>
            </w:r>
            <w:r w:rsidR="0082582C">
              <w:rPr>
                <w:rFonts w:ascii="Calibri" w:hAnsi="Calibri"/>
                <w:color w:val="000000"/>
                <w:sz w:val="18"/>
              </w:rPr>
              <w:t>-</w:t>
            </w:r>
            <w:r>
              <w:rPr>
                <w:rFonts w:ascii="Calibri" w:hAnsi="Calibri"/>
                <w:color w:val="000000"/>
                <w:sz w:val="18"/>
              </w:rPr>
              <w:t>vatten</w:t>
            </w:r>
          </w:p>
        </w:tc>
        <w:tc>
          <w:tcPr>
            <w:tcW w:w="1123"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3.1 Uttag – jordbruk</w:t>
            </w:r>
          </w:p>
        </w:tc>
        <w:tc>
          <w:tcPr>
            <w:tcW w:w="1307"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33 %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Mängd vatten som tagits ut/avletts för jordbruket (miljoner m</w:t>
            </w:r>
            <w:r>
              <w:rPr>
                <w:rFonts w:ascii="Calibri" w:hAnsi="Calibri"/>
                <w:color w:val="000000"/>
                <w:sz w:val="18"/>
                <w:vertAlign w:val="superscript"/>
              </w:rPr>
              <w:t>3</w:t>
            </w:r>
            <w:r>
              <w:rPr>
                <w:rFonts w:ascii="Calibri" w:hAnsi="Calibri"/>
                <w:color w:val="000000"/>
                <w:sz w:val="18"/>
              </w:rPr>
              <w:t>) som måste minskas för att uppnå målen</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15 000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12 000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3 000</w:t>
            </w:r>
          </w:p>
        </w:tc>
        <w:tc>
          <w:tcPr>
            <w:tcW w:w="140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KTM7 – Förbättringar i flödesmönster och e-flöden</w:t>
            </w:r>
          </w:p>
        </w:tc>
        <w:tc>
          <w:tcPr>
            <w:tcW w:w="137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reviderade tillstånd som krävs för att uppnå målen</w:t>
            </w:r>
          </w:p>
        </w:tc>
        <w:tc>
          <w:tcPr>
            <w:tcW w:w="1573" w:type="dxa"/>
            <w:shd w:val="clear" w:color="auto" w:fill="auto"/>
            <w:vAlign w:val="center"/>
          </w:tcPr>
          <w:p w:rsidR="000215C5" w:rsidRDefault="000215C5">
            <w:pPr>
              <w:spacing w:after="0"/>
              <w:jc w:val="both"/>
              <w:rPr>
                <w:rFonts w:ascii="Calibri" w:hAnsi="Calibri" w:cs="Calibri"/>
                <w:color w:val="000000"/>
                <w:sz w:val="18"/>
                <w:szCs w:val="22"/>
              </w:rPr>
            </w:pPr>
          </w:p>
        </w:tc>
        <w:tc>
          <w:tcPr>
            <w:tcW w:w="1417" w:type="dxa"/>
            <w:shd w:val="clear" w:color="auto" w:fill="auto"/>
            <w:vAlign w:val="center"/>
          </w:tcPr>
          <w:p w:rsidR="000215C5" w:rsidRDefault="000215C5">
            <w:pPr>
              <w:spacing w:after="0"/>
              <w:jc w:val="both"/>
              <w:rPr>
                <w:rFonts w:ascii="Calibri" w:hAnsi="Calibri" w:cs="Calibri"/>
                <w:color w:val="000000"/>
                <w:sz w:val="18"/>
                <w:szCs w:val="22"/>
              </w:rPr>
            </w:pPr>
          </w:p>
        </w:tc>
        <w:tc>
          <w:tcPr>
            <w:tcW w:w="1418" w:type="dxa"/>
            <w:shd w:val="clear" w:color="auto" w:fill="auto"/>
            <w:vAlign w:val="center"/>
          </w:tcPr>
          <w:p w:rsidR="000215C5" w:rsidRDefault="000215C5">
            <w:pPr>
              <w:spacing w:after="0"/>
              <w:jc w:val="both"/>
              <w:rPr>
                <w:rFonts w:ascii="Calibri" w:hAnsi="Calibri" w:cs="Calibri"/>
                <w:color w:val="000000"/>
                <w:sz w:val="18"/>
                <w:szCs w:val="22"/>
              </w:rPr>
            </w:pPr>
          </w:p>
        </w:tc>
      </w:tr>
      <w:tr w:rsidR="000215C5" w:rsidTr="00B20748">
        <w:trPr>
          <w:cantSplit/>
        </w:trPr>
        <w:tc>
          <w:tcPr>
            <w:tcW w:w="735" w:type="dxa"/>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82582C">
              <w:rPr>
                <w:rFonts w:ascii="Calibri" w:hAnsi="Calibri"/>
                <w:color w:val="000000"/>
                <w:sz w:val="18"/>
              </w:rPr>
              <w:t>-</w:t>
            </w:r>
            <w:r>
              <w:rPr>
                <w:rFonts w:ascii="Calibri" w:hAnsi="Calibri"/>
                <w:color w:val="000000"/>
                <w:sz w:val="18"/>
              </w:rPr>
              <w:t>vatten</w:t>
            </w:r>
          </w:p>
        </w:tc>
        <w:tc>
          <w:tcPr>
            <w:tcW w:w="1123"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4.1.1 Fysisk ändring för skydd mot översvämningar</w:t>
            </w:r>
          </w:p>
        </w:tc>
        <w:tc>
          <w:tcPr>
            <w:tcW w:w="1307"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15 %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Längd i km för vattenföre</w:t>
            </w:r>
            <w:r w:rsidR="0082582C">
              <w:rPr>
                <w:rFonts w:ascii="Calibri" w:hAnsi="Calibri"/>
                <w:color w:val="000000"/>
                <w:sz w:val="18"/>
              </w:rPr>
              <w:t>-</w:t>
            </w:r>
            <w:r>
              <w:rPr>
                <w:rFonts w:ascii="Calibri" w:hAnsi="Calibri"/>
                <w:color w:val="000000"/>
                <w:sz w:val="18"/>
              </w:rPr>
              <w:t>komster som påverkas av ändringar som inte är förenliga med GES/GEP</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250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150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KTM6 – Förbättring av hydromorfologiska förhållanden</w:t>
            </w:r>
          </w:p>
        </w:tc>
        <w:tc>
          <w:tcPr>
            <w:tcW w:w="137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Längd i km för vattenföre</w:t>
            </w:r>
            <w:r w:rsidR="0082582C">
              <w:rPr>
                <w:rFonts w:ascii="Calibri" w:hAnsi="Calibri"/>
                <w:color w:val="000000"/>
                <w:sz w:val="18"/>
              </w:rPr>
              <w:t>-</w:t>
            </w:r>
            <w:r>
              <w:rPr>
                <w:rFonts w:ascii="Calibri" w:hAnsi="Calibri"/>
                <w:color w:val="000000"/>
                <w:sz w:val="18"/>
              </w:rPr>
              <w:t>komster som behöver återställas</w:t>
            </w:r>
          </w:p>
        </w:tc>
        <w:tc>
          <w:tcPr>
            <w:tcW w:w="1573"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250</w:t>
            </w:r>
          </w:p>
        </w:tc>
        <w:tc>
          <w:tcPr>
            <w:tcW w:w="1417"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150</w:t>
            </w:r>
          </w:p>
        </w:tc>
        <w:tc>
          <w:tcPr>
            <w:tcW w:w="141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r>
      <w:tr w:rsidR="000215C5" w:rsidTr="00B20748">
        <w:trPr>
          <w:cantSplit/>
        </w:trPr>
        <w:tc>
          <w:tcPr>
            <w:tcW w:w="735" w:type="dxa"/>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82582C">
              <w:rPr>
                <w:rFonts w:ascii="Calibri" w:hAnsi="Calibri"/>
                <w:color w:val="000000"/>
                <w:sz w:val="18"/>
              </w:rPr>
              <w:t>-</w:t>
            </w:r>
            <w:r>
              <w:rPr>
                <w:rFonts w:ascii="Calibri" w:hAnsi="Calibri"/>
                <w:color w:val="000000"/>
                <w:sz w:val="18"/>
              </w:rPr>
              <w:t>vatten</w:t>
            </w:r>
          </w:p>
        </w:tc>
        <w:tc>
          <w:tcPr>
            <w:tcW w:w="1123"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4.2.1 Damm</w:t>
            </w:r>
            <w:r w:rsidR="0082582C">
              <w:rPr>
                <w:rFonts w:ascii="Calibri" w:hAnsi="Calibri"/>
                <w:color w:val="000000"/>
                <w:sz w:val="18"/>
              </w:rPr>
              <w:t>-</w:t>
            </w:r>
            <w:r>
              <w:rPr>
                <w:rFonts w:ascii="Calibri" w:hAnsi="Calibri"/>
                <w:color w:val="000000"/>
                <w:sz w:val="18"/>
              </w:rPr>
              <w:t>hinder för vattenkraft</w:t>
            </w:r>
          </w:p>
        </w:tc>
        <w:tc>
          <w:tcPr>
            <w:tcW w:w="1307"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22 %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dammar vars driftsför</w:t>
            </w:r>
            <w:r w:rsidR="0082582C">
              <w:rPr>
                <w:rFonts w:ascii="Calibri" w:hAnsi="Calibri"/>
                <w:color w:val="000000"/>
                <w:sz w:val="18"/>
              </w:rPr>
              <w:t>-</w:t>
            </w:r>
            <w:r>
              <w:rPr>
                <w:rFonts w:ascii="Calibri" w:hAnsi="Calibri"/>
                <w:color w:val="000000"/>
                <w:sz w:val="18"/>
              </w:rPr>
              <w:t>hållanden inte är förenliga med GES/GEP</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85</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45</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5</w:t>
            </w:r>
          </w:p>
        </w:tc>
        <w:tc>
          <w:tcPr>
            <w:tcW w:w="140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KTM5 – Förbättring av kontinuiteten längs hela vattendragen</w:t>
            </w:r>
          </w:p>
        </w:tc>
        <w:tc>
          <w:tcPr>
            <w:tcW w:w="137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hinder som måste elimineras för att uppnå målen</w:t>
            </w:r>
          </w:p>
        </w:tc>
        <w:tc>
          <w:tcPr>
            <w:tcW w:w="1573"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85</w:t>
            </w:r>
          </w:p>
        </w:tc>
        <w:tc>
          <w:tcPr>
            <w:tcW w:w="1417"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45</w:t>
            </w:r>
          </w:p>
        </w:tc>
        <w:tc>
          <w:tcPr>
            <w:tcW w:w="141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5</w:t>
            </w:r>
          </w:p>
        </w:tc>
      </w:tr>
      <w:tr w:rsidR="000215C5" w:rsidTr="00B20748">
        <w:trPr>
          <w:cantSplit/>
        </w:trPr>
        <w:tc>
          <w:tcPr>
            <w:tcW w:w="735" w:type="dxa"/>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Yt</w:t>
            </w:r>
            <w:r w:rsidR="0082582C">
              <w:rPr>
                <w:rFonts w:ascii="Calibri" w:hAnsi="Calibri"/>
                <w:color w:val="000000"/>
                <w:sz w:val="18"/>
              </w:rPr>
              <w:t>-</w:t>
            </w:r>
            <w:r>
              <w:rPr>
                <w:rFonts w:ascii="Calibri" w:hAnsi="Calibri"/>
                <w:color w:val="000000"/>
                <w:sz w:val="18"/>
              </w:rPr>
              <w:t>vatten</w:t>
            </w:r>
          </w:p>
        </w:tc>
        <w:tc>
          <w:tcPr>
            <w:tcW w:w="1123"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4.3.3 Hydrolo</w:t>
            </w:r>
            <w:r w:rsidR="0082582C">
              <w:rPr>
                <w:rFonts w:ascii="Calibri" w:hAnsi="Calibri"/>
                <w:color w:val="000000"/>
                <w:sz w:val="18"/>
              </w:rPr>
              <w:t>-</w:t>
            </w:r>
            <w:r>
              <w:rPr>
                <w:rFonts w:ascii="Calibri" w:hAnsi="Calibri"/>
                <w:color w:val="000000"/>
                <w:sz w:val="18"/>
              </w:rPr>
              <w:t>giska ändringar – vattenkraft</w:t>
            </w:r>
          </w:p>
        </w:tc>
        <w:tc>
          <w:tcPr>
            <w:tcW w:w="1307"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32 %</w:t>
            </w:r>
          </w:p>
        </w:tc>
        <w:tc>
          <w:tcPr>
            <w:tcW w:w="123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Längd i km för vattenföre</w:t>
            </w:r>
            <w:r w:rsidR="0082582C">
              <w:rPr>
                <w:rFonts w:ascii="Calibri" w:hAnsi="Calibri"/>
                <w:color w:val="000000"/>
                <w:sz w:val="18"/>
              </w:rPr>
              <w:t>-</w:t>
            </w:r>
            <w:r>
              <w:rPr>
                <w:rFonts w:ascii="Calibri" w:hAnsi="Calibri"/>
                <w:color w:val="000000"/>
                <w:sz w:val="18"/>
              </w:rPr>
              <w:t>komster som påverkas av hydrologiska ändringar som inte är förenliga med GES/GEP</w:t>
            </w:r>
          </w:p>
        </w:tc>
        <w:tc>
          <w:tcPr>
            <w:tcW w:w="114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100</w:t>
            </w:r>
          </w:p>
        </w:tc>
        <w:tc>
          <w:tcPr>
            <w:tcW w:w="105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50</w:t>
            </w:r>
          </w:p>
        </w:tc>
        <w:tc>
          <w:tcPr>
            <w:tcW w:w="1126"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c>
          <w:tcPr>
            <w:tcW w:w="140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KTM7 – Förbättringar i flödesmönster och e-flöden</w:t>
            </w:r>
          </w:p>
        </w:tc>
        <w:tc>
          <w:tcPr>
            <w:tcW w:w="1371"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Antal reviderade tillstånd</w:t>
            </w:r>
          </w:p>
        </w:tc>
        <w:tc>
          <w:tcPr>
            <w:tcW w:w="1573"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75</w:t>
            </w:r>
          </w:p>
        </w:tc>
        <w:tc>
          <w:tcPr>
            <w:tcW w:w="1417"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40</w:t>
            </w:r>
          </w:p>
        </w:tc>
        <w:tc>
          <w:tcPr>
            <w:tcW w:w="1418" w:type="dxa"/>
            <w:shd w:val="clear" w:color="auto" w:fill="auto"/>
            <w:vAlign w:val="center"/>
          </w:tcPr>
          <w:p w:rsidR="000215C5" w:rsidRDefault="00703023">
            <w:pPr>
              <w:spacing w:after="0"/>
              <w:jc w:val="both"/>
              <w:rPr>
                <w:rFonts w:ascii="Calibri" w:hAnsi="Calibri" w:cs="Calibri"/>
                <w:color w:val="000000"/>
                <w:sz w:val="18"/>
                <w:szCs w:val="22"/>
              </w:rPr>
            </w:pPr>
            <w:r>
              <w:rPr>
                <w:rFonts w:ascii="Calibri" w:hAnsi="Calibri"/>
                <w:color w:val="000000"/>
                <w:sz w:val="18"/>
              </w:rPr>
              <w:t>0</w:t>
            </w:r>
          </w:p>
        </w:tc>
      </w:tr>
    </w:tbl>
    <w:p w:rsidR="000215C5" w:rsidRDefault="000215C5">
      <w:pPr>
        <w:jc w:val="both"/>
      </w:pPr>
    </w:p>
    <w:p w:rsidR="000215C5" w:rsidRDefault="000215C5">
      <w:pPr>
        <w:jc w:val="both"/>
      </w:pPr>
    </w:p>
    <w:p w:rsidR="000215C5" w:rsidRDefault="000215C5">
      <w:pPr>
        <w:jc w:val="both"/>
        <w:sectPr w:rsidR="000215C5">
          <w:pgSz w:w="16838" w:h="11906" w:orient="landscape"/>
          <w:pgMar w:top="1418" w:right="1021" w:bottom="851" w:left="1021" w:header="601" w:footer="1077" w:gutter="0"/>
          <w:cols w:space="720"/>
          <w:docGrid w:linePitch="326"/>
        </w:sectPr>
      </w:pPr>
    </w:p>
    <w:p w:rsidR="000215C5" w:rsidRDefault="000215C5">
      <w:pPr>
        <w:jc w:val="both"/>
      </w:pPr>
    </w:p>
    <w:p w:rsidR="000215C5" w:rsidRDefault="00703023">
      <w:pPr>
        <w:pStyle w:val="Rubrik3"/>
      </w:pPr>
      <w:bookmarkStart w:id="710" w:name="_Toc388280348"/>
      <w:r>
        <w:t>Hur kommer kommissionen och Europeiska miljöbyrån att använda den rapporterade informationen</w:t>
      </w:r>
      <w:bookmarkEnd w:id="710"/>
      <w:r>
        <w:t>?</w:t>
      </w:r>
    </w:p>
    <w:p w:rsidR="000215C5" w:rsidRDefault="00703023">
      <w:pPr>
        <w:jc w:val="both"/>
      </w:pPr>
      <w:r>
        <w:t>Kommissionen kommer att använda den information som lämnas av medlemsstaterna för att försäkra sig om att bestämmelserna i artikel 11 har tillämpats på ett korrekt och konsekvent sätt enligt vattendirektivet och för att ta fram politiskt relevant information om genomförandet av åtgärdsplaner samt relevanta åtgärder.</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4"/>
      </w:pPr>
      <w:r>
        <w:t>Produkter från rapporteringen</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633"/>
        <w:gridCol w:w="900"/>
        <w:gridCol w:w="1089"/>
        <w:gridCol w:w="2127"/>
        <w:gridCol w:w="1985"/>
        <w:gridCol w:w="1701"/>
      </w:tblGrid>
      <w:tr w:rsidR="000215C5" w:rsidTr="002476B7">
        <w:trPr>
          <w:cantSplit/>
          <w:tblHeader/>
        </w:trPr>
        <w:tc>
          <w:tcPr>
            <w:tcW w:w="455" w:type="dxa"/>
            <w:shd w:val="clear" w:color="auto" w:fill="auto"/>
          </w:tcPr>
          <w:p w:rsidR="000215C5" w:rsidRDefault="00703023">
            <w:pPr>
              <w:jc w:val="both"/>
              <w:rPr>
                <w:b/>
                <w:sz w:val="18"/>
                <w:szCs w:val="18"/>
              </w:rPr>
            </w:pPr>
            <w:r>
              <w:rPr>
                <w:b/>
                <w:sz w:val="18"/>
              </w:rPr>
              <w:t>Nb</w:t>
            </w:r>
          </w:p>
        </w:tc>
        <w:tc>
          <w:tcPr>
            <w:tcW w:w="1633" w:type="dxa"/>
            <w:shd w:val="clear" w:color="auto" w:fill="auto"/>
          </w:tcPr>
          <w:p w:rsidR="000215C5" w:rsidRDefault="00703023">
            <w:pPr>
              <w:jc w:val="both"/>
              <w:rPr>
                <w:b/>
                <w:sz w:val="18"/>
                <w:szCs w:val="18"/>
              </w:rPr>
            </w:pPr>
            <w:r>
              <w:rPr>
                <w:b/>
                <w:sz w:val="18"/>
              </w:rPr>
              <w:t>Produktens namn</w:t>
            </w:r>
          </w:p>
        </w:tc>
        <w:tc>
          <w:tcPr>
            <w:tcW w:w="900" w:type="dxa"/>
            <w:shd w:val="clear" w:color="auto" w:fill="auto"/>
          </w:tcPr>
          <w:p w:rsidR="000215C5" w:rsidRDefault="00703023">
            <w:pPr>
              <w:jc w:val="both"/>
              <w:rPr>
                <w:b/>
                <w:sz w:val="18"/>
                <w:szCs w:val="18"/>
              </w:rPr>
            </w:pPr>
            <w:r>
              <w:rPr>
                <w:b/>
                <w:sz w:val="18"/>
              </w:rPr>
              <w:t>Produkttyp</w:t>
            </w:r>
          </w:p>
        </w:tc>
        <w:tc>
          <w:tcPr>
            <w:tcW w:w="1089" w:type="dxa"/>
            <w:shd w:val="clear" w:color="auto" w:fill="auto"/>
          </w:tcPr>
          <w:p w:rsidR="000215C5" w:rsidRDefault="00703023">
            <w:pPr>
              <w:jc w:val="both"/>
              <w:rPr>
                <w:b/>
                <w:sz w:val="18"/>
                <w:szCs w:val="18"/>
              </w:rPr>
            </w:pPr>
            <w:r>
              <w:rPr>
                <w:b/>
                <w:sz w:val="18"/>
              </w:rPr>
              <w:t>Informationsnivå*</w:t>
            </w:r>
          </w:p>
        </w:tc>
        <w:tc>
          <w:tcPr>
            <w:tcW w:w="2127" w:type="dxa"/>
            <w:shd w:val="clear" w:color="auto" w:fill="auto"/>
          </w:tcPr>
          <w:p w:rsidR="000215C5" w:rsidRDefault="00703023">
            <w:pPr>
              <w:jc w:val="both"/>
              <w:rPr>
                <w:b/>
                <w:sz w:val="18"/>
                <w:szCs w:val="18"/>
              </w:rPr>
            </w:pPr>
            <w:r>
              <w:rPr>
                <w:b/>
                <w:sz w:val="18"/>
              </w:rPr>
              <w:t>Detaljerad information visas</w:t>
            </w:r>
          </w:p>
        </w:tc>
        <w:tc>
          <w:tcPr>
            <w:tcW w:w="1985" w:type="dxa"/>
            <w:shd w:val="clear" w:color="auto" w:fill="auto"/>
          </w:tcPr>
          <w:p w:rsidR="000215C5" w:rsidRDefault="00703023">
            <w:pPr>
              <w:jc w:val="both"/>
              <w:rPr>
                <w:b/>
                <w:sz w:val="18"/>
                <w:szCs w:val="18"/>
              </w:rPr>
            </w:pPr>
            <w:r>
              <w:rPr>
                <w:b/>
                <w:sz w:val="18"/>
              </w:rPr>
              <w:t>Källa till detaljerad information samt aggregationsregeln</w:t>
            </w:r>
          </w:p>
        </w:tc>
        <w:tc>
          <w:tcPr>
            <w:tcW w:w="1701" w:type="dxa"/>
            <w:shd w:val="clear" w:color="auto" w:fill="auto"/>
          </w:tcPr>
          <w:p w:rsidR="000215C5" w:rsidRDefault="00703023">
            <w:pPr>
              <w:jc w:val="both"/>
              <w:rPr>
                <w:b/>
                <w:sz w:val="18"/>
                <w:szCs w:val="18"/>
              </w:rPr>
            </w:pPr>
            <w:r>
              <w:rPr>
                <w:b/>
                <w:sz w:val="18"/>
              </w:rPr>
              <w:t>Har informationen använts i rapporterna för 2012?*</w:t>
            </w:r>
          </w:p>
        </w:tc>
      </w:tr>
      <w:tr w:rsidR="000215C5" w:rsidTr="002476B7">
        <w:trPr>
          <w:cantSplit/>
        </w:trPr>
        <w:tc>
          <w:tcPr>
            <w:tcW w:w="455" w:type="dxa"/>
            <w:shd w:val="clear" w:color="auto" w:fill="auto"/>
          </w:tcPr>
          <w:p w:rsidR="000215C5" w:rsidRDefault="00703023">
            <w:pPr>
              <w:jc w:val="both"/>
              <w:rPr>
                <w:sz w:val="18"/>
                <w:szCs w:val="18"/>
              </w:rPr>
            </w:pPr>
            <w:r>
              <w:rPr>
                <w:sz w:val="18"/>
              </w:rPr>
              <w:t>1</w:t>
            </w:r>
          </w:p>
        </w:tc>
        <w:tc>
          <w:tcPr>
            <w:tcW w:w="1633" w:type="dxa"/>
            <w:shd w:val="clear" w:color="auto" w:fill="auto"/>
          </w:tcPr>
          <w:p w:rsidR="000215C5" w:rsidRDefault="00703023">
            <w:pPr>
              <w:jc w:val="both"/>
              <w:rPr>
                <w:b/>
                <w:sz w:val="18"/>
                <w:szCs w:val="18"/>
              </w:rPr>
            </w:pPr>
            <w:r>
              <w:rPr>
                <w:b/>
                <w:sz w:val="18"/>
              </w:rPr>
              <w:t>Procentandel vattenförekomster som inte uppnår målen på grund av olika typer av påverkan</w:t>
            </w:r>
          </w:p>
        </w:tc>
        <w:tc>
          <w:tcPr>
            <w:tcW w:w="900" w:type="dxa"/>
            <w:shd w:val="clear" w:color="auto" w:fill="auto"/>
          </w:tcPr>
          <w:p w:rsidR="000215C5" w:rsidRDefault="00703023">
            <w:pPr>
              <w:jc w:val="both"/>
              <w:rPr>
                <w:sz w:val="18"/>
                <w:szCs w:val="18"/>
              </w:rPr>
            </w:pPr>
            <w:r>
              <w:rPr>
                <w:sz w:val="18"/>
              </w:rPr>
              <w:t>Diagram, tabell eller karta</w:t>
            </w:r>
          </w:p>
        </w:tc>
        <w:tc>
          <w:tcPr>
            <w:tcW w:w="1089" w:type="dxa"/>
            <w:shd w:val="clear" w:color="auto" w:fill="auto"/>
          </w:tcPr>
          <w:p w:rsidR="000215C5" w:rsidRDefault="00703023">
            <w:pPr>
              <w:jc w:val="both"/>
              <w:rPr>
                <w:sz w:val="18"/>
                <w:szCs w:val="18"/>
              </w:rPr>
            </w:pPr>
            <w:r>
              <w:rPr>
                <w:sz w:val="18"/>
              </w:rPr>
              <w:t xml:space="preserve">EU/MS/RBD </w:t>
            </w:r>
          </w:p>
        </w:tc>
        <w:tc>
          <w:tcPr>
            <w:tcW w:w="2127" w:type="dxa"/>
            <w:shd w:val="clear" w:color="auto" w:fill="auto"/>
          </w:tcPr>
          <w:p w:rsidR="000215C5" w:rsidRDefault="00703023">
            <w:pPr>
              <w:jc w:val="both"/>
              <w:rPr>
                <w:sz w:val="18"/>
                <w:szCs w:val="18"/>
              </w:rPr>
            </w:pPr>
            <w:r>
              <w:rPr>
                <w:sz w:val="18"/>
              </w:rPr>
              <w:t>Procentandel vattenförekomster som inte uppnår målen på grund av olika typer av påverkan, för alla ytvattenförekomster eller per kategori.</w:t>
            </w:r>
          </w:p>
        </w:tc>
        <w:tc>
          <w:tcPr>
            <w:tcW w:w="1985" w:type="dxa"/>
            <w:shd w:val="clear" w:color="auto" w:fill="auto"/>
          </w:tcPr>
          <w:p w:rsidR="000215C5" w:rsidRDefault="00703023">
            <w:pPr>
              <w:jc w:val="both"/>
              <w:rPr>
                <w:sz w:val="18"/>
                <w:szCs w:val="18"/>
              </w:rPr>
            </w:pPr>
            <w:r>
              <w:rPr>
                <w:sz w:val="18"/>
              </w:rPr>
              <w:t>Information rapporterad på nivån för avrinningsdistrikt.</w:t>
            </w:r>
          </w:p>
        </w:tc>
        <w:tc>
          <w:tcPr>
            <w:tcW w:w="1701" w:type="dxa"/>
            <w:shd w:val="clear" w:color="auto" w:fill="auto"/>
          </w:tcPr>
          <w:p w:rsidR="000215C5" w:rsidRDefault="00703023">
            <w:pPr>
              <w:jc w:val="both"/>
              <w:rPr>
                <w:sz w:val="18"/>
                <w:szCs w:val="18"/>
              </w:rPr>
            </w:pPr>
            <w:r>
              <w:rPr>
                <w:sz w:val="18"/>
              </w:rPr>
              <w:t>Nej</w:t>
            </w:r>
          </w:p>
        </w:tc>
      </w:tr>
      <w:tr w:rsidR="000215C5" w:rsidTr="002476B7">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2</w:t>
            </w:r>
          </w:p>
        </w:tc>
        <w:tc>
          <w:tcPr>
            <w:tcW w:w="163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b/>
                <w:sz w:val="18"/>
                <w:szCs w:val="18"/>
              </w:rPr>
            </w:pPr>
            <w:r>
              <w:rPr>
                <w:b/>
                <w:sz w:val="18"/>
              </w:rPr>
              <w:t>Kostnad för åtgärder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Diagram, tabell eller karta</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 xml:space="preserve">EU/MS/RBD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Totala kostnader för åtgärdsprogrammet eller kostnader uppdelade på grundläggande åtgärder enligt artikel 11.3 a, grundläggande åtgärder enligt artikel 11.3 b–l och kompletterande åtgärder.</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Information rapporterad på nivån för avrinningsdistrikt.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Nej</w:t>
            </w:r>
          </w:p>
        </w:tc>
      </w:tr>
      <w:tr w:rsidR="000215C5" w:rsidTr="002476B7">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3</w:t>
            </w:r>
          </w:p>
        </w:tc>
        <w:tc>
          <w:tcPr>
            <w:tcW w:w="163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b/>
                <w:sz w:val="18"/>
                <w:szCs w:val="18"/>
              </w:rPr>
            </w:pPr>
            <w:r>
              <w:rPr>
                <w:b/>
                <w:sz w:val="18"/>
              </w:rPr>
              <w:t>Åtgärder som har införts för att hantera betydande påverkan och kemiska ämnen som leder till att målen inte uppfylls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Bedöm</w:t>
            </w:r>
            <w:r w:rsidR="002476B7">
              <w:rPr>
                <w:sz w:val="18"/>
              </w:rPr>
              <w:t>-</w:t>
            </w:r>
            <w:r>
              <w:rPr>
                <w:sz w:val="18"/>
              </w:rPr>
              <w:t>nings</w:t>
            </w:r>
            <w:r w:rsidR="002476B7">
              <w:rPr>
                <w:sz w:val="18"/>
              </w:rPr>
              <w:t>-</w:t>
            </w:r>
            <w:r>
              <w:rPr>
                <w:sz w:val="18"/>
              </w:rPr>
              <w:t>rapport</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 xml:space="preserve">EU/MS/RBD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Åtgärder som har införts för att hantera betydande påverkan och kemiska ämnen som leder till att målen inte uppfylls.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215C5" w:rsidRPr="002476B7" w:rsidRDefault="00703023">
            <w:pPr>
              <w:jc w:val="both"/>
              <w:rPr>
                <w:sz w:val="18"/>
              </w:rPr>
            </w:pPr>
            <w:r>
              <w:rPr>
                <w:sz w:val="18"/>
              </w:rPr>
              <w:t xml:space="preserve">Rapporterad information per </w:t>
            </w:r>
            <w:r w:rsidRPr="002476B7">
              <w:rPr>
                <w:sz w:val="18"/>
              </w:rPr>
              <w:t>avrinningsdistrikt/del</w:t>
            </w:r>
            <w:r w:rsidR="002476B7" w:rsidRPr="002476B7">
              <w:rPr>
                <w:sz w:val="18"/>
              </w:rPr>
              <w:t>-</w:t>
            </w:r>
            <w:r w:rsidRPr="002476B7">
              <w:rPr>
                <w:sz w:val="18"/>
              </w:rPr>
              <w:t>avrinningsdistrikt, även i dokument eller avsnitt</w:t>
            </w:r>
            <w:r>
              <w:rPr>
                <w:sz w:val="18"/>
              </w:rPr>
              <w:t xml:space="preserve"> i förvaltningsplanen som det specifikt hänvisas till.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Ja</w:t>
            </w:r>
          </w:p>
        </w:tc>
      </w:tr>
      <w:tr w:rsidR="000215C5" w:rsidTr="002476B7">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4</w:t>
            </w:r>
          </w:p>
        </w:tc>
        <w:tc>
          <w:tcPr>
            <w:tcW w:w="163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b/>
                <w:sz w:val="18"/>
                <w:szCs w:val="18"/>
              </w:rPr>
            </w:pPr>
            <w:r>
              <w:rPr>
                <w:b/>
                <w:sz w:val="18"/>
              </w:rPr>
              <w:t>Framsteg i genomförandet, igångsättande av åtgärdsprogram</w:t>
            </w:r>
            <w:r w:rsidR="002476B7">
              <w:rPr>
                <w:b/>
                <w:sz w:val="18"/>
              </w:rPr>
              <w:t>-</w:t>
            </w:r>
            <w:r>
              <w:rPr>
                <w:b/>
                <w:sz w:val="18"/>
              </w:rPr>
              <w:t>men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Bedöm</w:t>
            </w:r>
            <w:r w:rsidR="002476B7">
              <w:rPr>
                <w:sz w:val="18"/>
              </w:rPr>
              <w:t>-</w:t>
            </w:r>
            <w:r>
              <w:rPr>
                <w:sz w:val="18"/>
              </w:rPr>
              <w:t>nings</w:t>
            </w:r>
            <w:r w:rsidR="002476B7">
              <w:rPr>
                <w:sz w:val="18"/>
              </w:rPr>
              <w:t>-</w:t>
            </w:r>
            <w:r>
              <w:rPr>
                <w:sz w:val="18"/>
              </w:rPr>
              <w:t>rapport</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 xml:space="preserve">EU/MS/RBD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Förväntade framsteg under den andra och tredje planeringscykeln. Faktiska framsteg som ska rapporteras 2018 och 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Rapporterad information per avrinningsdistrikt/del</w:t>
            </w:r>
            <w:r w:rsidR="002476B7">
              <w:rPr>
                <w:sz w:val="18"/>
              </w:rPr>
              <w:t>-</w:t>
            </w:r>
            <w:r>
              <w:rPr>
                <w:sz w:val="18"/>
              </w:rPr>
              <w:t>avrinningsdistrikt, även i dokument eller avsnitt i förvaltningsplanen som det specifikt hänvisas till.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jc w:val="both"/>
              <w:rPr>
                <w:sz w:val="18"/>
                <w:szCs w:val="18"/>
              </w:rPr>
            </w:pPr>
            <w:r>
              <w:rPr>
                <w:sz w:val="18"/>
              </w:rPr>
              <w:t>Ja</w:t>
            </w:r>
          </w:p>
        </w:tc>
      </w:tr>
    </w:tbl>
    <w:p w:rsidR="000215C5" w:rsidRDefault="000215C5">
      <w:pPr>
        <w:jc w:val="both"/>
      </w:pPr>
    </w:p>
    <w:p w:rsidR="000215C5" w:rsidRDefault="00703023">
      <w:pPr>
        <w:pStyle w:val="Rubrik3"/>
      </w:pPr>
      <w:bookmarkStart w:id="711" w:name="_Toc388280349"/>
      <w:r>
        <w:t>Innehåll i rapporteringen 2016</w:t>
      </w:r>
      <w:bookmarkEnd w:id="711"/>
    </w:p>
    <w:p w:rsidR="000215C5" w:rsidRDefault="00703023">
      <w:pPr>
        <w:pStyle w:val="Rubrik4"/>
      </w:pPr>
      <w:r>
        <w:t>Skiss över mallarna</w:t>
      </w:r>
    </w:p>
    <w:p w:rsidR="000215C5" w:rsidRDefault="00703023">
      <w:pPr>
        <w:jc w:val="both"/>
      </w:pPr>
      <w:r>
        <w:t>Se bilaga 10.7.</w:t>
      </w:r>
    </w:p>
    <w:p w:rsidR="000215C5" w:rsidRDefault="00703023">
      <w:pPr>
        <w:pStyle w:val="Rubrik4"/>
      </w:pPr>
      <w:r>
        <w:t>Information och uppgifter som ska rapporteras med hjälp av mallarna</w:t>
      </w:r>
    </w:p>
    <w:tbl>
      <w:tblPr>
        <w:tblW w:w="9889" w:type="dxa"/>
        <w:tblLook w:val="04A0" w:firstRow="1" w:lastRow="0" w:firstColumn="1" w:lastColumn="0" w:noHBand="0" w:noVBand="1"/>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rPr>
            </w:pPr>
            <w:r>
              <w:rPr>
                <w:b/>
              </w:rPr>
              <w:t>Mall: RBMPPoM (fortsättning)</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rPr>
            </w:pPr>
            <w:r>
              <w:rPr>
                <w:b/>
                <w:i/>
              </w:rPr>
              <w:t>Class PoM</w:t>
            </w:r>
          </w:p>
          <w:p w:rsidR="000215C5" w:rsidRDefault="00703023">
            <w:pPr>
              <w:spacing w:after="120"/>
              <w:jc w:val="both"/>
              <w:rPr>
                <w:i/>
              </w:rPr>
            </w:pPr>
            <w:r>
              <w:rPr>
                <w:b/>
                <w:i/>
              </w:rPr>
              <w:t>Egenskaper</w:t>
            </w:r>
            <w:r>
              <w:rPr>
                <w:i/>
              </w:rPr>
              <w:t>: maxOccurs = unbounded minOccurs = 1</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rPr>
            </w:pPr>
            <w:r>
              <w:rPr>
                <w:b/>
              </w:rPr>
              <w:t>Mallpost</w:t>
            </w:r>
            <w:r>
              <w:t>:</w:t>
            </w:r>
            <w:r>
              <w:rPr>
                <w:b/>
              </w:rPr>
              <w:t xml:space="preserve"> </w:t>
            </w:r>
            <w:r>
              <w:t>euSubUnitCode</w:t>
            </w:r>
          </w:p>
          <w:p w:rsidR="000215C5" w:rsidRDefault="00703023">
            <w:pPr>
              <w:spacing w:after="120"/>
              <w:jc w:val="both"/>
            </w:pPr>
            <w:r>
              <w:rPr>
                <w:b/>
              </w:rPr>
              <w:t xml:space="preserve">Fälttyp/alternativ: </w:t>
            </w:r>
            <w:r>
              <w:t>FeatureUniqueEUCodeType</w:t>
            </w:r>
          </w:p>
          <w:p w:rsidR="000215C5" w:rsidRDefault="00703023">
            <w:pPr>
              <w:spacing w:after="120"/>
              <w:jc w:val="both"/>
            </w:pPr>
            <w:r>
              <w:rPr>
                <w:b/>
              </w:rPr>
              <w:t xml:space="preserve">Egenskaper: </w:t>
            </w:r>
            <w:r>
              <w:t>maxOccurs = 1 minOccurs = 0</w:t>
            </w:r>
          </w:p>
          <w:p w:rsidR="000215C5" w:rsidRDefault="00703023">
            <w:pPr>
              <w:spacing w:after="120"/>
              <w:jc w:val="both"/>
            </w:pPr>
            <w:r>
              <w:rPr>
                <w:b/>
              </w:rPr>
              <w:t xml:space="preserve">Vägledning om hur man fyller i mallposten: </w:t>
            </w:r>
            <w:r>
              <w:t xml:space="preserve">Villkorlig. I förekommande fall, rapportera delavrinningsdistriktets unika EU-kod. Om det inte finns några delavrinningsdistrikt behöver denna post inte rapporteras och informationen rapporteras på nivån för avrinningsdistrikt. Delavrinningsdistrikt är endast relevanta för ytvatten. </w:t>
            </w:r>
          </w:p>
          <w:p w:rsidR="000215C5" w:rsidRDefault="00703023">
            <w:pPr>
              <w:tabs>
                <w:tab w:val="left" w:pos="1643"/>
                <w:tab w:val="left" w:pos="1995"/>
                <w:tab w:val="left" w:pos="4503"/>
                <w:tab w:val="left" w:pos="8337"/>
              </w:tabs>
              <w:spacing w:after="120"/>
              <w:jc w:val="both"/>
              <w:rPr>
                <w:szCs w:val="24"/>
              </w:rPr>
            </w:pPr>
            <w:r>
              <w:rPr>
                <w:b/>
              </w:rPr>
              <w:t>Kvalitetskontroller</w:t>
            </w:r>
            <w:r>
              <w:t>:</w:t>
            </w:r>
            <w:r>
              <w:rPr>
                <w:b/>
              </w:rPr>
              <w:t xml:space="preserve"> </w:t>
            </w:r>
            <w:r>
              <w:t xml:space="preserve">Villkorlig kontroll: Rapportera om </w:t>
            </w:r>
            <w:r>
              <w:rPr>
                <w:i/>
              </w:rPr>
              <w:t>RBDSUCA/RBD/</w:t>
            </w:r>
            <w:r>
              <w:t>subUnitsDefined är ”Yes”.</w:t>
            </w:r>
          </w:p>
          <w:p w:rsidR="000215C5" w:rsidRDefault="00703023">
            <w:pPr>
              <w:spacing w:after="120"/>
              <w:jc w:val="both"/>
            </w:pPr>
            <w:r>
              <w:t>Kontroll av posten: De första två bokstäverna måste vara medlemsstatens ISO-landskod med två bokstäver.</w:t>
            </w:r>
            <w:r>
              <w:rPr>
                <w:rStyle w:val="Fotnotsreferens"/>
              </w:rPr>
              <w:footnoteReference w:id="121"/>
            </w:r>
            <w:r>
              <w:t xml:space="preserve"> </w:t>
            </w:r>
          </w:p>
          <w:p w:rsidR="000215C5" w:rsidRDefault="00703023">
            <w:pPr>
              <w:spacing w:after="120"/>
              <w:jc w:val="both"/>
            </w:pPr>
            <w:r>
              <w:t xml:space="preserve"> </w:t>
            </w:r>
          </w:p>
          <w:p w:rsidR="000215C5" w:rsidRDefault="00703023">
            <w:pPr>
              <w:spacing w:after="120"/>
              <w:jc w:val="both"/>
            </w:pPr>
            <w:r>
              <w:t xml:space="preserve">Intern kontroll: euSubUnitCode måste överensstämma med de koder som rapporteras i </w:t>
            </w:r>
            <w:r>
              <w:rPr>
                <w:i/>
              </w:rPr>
              <w:t>RBDSUCA/RBD/SubUnit/</w:t>
            </w:r>
            <w:r>
              <w:t>euSubUnitCode.</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rPr>
            </w:pPr>
            <w:r>
              <w:rPr>
                <w:b/>
              </w:rPr>
              <w:t>Mallpost</w:t>
            </w:r>
            <w:r>
              <w:t>:</w:t>
            </w:r>
            <w:r>
              <w:rPr>
                <w:b/>
              </w:rPr>
              <w:t xml:space="preserve"> </w:t>
            </w:r>
            <w:r>
              <w:t>surfaceWaterOrGroundwater</w:t>
            </w:r>
          </w:p>
          <w:p w:rsidR="000215C5" w:rsidRDefault="00703023">
            <w:pPr>
              <w:spacing w:after="120"/>
              <w:jc w:val="both"/>
              <w:rPr>
                <w:b/>
              </w:rPr>
            </w:pPr>
            <w:r>
              <w:rPr>
                <w:b/>
              </w:rPr>
              <w:t xml:space="preserve">Fälttyp/alternativ: </w:t>
            </w:r>
            <w:r>
              <w:t>SWBorGWB_Enum:</w:t>
            </w:r>
          </w:p>
          <w:p w:rsidR="000215C5" w:rsidRDefault="00703023">
            <w:pPr>
              <w:spacing w:after="120"/>
              <w:jc w:val="both"/>
            </w:pPr>
            <w:r>
              <w:t>Surface water</w:t>
            </w:r>
          </w:p>
          <w:p w:rsidR="000215C5" w:rsidRDefault="00703023">
            <w:pPr>
              <w:spacing w:after="120"/>
              <w:jc w:val="both"/>
            </w:pPr>
            <w:r>
              <w:t>Groundwater</w:t>
            </w:r>
          </w:p>
          <w:p w:rsidR="000215C5" w:rsidRDefault="00703023">
            <w:pPr>
              <w:spacing w:after="120"/>
              <w:jc w:val="both"/>
            </w:pPr>
            <w:r>
              <w:rPr>
                <w:b/>
              </w:rPr>
              <w:t xml:space="preserve">Egenskaper: </w:t>
            </w:r>
            <w:r>
              <w:t>maxOccurs = 1 minOccurs = 1</w:t>
            </w:r>
          </w:p>
          <w:p w:rsidR="000215C5" w:rsidRDefault="00703023">
            <w:pPr>
              <w:spacing w:after="120"/>
              <w:jc w:val="both"/>
            </w:pPr>
            <w:r>
              <w:rPr>
                <w:b/>
              </w:rPr>
              <w:t>Vägledning om hur man fyller i mallposten</w:t>
            </w:r>
            <w:r>
              <w:t>:</w:t>
            </w:r>
            <w:r>
              <w:rPr>
                <w:b/>
              </w:rPr>
              <w:t xml:space="preserve"> </w:t>
            </w:r>
            <w:r>
              <w:t>Krävs.</w:t>
            </w:r>
            <w:r>
              <w:rPr>
                <w:b/>
              </w:rPr>
              <w:t xml:space="preserve"> </w:t>
            </w:r>
            <w:r>
              <w:t xml:space="preserve">Välj i tur och ordning yt- eller grundvattenförekomster från uppräkningslistan där åtgärder krävs för att uppnå vattendirektivets miljömål. </w:t>
            </w:r>
          </w:p>
        </w:tc>
      </w:tr>
    </w:tbl>
    <w:p w:rsidR="000215C5" w:rsidRDefault="000215C5">
      <w:pPr>
        <w:jc w:val="both"/>
      </w:pPr>
    </w:p>
    <w:p w:rsidR="000215C5" w:rsidRDefault="00703023">
      <w:pPr>
        <w:jc w:val="both"/>
        <w:rPr>
          <w:b/>
          <w:u w:val="single"/>
        </w:rPr>
      </w:pPr>
      <w:r>
        <w:t xml:space="preserve">Följande klass (underkategori till PoM) används för att rapportera de typer av betydande påverkan och prioriterade ämnen eller RBSP som leder till att god ekologisk status eller potential eller god kemisk status inte uppnås. </w:t>
      </w:r>
    </w:p>
    <w:tbl>
      <w:tblPr>
        <w:tblW w:w="9889" w:type="dxa"/>
        <w:tblLook w:val="04A0" w:firstRow="1" w:lastRow="0" w:firstColumn="1" w:lastColumn="0" w:noHBand="0" w:noVBand="1"/>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rPr>
            </w:pPr>
            <w:r>
              <w:rPr>
                <w:b/>
              </w:rPr>
              <w:t>Mall: RBMPPoM</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rPr>
            </w:pPr>
            <w:r>
              <w:rPr>
                <w:b/>
                <w:i/>
              </w:rPr>
              <w:t>Class SignificantPressureSubstanceFailing</w:t>
            </w:r>
          </w:p>
          <w:p w:rsidR="000215C5" w:rsidRDefault="00703023">
            <w:pPr>
              <w:spacing w:after="120"/>
              <w:jc w:val="both"/>
              <w:rPr>
                <w:i/>
              </w:rPr>
            </w:pPr>
            <w:r>
              <w:rPr>
                <w:b/>
                <w:i/>
              </w:rPr>
              <w:t xml:space="preserve">Egenskaper: </w:t>
            </w:r>
            <w:r>
              <w:rPr>
                <w:i/>
              </w:rPr>
              <w:t>maxOccurs = unbounded minOccurs = 1</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rPr>
            </w:pPr>
            <w:r>
              <w:rPr>
                <w:b/>
              </w:rPr>
              <w:t>Mallpost</w:t>
            </w:r>
            <w:r>
              <w:t>:</w:t>
            </w:r>
            <w:r>
              <w:rPr>
                <w:b/>
              </w:rPr>
              <w:t xml:space="preserve"> </w:t>
            </w:r>
            <w:r>
              <w:t>significantPressureOrSubstanceFailing</w:t>
            </w:r>
          </w:p>
          <w:p w:rsidR="000215C5" w:rsidRDefault="00703023">
            <w:pPr>
              <w:spacing w:after="120"/>
              <w:jc w:val="both"/>
            </w:pPr>
            <w:r>
              <w:rPr>
                <w:b/>
              </w:rPr>
              <w:t xml:space="preserve">Fälttyp/alternativ: </w:t>
            </w:r>
            <w:r>
              <w:t>SignificantPressureOrSubstanceFailingType_Union_Enum: union of SignificantPressureType_Enum (Annex 1a) and ChemicalSubstances_Union_Enum (Annex 8e)</w:t>
            </w:r>
          </w:p>
          <w:p w:rsidR="000215C5" w:rsidRDefault="00703023">
            <w:pPr>
              <w:spacing w:after="120"/>
              <w:jc w:val="both"/>
            </w:pPr>
            <w:r>
              <w:rPr>
                <w:b/>
              </w:rPr>
              <w:t xml:space="preserve">Egenskaper: </w:t>
            </w:r>
            <w:r>
              <w:t>maxOccurs = 1 minOccurs = 1</w:t>
            </w:r>
          </w:p>
          <w:p w:rsidR="000215C5" w:rsidRDefault="00703023">
            <w:pPr>
              <w:spacing w:after="120"/>
              <w:jc w:val="both"/>
            </w:pPr>
            <w:r>
              <w:rPr>
                <w:b/>
              </w:rPr>
              <w:t>Vägledning om hur man fyller i mallposten</w:t>
            </w:r>
            <w:r>
              <w:t>:</w:t>
            </w:r>
            <w:r>
              <w:rPr>
                <w:b/>
              </w:rPr>
              <w:t xml:space="preserve"> </w:t>
            </w:r>
            <w:r>
              <w:t>Krävs. Välj i tur och ordning från uppräkningslistan</w:t>
            </w:r>
          </w:p>
          <w:p w:rsidR="000215C5" w:rsidRDefault="00703023">
            <w:pPr>
              <w:spacing w:after="120"/>
              <w:jc w:val="both"/>
            </w:pPr>
            <w:r>
              <w:t xml:space="preserve">– varje typ av betydande påverkan som är betydande i sig själv eller i kombination med annan påverkan, och leder till att miljömålen inte uppfylls (dvs. som leder till att god ekologisk status eller potential eller god kemisk status inte uppnås), </w:t>
            </w:r>
          </w:p>
          <w:p w:rsidR="000215C5" w:rsidRDefault="00703023">
            <w:pPr>
              <w:spacing w:after="120"/>
              <w:jc w:val="both"/>
            </w:pPr>
            <w:r>
              <w:t>– varje prioriterat ämne som leder till att god kemisk status inte uppnås,</w:t>
            </w:r>
          </w:p>
          <w:p w:rsidR="000215C5" w:rsidRDefault="00703023">
            <w:pPr>
              <w:spacing w:after="120"/>
              <w:jc w:val="both"/>
            </w:pPr>
            <w:r>
              <w:t>– varje RBSP som leder till att god ekologisk status eller potential inte uppnås,</w:t>
            </w:r>
          </w:p>
          <w:p w:rsidR="000215C5" w:rsidRDefault="00703023">
            <w:pPr>
              <w:spacing w:after="120"/>
              <w:jc w:val="both"/>
            </w:pPr>
            <w:r>
              <w:t>och för vilka åtgärder krävs för att minska påverkan till en nivå och utsträckning som gör det möjligt att uppnå miljömålen. Fler än en typ av betydande påverkan kan väljas.</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useArticle45Beyond2027</w:t>
            </w:r>
          </w:p>
          <w:p w:rsidR="000215C5" w:rsidRDefault="00703023">
            <w:pPr>
              <w:spacing w:after="120"/>
              <w:jc w:val="both"/>
              <w:rPr>
                <w:szCs w:val="24"/>
              </w:rPr>
            </w:pPr>
            <w:r>
              <w:rPr>
                <w:b/>
              </w:rPr>
              <w:t xml:space="preserve">Fälttyp/alternativ: </w:t>
            </w:r>
            <w:r>
              <w:t>useArticle45Beyond2027_Enum:</w:t>
            </w:r>
          </w:p>
          <w:p w:rsidR="000215C5" w:rsidRDefault="00703023">
            <w:pPr>
              <w:spacing w:after="120"/>
              <w:jc w:val="both"/>
              <w:rPr>
                <w:szCs w:val="24"/>
              </w:rPr>
            </w:pPr>
            <w:r>
              <w:t>0</w:t>
            </w:r>
          </w:p>
          <w:p w:rsidR="000215C5" w:rsidRDefault="00703023">
            <w:pPr>
              <w:spacing w:after="120"/>
              <w:jc w:val="both"/>
              <w:rPr>
                <w:szCs w:val="24"/>
              </w:rPr>
            </w:pPr>
            <w:r>
              <w:t>0–10</w:t>
            </w:r>
          </w:p>
          <w:p w:rsidR="000215C5" w:rsidRDefault="00703023">
            <w:pPr>
              <w:spacing w:after="120"/>
              <w:jc w:val="both"/>
              <w:rPr>
                <w:szCs w:val="24"/>
              </w:rPr>
            </w:pPr>
            <w:r>
              <w:t>10–20</w:t>
            </w:r>
          </w:p>
          <w:p w:rsidR="000215C5" w:rsidRDefault="00703023">
            <w:pPr>
              <w:spacing w:after="120"/>
              <w:jc w:val="both"/>
              <w:rPr>
                <w:szCs w:val="24"/>
              </w:rPr>
            </w:pPr>
            <w:r>
              <w:t>20–50</w:t>
            </w:r>
          </w:p>
          <w:p w:rsidR="000215C5" w:rsidRDefault="00703023">
            <w:pPr>
              <w:spacing w:after="120"/>
              <w:jc w:val="both"/>
              <w:rPr>
                <w:szCs w:val="24"/>
              </w:rPr>
            </w:pPr>
            <w:r>
              <w:t>&gt;50 %</w:t>
            </w:r>
          </w:p>
          <w:p w:rsidR="000215C5" w:rsidRDefault="00703023">
            <w:pPr>
              <w:spacing w:after="120"/>
              <w:jc w:val="both"/>
              <w:rPr>
                <w:b/>
                <w:szCs w:val="24"/>
              </w:rPr>
            </w:pPr>
            <w:r>
              <w:t>No information</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w:t>
            </w:r>
            <w:r>
              <w:rPr>
                <w:b/>
              </w:rPr>
              <w:t xml:space="preserve"> </w:t>
            </w:r>
            <w:r>
              <w:t>Krävs. För varje rapporterad typ av betydande påverkan och kemiskt ämne, välj den uppskattade procentandelen vattenförekomster från uppräkningslistan som förväntas omfattas av mindre stränga miljömål enligt artikel 4.5 i vattendirektivet under den tredje cykeln, dvs. procentandelen vattenförekomster som inte förväntas uppnå god status eller potential till 2027. Om denna information inte finns tillgänglig, välj ”No information”.</w:t>
            </w:r>
          </w:p>
        </w:tc>
      </w:tr>
    </w:tbl>
    <w:p w:rsidR="000215C5" w:rsidRDefault="000215C5">
      <w:pPr>
        <w:jc w:val="both"/>
      </w:pPr>
    </w:p>
    <w:p w:rsidR="000215C5" w:rsidRDefault="00703023">
      <w:pPr>
        <w:jc w:val="both"/>
      </w:pPr>
      <w:r>
        <w:t xml:space="preserve">Följande klass (underkategori till SignificantPressureSubstanceFailing) används i syfte att för varje vald typ av betydande påverkan eller kemiskt ämne rapportera kvantitativa indikatorer för omfattningen av påverkan när det gäller den lucka som förväntas uppstå och som måste fyllas för att uppnå miljömålen. </w:t>
      </w:r>
    </w:p>
    <w:tbl>
      <w:tblPr>
        <w:tblW w:w="9889" w:type="dxa"/>
        <w:tblLook w:val="04A0" w:firstRow="1" w:lastRow="0" w:firstColumn="1" w:lastColumn="0" w:noHBand="0" w:noVBand="1"/>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 RBMPPoM</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szCs w:val="24"/>
              </w:rPr>
            </w:pPr>
            <w:r>
              <w:rPr>
                <w:b/>
                <w:i/>
              </w:rPr>
              <w:t>Class IndicatorGap</w:t>
            </w:r>
          </w:p>
          <w:p w:rsidR="000215C5" w:rsidRDefault="00703023">
            <w:pPr>
              <w:spacing w:after="120"/>
              <w:jc w:val="both"/>
              <w:rPr>
                <w:i/>
                <w:szCs w:val="24"/>
              </w:rPr>
            </w:pPr>
            <w:r>
              <w:rPr>
                <w:b/>
                <w:i/>
              </w:rPr>
              <w:t xml:space="preserve">Egenskaper: </w:t>
            </w:r>
            <w:r>
              <w:rPr>
                <w:i/>
              </w:rPr>
              <w:t>maxOccurs = unbounded minOccurs = 1</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 indicatorGap</w:t>
            </w:r>
          </w:p>
          <w:p w:rsidR="000215C5" w:rsidRDefault="00703023">
            <w:pPr>
              <w:spacing w:after="120"/>
              <w:jc w:val="both"/>
              <w:rPr>
                <w:szCs w:val="24"/>
              </w:rPr>
            </w:pPr>
            <w:r>
              <w:rPr>
                <w:b/>
              </w:rPr>
              <w:t>Fälttyp/alternativ:</w:t>
            </w:r>
            <w:r>
              <w:t xml:space="preserve"> IndicatorPressure_Enum (se bilaga 8p)</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För varje rapporterad typ av betydande påverkan eller kemiskt ämne, välj den fördefinierade kvantitativa indikatorn för omfattningen av den påverkan eller det kemiska ämne som ska minskas genom åtgärderna för att uppnå miljömålen. Detta är den lucka som måste fyllas för att uppnå målen. Minst en av de fördefinierade kvantitativa indikatorerna måste väljas från uppräkningslistan, även om fler än en indikator kan vara lämplig för situationen i avrinningsdistriktet.</w:t>
            </w:r>
          </w:p>
          <w:p w:rsidR="000215C5" w:rsidRDefault="00703023">
            <w:pPr>
              <w:spacing w:after="120"/>
              <w:jc w:val="both"/>
              <w:rPr>
                <w:szCs w:val="24"/>
              </w:rPr>
            </w:pPr>
            <w:r>
              <w:t>Välj alternativet ”</w:t>
            </w:r>
            <w:r>
              <w:rPr>
                <w:rFonts w:ascii="Calibri" w:hAnsi="Calibri"/>
                <w:color w:val="000000"/>
                <w:sz w:val="22"/>
              </w:rPr>
              <w:t>PO99 – Other indicator”</w:t>
            </w:r>
            <w:r>
              <w:t xml:space="preserve"> från uppräkningslistan för att rapportera uppgifter om kompletterande kvantitativa indikatorer som har tagits fram av medlemsstaterna i de relevanta mallposterna.</w:t>
            </w:r>
          </w:p>
          <w:p w:rsidR="000215C5" w:rsidRDefault="00703023">
            <w:pPr>
              <w:spacing w:after="120"/>
              <w:jc w:val="both"/>
              <w:rPr>
                <w:szCs w:val="24"/>
              </w:rPr>
            </w:pPr>
            <w:r>
              <w:t>I vägledande syfte har typerna av påverkan och de kemiska ämnena kartlagts mot de fördefinierade centrala åtgärdstyperna (KTM) (se bilaga 3). Kvantitativa indikatorer har föreslagits för varje typ av påverkan och varje kemiskt ämne som leder till att miljömålen inte uppnås samt relevanta KTM.</w:t>
            </w:r>
          </w:p>
          <w:p w:rsidR="000215C5" w:rsidRDefault="00703023">
            <w:pPr>
              <w:spacing w:after="120"/>
              <w:jc w:val="both"/>
              <w:rPr>
                <w:szCs w:val="24"/>
              </w:rPr>
            </w:pPr>
            <w:r>
              <w:t>Alla indikatorer anger vilka åtgärder som behöver vidtas för att uppnå miljömålen (dvs. god ekologisk status eller potential eller god kemisk status). Detta innebär att värdet för varje indikator kommer att minskas med tiden allteftersom åtgärder vidtas. Ett värde på 0 motsvarar 100 % god ekologisk status eller potential eller god kemisk status. Eventuella andra indikatorer som rapporteras av medlemsstaterna under ”Other” ska vara utformade på samma sätt.</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 xml:space="preserve">Mallpost: </w:t>
            </w:r>
            <w:r>
              <w:t>indicatorGapOther</w:t>
            </w:r>
          </w:p>
          <w:p w:rsidR="000215C5" w:rsidRDefault="00703023">
            <w:pPr>
              <w:spacing w:after="120"/>
              <w:jc w:val="both"/>
              <w:rPr>
                <w:b/>
                <w:szCs w:val="24"/>
              </w:rPr>
            </w:pPr>
            <w:r>
              <w:rPr>
                <w:b/>
              </w:rPr>
              <w:t xml:space="preserve">Fälttyp/alternativ: </w:t>
            </w:r>
            <w:r>
              <w:t>String 1000Type</w:t>
            </w:r>
          </w:p>
          <w:p w:rsidR="000215C5" w:rsidRDefault="00703023">
            <w:pPr>
              <w:spacing w:after="120"/>
              <w:jc w:val="both"/>
              <w:rPr>
                <w:b/>
                <w:szCs w:val="24"/>
              </w:rPr>
            </w:pPr>
            <w:r>
              <w:rPr>
                <w:b/>
              </w:rPr>
              <w:t xml:space="preserve">Egenskaper: </w:t>
            </w:r>
            <w:r>
              <w:t>maxOccurs = 1 min minOccurs = 0</w:t>
            </w:r>
          </w:p>
          <w:p w:rsidR="000215C5" w:rsidRDefault="00703023">
            <w:pPr>
              <w:spacing w:after="120"/>
              <w:jc w:val="both"/>
              <w:rPr>
                <w:szCs w:val="24"/>
              </w:rPr>
            </w:pPr>
            <w:r>
              <w:rPr>
                <w:b/>
              </w:rPr>
              <w:t xml:space="preserve">Vägledning om hur man fyller i mallposten: </w:t>
            </w:r>
            <w:r>
              <w:t>Villkorlig. Om ”</w:t>
            </w:r>
            <w:r>
              <w:rPr>
                <w:rFonts w:ascii="Calibri" w:hAnsi="Calibri"/>
                <w:color w:val="000000"/>
                <w:sz w:val="22"/>
              </w:rPr>
              <w:t>PO99 – Other indicator</w:t>
            </w:r>
            <w:r>
              <w:t>” har rapporterats i indicatorGap, ange en förkortning för och en beskrivning av den kvantitativa indikatorn för omfattningen av den typ av påverkan eller det kemiska ämne som ska minskas med hjälp av åtgärder och i syfte att uppnå miljömålen. Detta är den lucka som måste fyllas för att uppnå målen. Fler än en indikator kan rapporteras under ”Other”.</w:t>
            </w:r>
          </w:p>
          <w:p w:rsidR="000215C5" w:rsidRDefault="00703023">
            <w:pPr>
              <w:spacing w:after="120"/>
              <w:jc w:val="both"/>
              <w:rPr>
                <w:szCs w:val="24"/>
              </w:rPr>
            </w:pPr>
            <w:r>
              <w:t>Alla indikatorer anger vilka åtgärder som behöver vidtas för att uppnå miljömålen (dvs. god ekologisk status eller potential eller god kemisk status). Detta innebär att värdet för varje indikator kommer att minskas med tiden allteftersom åtgärder vidtas. Ett värde på 0 motsvarar 100 % god ekologisk status eller potential eller god kemisk status. Eventuella andra indikatorer som rapporteras av medlemsstaterna under ”Other” ska vara utformade på samma sätt.</w:t>
            </w:r>
          </w:p>
          <w:p w:rsidR="000215C5" w:rsidRDefault="00703023">
            <w:pPr>
              <w:spacing w:after="120"/>
              <w:jc w:val="both"/>
              <w:rPr>
                <w:b/>
                <w:szCs w:val="24"/>
              </w:rPr>
            </w:pPr>
            <w:r>
              <w:rPr>
                <w:b/>
              </w:rPr>
              <w:t>Kvalitetskontroller:</w:t>
            </w:r>
            <w:r>
              <w:t xml:space="preserve"> Villkorlig kontroll:</w:t>
            </w:r>
            <w:r>
              <w:rPr>
                <w:b/>
              </w:rPr>
              <w:t xml:space="preserve"> </w:t>
            </w:r>
            <w:r>
              <w:t>Rapportera om indicatorGap är ”</w:t>
            </w:r>
            <w:r>
              <w:rPr>
                <w:rFonts w:ascii="Calibri" w:hAnsi="Calibri"/>
                <w:color w:val="000000"/>
                <w:sz w:val="22"/>
              </w:rPr>
              <w:t>PO99 – Other indicator</w:t>
            </w:r>
            <w:r>
              <w:t>”.</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 indicatorGapValue2015</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För varje fördefinierad kvantitativ indikator som väljs i indicatorGap, rapportera det förväntade värdet för den indikatorn vid </w:t>
            </w:r>
            <w:r>
              <w:rPr>
                <w:u w:val="single"/>
              </w:rPr>
              <w:t>inledningen</w:t>
            </w:r>
            <w:r>
              <w:t xml:space="preserve"> av den andra cykeln 2015.</w:t>
            </w:r>
          </w:p>
          <w:p w:rsidR="000215C5" w:rsidRDefault="00703023">
            <w:pPr>
              <w:spacing w:after="120"/>
              <w:jc w:val="both"/>
              <w:rPr>
                <w:szCs w:val="24"/>
              </w:rPr>
            </w:pPr>
            <w:r>
              <w:t xml:space="preserve">Värdet för 2015 bör ge en kvantitativ indikation på omfattningen av de åtgärder som fortfarande behöver vidtas för att uppfylla miljömålen till 100 % (dvs. god ekologisk status eller potential eller god kemisk status). Detta innebär att värdet för varje indikator kommer att minskas med tiden allteftersom åtgärder vidtas. Ett värde på 0 motsvarar 100 % god ekologisk status eller potential eller god kemisk status.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 indicatorGapValue2021</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xml:space="preserve">: Krävs. För varje fördefinierad kvantitativ indikator som väljs i IndicatorGap, rapportera det förväntade värdet för den indikatorn vid </w:t>
            </w:r>
            <w:r>
              <w:rPr>
                <w:u w:val="single"/>
              </w:rPr>
              <w:t>inledningen</w:t>
            </w:r>
            <w:r>
              <w:t xml:space="preserve"> av den tredje cykeln 2021.</w:t>
            </w:r>
          </w:p>
          <w:p w:rsidR="000215C5" w:rsidRDefault="00703023">
            <w:pPr>
              <w:spacing w:after="120"/>
              <w:jc w:val="both"/>
              <w:rPr>
                <w:szCs w:val="24"/>
              </w:rPr>
            </w:pPr>
            <w:r>
              <w:t>Värdet för 2021 bör ge en indikation på den förväntade situationen 2021 när det gäller de åtgärder som fortfarande behöver vidtas för att uppfylla miljömålen till 100 % (dvs. god ekologisk status eller potential eller god kemisk status). Skillnaden mellan indikatorvärdet 2015 och 2021 bör ge en indikation på de framsteg som kan förväntas under den andra cykeln. Om alla åtgärder som behövs för att uppnå miljömålen förväntas vara fullständigt operativa ska värdet på indikatorn vara 0.</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 indicatorGapValue2027</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Egenskaper</w:t>
            </w:r>
            <w:r>
              <w:t>: maxOccurs = 1 minOccurs = 0</w:t>
            </w:r>
          </w:p>
          <w:p w:rsidR="000215C5" w:rsidRDefault="00703023">
            <w:pPr>
              <w:spacing w:after="120"/>
              <w:jc w:val="both"/>
              <w:rPr>
                <w:szCs w:val="24"/>
              </w:rPr>
            </w:pPr>
            <w:r>
              <w:rPr>
                <w:b/>
              </w:rPr>
              <w:t>Vägledning om hur man fyller i mallposten</w:t>
            </w:r>
            <w:r>
              <w:t xml:space="preserve">: Frivilligt. För varje fördefinierad kvantitativ indikator som väljs i IndicatorGap, rapportera det förväntade värdet för den indikatorn vid </w:t>
            </w:r>
            <w:r>
              <w:rPr>
                <w:u w:val="single"/>
              </w:rPr>
              <w:t>avslutningen</w:t>
            </w:r>
            <w:r>
              <w:t xml:space="preserve"> av den tredje cykeln 2027.</w:t>
            </w:r>
          </w:p>
          <w:p w:rsidR="000215C5" w:rsidRDefault="00703023">
            <w:pPr>
              <w:spacing w:after="120"/>
              <w:jc w:val="both"/>
              <w:rPr>
                <w:szCs w:val="24"/>
              </w:rPr>
            </w:pPr>
            <w:r>
              <w:t>Värdet för 2027 bör ge en indikation på den förväntade situationen 2027 när det gäller de åtgärder som fortfarande behöver vidtas för att uppfylla miljömålen till 100 % (dvs. god ekologisk status eller potential eller god kemisk status). Skillnaden mellan indikatorvärdet 2015 och 2027 bör ge en indikation på de övergripande framsteg som kan förväntas under den andra och tredje cykeln. Om alla åtgärder som behövs för att uppnå miljömålen förväntas vara fullständigt operativa ska värdet på indikatorn vara 0.</w:t>
            </w:r>
          </w:p>
          <w:p w:rsidR="000215C5" w:rsidRDefault="00703023">
            <w:pPr>
              <w:spacing w:after="120"/>
              <w:jc w:val="both"/>
              <w:rPr>
                <w:szCs w:val="24"/>
              </w:rPr>
            </w:pPr>
            <w:r>
              <w:rPr>
                <w:b/>
              </w:rPr>
              <w:t>Kvalitetskontroller</w:t>
            </w:r>
            <w:r>
              <w:t xml:space="preserve">: </w:t>
            </w:r>
          </w:p>
        </w:tc>
      </w:tr>
    </w:tbl>
    <w:p w:rsidR="000215C5" w:rsidRDefault="000215C5">
      <w:pPr>
        <w:spacing w:after="120"/>
        <w:jc w:val="both"/>
        <w:rPr>
          <w:szCs w:val="24"/>
        </w:rPr>
      </w:pPr>
    </w:p>
    <w:p w:rsidR="000215C5" w:rsidRDefault="00703023">
      <w:pPr>
        <w:spacing w:after="120"/>
        <w:jc w:val="both"/>
        <w:rPr>
          <w:szCs w:val="24"/>
        </w:rPr>
      </w:pPr>
      <w:r>
        <w:t>Följande klass (underkategori till SignificantPressureSubstanceFailing) används för att rapportera de valda centrala åtgärdstyperna (KTM) för att fylla den rapporterade luckan samt kvantitativa indikatorer för de förväntade framstegen under den andra och tredje planeringscykeln.</w:t>
      </w:r>
    </w:p>
    <w:p w:rsidR="000215C5" w:rsidRDefault="000215C5">
      <w:pPr>
        <w:spacing w:after="120"/>
        <w:jc w:val="both"/>
        <w:rPr>
          <w:szCs w:val="24"/>
        </w:rPr>
      </w:pPr>
    </w:p>
    <w:tbl>
      <w:tblPr>
        <w:tblW w:w="9889" w:type="dxa"/>
        <w:tblLook w:val="04A0" w:firstRow="1" w:lastRow="0" w:firstColumn="1" w:lastColumn="0" w:noHBand="0" w:noVBand="1"/>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Mallen RBMPPoM (fortsättning)</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szCs w:val="24"/>
              </w:rPr>
            </w:pPr>
            <w:r>
              <w:rPr>
                <w:b/>
                <w:i/>
              </w:rPr>
              <w:t>Class KeyTypeMeasureIndicator</w:t>
            </w:r>
          </w:p>
          <w:p w:rsidR="000215C5" w:rsidRDefault="00703023">
            <w:pPr>
              <w:spacing w:after="120"/>
              <w:jc w:val="both"/>
              <w:rPr>
                <w:i/>
                <w:szCs w:val="24"/>
              </w:rPr>
            </w:pPr>
            <w:r>
              <w:rPr>
                <w:b/>
                <w:i/>
              </w:rPr>
              <w:t xml:space="preserve">Egenskaper: </w:t>
            </w:r>
            <w:r>
              <w:rPr>
                <w:i/>
              </w:rPr>
              <w:t>maxOccurs = unbounded minOccurs = 1</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keyTypeMeasure</w:t>
            </w:r>
          </w:p>
          <w:p w:rsidR="000215C5" w:rsidRDefault="00703023">
            <w:pPr>
              <w:spacing w:after="120"/>
              <w:jc w:val="both"/>
              <w:rPr>
                <w:b/>
                <w:szCs w:val="24"/>
              </w:rPr>
            </w:pPr>
            <w:r>
              <w:rPr>
                <w:b/>
              </w:rPr>
              <w:t xml:space="preserve">Fälttyp/alternativ: </w:t>
            </w:r>
            <w:r>
              <w:t>KTM_Enum (se bilaga 8q)</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För varje rapporterad typ av betydande påverkan och kemiskt ämne, rapportera de fördefinierade centrala åtgärdstyper (KTM) som kommer att införas för att minska påverkan eller det kemiska ämnet. </w:t>
            </w:r>
          </w:p>
          <w:p w:rsidR="000215C5" w:rsidRDefault="00703023">
            <w:pPr>
              <w:spacing w:after="120"/>
              <w:jc w:val="both"/>
            </w:pPr>
            <w:r>
              <w:t>Fler än en ”Other key type of measure” (KTM99) kan vara relevant för en typ av betydande påverkan eller ett kemiskt ämne. Det kan dessutom finnas fler än en indikator för en KTM. I sådana fall ska varje kombination av KTM/indikator anges i en separat post. Samma KTM och samma indikator kan alltså anges fler än en gång.</w:t>
            </w:r>
          </w:p>
          <w:p w:rsidR="000215C5" w:rsidRDefault="00703023">
            <w:pPr>
              <w:spacing w:after="120"/>
              <w:jc w:val="both"/>
              <w:rPr>
                <w:szCs w:val="24"/>
              </w:rPr>
            </w:pPr>
            <w:r>
              <w:t>När det gäller diffus påverkan från jordbruket kan t.ex. KTM2 (minskade föroreningar av näringsämnen från jordbruket), KTM3 (minskade föroreningar av bekämpningsmedel från jordbruket) och KTM17 (åtgärder för att minska sediment från markerosion och ytvattenavrinning) vara tillämpliga, beroende på de effekter som påverkan från diffusa föroreningar från jordbruket orsakar.</w:t>
            </w:r>
          </w:p>
          <w:p w:rsidR="000215C5" w:rsidRDefault="00703023">
            <w:pPr>
              <w:spacing w:after="120"/>
              <w:jc w:val="both"/>
              <w:rPr>
                <w:szCs w:val="24"/>
              </w:rPr>
            </w:pPr>
            <w:r>
              <w:t>Om de fördefinierade KTM inte är lämpliga, välj alternativet ”</w:t>
            </w:r>
            <w:r>
              <w:rPr>
                <w:rFonts w:ascii="Calibri" w:hAnsi="Calibri"/>
                <w:color w:val="000000"/>
                <w:sz w:val="22"/>
              </w:rPr>
              <w:t>KTM99 – Other key type measure reported under PoM</w:t>
            </w:r>
            <w:r>
              <w:t>” från uppräkningslistan och rapportera uppgifter om andra (nya) KTM som tagits fram av medlemsstaten i mallposten keyTypeMeasureOther.</w:t>
            </w:r>
          </w:p>
          <w:p w:rsidR="000215C5" w:rsidRDefault="00703023">
            <w:pPr>
              <w:spacing w:after="120"/>
              <w:jc w:val="both"/>
              <w:rPr>
                <w:szCs w:val="24"/>
              </w:rPr>
            </w:pPr>
            <w:r>
              <w:t>I vägledande syfte har typerna av påverkan och de kemiska ämnena kartlagts mot de fördefinierade centrala åtgärdstyperna (KTM) (se bilaga 3). Kvantitativa indikatorer har föreslagits för varje typ av påverkan och varje kemiskt ämne som leder till att miljömålen inte uppnås samt relevanta KTM.</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 xml:space="preserve">Mallpost: </w:t>
            </w:r>
            <w:r>
              <w:t>keyTypeMeasureOther</w:t>
            </w:r>
          </w:p>
          <w:p w:rsidR="000215C5" w:rsidRDefault="00703023">
            <w:pPr>
              <w:spacing w:after="120"/>
              <w:jc w:val="both"/>
              <w:rPr>
                <w:b/>
                <w:szCs w:val="24"/>
              </w:rPr>
            </w:pPr>
            <w:r>
              <w:rPr>
                <w:b/>
              </w:rPr>
              <w:t xml:space="preserve">Fälttyp/alternativ: </w:t>
            </w:r>
            <w:r>
              <w:t>String 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b/>
                <w:szCs w:val="24"/>
              </w:rPr>
            </w:pPr>
            <w:r>
              <w:rPr>
                <w:b/>
              </w:rPr>
              <w:t xml:space="preserve">Vägledning om hur man fyller i mallposten: </w:t>
            </w:r>
            <w:r>
              <w:t>Villkorlig. För varje rapporterad typ av betydande påverkan och kemiskt ämne, rapportera namn på de centrala åtgärdstyper (KTM) som kommer att införas om de fördefinierade KTM inte är lämpliga för att minska påverkan eller det kemiska ämnet. Fler än en ny KTM kan rapporteras.</w:t>
            </w:r>
          </w:p>
          <w:p w:rsidR="000215C5" w:rsidRDefault="00703023">
            <w:pPr>
              <w:spacing w:after="120"/>
              <w:jc w:val="both"/>
              <w:rPr>
                <w:szCs w:val="24"/>
              </w:rPr>
            </w:pPr>
            <w:r>
              <w:rPr>
                <w:b/>
              </w:rPr>
              <w:t xml:space="preserve">Kvalitetskontroller: </w:t>
            </w:r>
            <w:r>
              <w:t>Villkorlig kontroll: Rapportera om ”</w:t>
            </w:r>
            <w:r>
              <w:rPr>
                <w:rFonts w:ascii="Calibri" w:hAnsi="Calibri"/>
                <w:color w:val="000000"/>
                <w:sz w:val="22"/>
              </w:rPr>
              <w:t>KTM99 – Other key type measure reported under PoM</w:t>
            </w:r>
            <w:r>
              <w:t xml:space="preserve">” rapporteras i keyTypeMeasure.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keyTypeMeasureIndicator</w:t>
            </w:r>
          </w:p>
          <w:p w:rsidR="000215C5" w:rsidRDefault="00703023">
            <w:pPr>
              <w:spacing w:after="120"/>
              <w:jc w:val="both"/>
              <w:rPr>
                <w:szCs w:val="24"/>
              </w:rPr>
            </w:pPr>
            <w:r>
              <w:rPr>
                <w:b/>
              </w:rPr>
              <w:t xml:space="preserve">Fälttyp/alternativ: </w:t>
            </w:r>
            <w:r>
              <w:t>IndicatorKTM_Enum (se bilaga 8r)</w:t>
            </w:r>
          </w:p>
          <w:p w:rsidR="000215C5" w:rsidRDefault="00703023">
            <w:pPr>
              <w:spacing w:after="120"/>
              <w:jc w:val="both"/>
              <w:rPr>
                <w:b/>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w:t>
            </w:r>
            <w:r>
              <w:rPr>
                <w:b/>
              </w:rPr>
              <w:t xml:space="preserve"> </w:t>
            </w:r>
            <w:r>
              <w:t>Krävs. Välj den fördefinierade kvantitativa indikator från uppräkningslistan som rör varje fördefinierad KTM som rapporterats i keyTypeMeasure. Den valda indikatorn bör ange de återstående åtgärder som måste vidtas för att uppnå miljömålen.</w:t>
            </w:r>
          </w:p>
          <w:p w:rsidR="000215C5" w:rsidRDefault="00703023">
            <w:pPr>
              <w:spacing w:after="120"/>
              <w:jc w:val="both"/>
              <w:rPr>
                <w:szCs w:val="24"/>
              </w:rPr>
            </w:pPr>
            <w:r>
              <w:t>Minst en av de fördefinierade kvantitativa indikatorerna för KTM måste väljas från uppräkningslistan, även om fler än en indikator kan vara lämplig för situationen i avrinningsdistriktet. Välj alternativet ”</w:t>
            </w:r>
            <w:r>
              <w:rPr>
                <w:rFonts w:ascii="Calibri" w:hAnsi="Calibri"/>
                <w:color w:val="000000"/>
                <w:sz w:val="22"/>
              </w:rPr>
              <w:t>KO99 – Other indicator”</w:t>
            </w:r>
            <w:r>
              <w:t xml:space="preserve"> från uppräkningslistan för att rapportera uppgifter om kompletterande kvantitativa indikatorer för KTM som har tagits fram av medlemsstaterna i de relevanta mallposterna.</w:t>
            </w:r>
          </w:p>
          <w:p w:rsidR="000215C5" w:rsidRDefault="00703023">
            <w:pPr>
              <w:spacing w:after="120"/>
              <w:jc w:val="both"/>
            </w:pPr>
            <w:r>
              <w:t>Det kan dessutom finnas fler än en indikator för en KTM. I sådana fall ska varje kombination av KTM/indikator anges i en separat post. Samma KTM och samma indikator kan alltså anges fler än en gång.</w:t>
            </w:r>
          </w:p>
          <w:p w:rsidR="000215C5" w:rsidRDefault="00703023">
            <w:pPr>
              <w:spacing w:after="120"/>
              <w:jc w:val="both"/>
              <w:rPr>
                <w:szCs w:val="24"/>
              </w:rPr>
            </w:pPr>
            <w:r>
              <w:t>I vägledande syfte har typerna av påverkan och de kemiska ämnena kartlagts mot de fördefinierade centrala åtgärdstyperna (KTM) (se bilaga 3). Kvantitativa indikatorer har föreslagits för varje typ av påverkan och varje kemiskt ämne som leder till att miljömålen inte uppnås samt relevanta KTM.</w:t>
            </w:r>
          </w:p>
          <w:p w:rsidR="000215C5" w:rsidRDefault="00703023">
            <w:pPr>
              <w:spacing w:after="120"/>
              <w:jc w:val="both"/>
              <w:rPr>
                <w:szCs w:val="24"/>
              </w:rPr>
            </w:pPr>
            <w:r>
              <w:t>Alla indikatorer anger vilka åtgärder som behöver vidtas för att uppnå miljömålen (dvs. god ekologisk status eller potential eller god kemisk status). Detta innebär att värdet för varje indikator kommer att minskas med tiden allteftersom åtgärder vidtas. Ett värde på 0 motsvarar 100 % god ekologisk status eller potential eller god kemisk status. Eventuella andra indikatorer som rapporteras av medlemsstaterna under ”Other” ska vara utformade på samma sätt.</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 xml:space="preserve">Mallpost: </w:t>
            </w:r>
            <w:r>
              <w:t>keyTypeMeasureIndicatorOther</w:t>
            </w:r>
          </w:p>
          <w:p w:rsidR="000215C5" w:rsidRDefault="00703023">
            <w:pPr>
              <w:spacing w:after="120"/>
              <w:jc w:val="both"/>
              <w:rPr>
                <w:b/>
                <w:szCs w:val="24"/>
              </w:rPr>
            </w:pPr>
            <w:r>
              <w:rPr>
                <w:b/>
              </w:rPr>
              <w:t>Fälttyp/alternativ:</w:t>
            </w:r>
            <w:r>
              <w:t xml:space="preserve"> String1000Type</w:t>
            </w:r>
          </w:p>
          <w:p w:rsidR="000215C5" w:rsidRDefault="00703023">
            <w:pPr>
              <w:spacing w:after="120"/>
              <w:jc w:val="both"/>
              <w:rPr>
                <w:b/>
                <w:szCs w:val="24"/>
              </w:rPr>
            </w:pPr>
            <w:r>
              <w:rPr>
                <w:b/>
              </w:rPr>
              <w:t xml:space="preserve">Egenskaper: </w:t>
            </w:r>
            <w:r>
              <w:t>maxOccurs = 1 minOccurs = 0</w:t>
            </w:r>
          </w:p>
          <w:p w:rsidR="000215C5" w:rsidRDefault="00703023">
            <w:pPr>
              <w:spacing w:after="120"/>
              <w:jc w:val="both"/>
              <w:rPr>
                <w:szCs w:val="24"/>
              </w:rPr>
            </w:pPr>
            <w:r>
              <w:rPr>
                <w:b/>
              </w:rPr>
              <w:t xml:space="preserve">Vägledning om hur man fyller i mallposten: </w:t>
            </w:r>
            <w:r>
              <w:t>Villkorlig. Om ”</w:t>
            </w:r>
            <w:r>
              <w:rPr>
                <w:rFonts w:ascii="Calibri" w:hAnsi="Calibri"/>
                <w:color w:val="000000"/>
                <w:sz w:val="22"/>
              </w:rPr>
              <w:t>KO99 – Other indicator”</w:t>
            </w:r>
            <w:r>
              <w:t xml:space="preserve"> har rapporterats i keyTypeMeasureIndicator, ange en förkortning för och en beskrivning av den kvantitativa indikator som rör KTM. Fler än en indikator kan rapporteras under ”Other”.</w:t>
            </w:r>
          </w:p>
          <w:p w:rsidR="000215C5" w:rsidRDefault="00703023">
            <w:pPr>
              <w:spacing w:after="120"/>
              <w:jc w:val="both"/>
              <w:rPr>
                <w:szCs w:val="24"/>
              </w:rPr>
            </w:pPr>
            <w:r>
              <w:t>Alla indikatorer anger vilka åtgärder som behöver vidtas för att uppnå miljömålen (dvs. god ekologisk status eller potential eller god kemisk status). Detta innebär att värdet för varje indikator kommer att minskas med tiden allteftersom åtgärder vidtas. Ett värde på 0 motsvarar 100 % god ekologisk status eller potential eller god kemisk status. Eventuella andra indikatorer som rapporteras av medlemsstaterna under ”Other” ska vara utformade på samma sätt.</w:t>
            </w:r>
          </w:p>
          <w:p w:rsidR="000215C5" w:rsidRDefault="00703023">
            <w:pPr>
              <w:spacing w:after="120"/>
              <w:jc w:val="both"/>
              <w:rPr>
                <w:b/>
                <w:szCs w:val="24"/>
              </w:rPr>
            </w:pPr>
            <w:r>
              <w:rPr>
                <w:b/>
              </w:rPr>
              <w:t xml:space="preserve">Kvalitetskontroller: </w:t>
            </w:r>
            <w:r>
              <w:t>Villkorlig kontroll: Rapportera om keyTypeMeasureIndicator är ”</w:t>
            </w:r>
            <w:r>
              <w:rPr>
                <w:rFonts w:ascii="Calibri" w:hAnsi="Calibri"/>
                <w:color w:val="000000"/>
                <w:sz w:val="22"/>
              </w:rPr>
              <w:t>KO99 – Other indicator</w:t>
            </w:r>
            <w:r>
              <w:t>”.</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keyTypeMeasureIndicatorValue2015</w:t>
            </w:r>
          </w:p>
          <w:p w:rsidR="000215C5" w:rsidRDefault="00703023">
            <w:pPr>
              <w:spacing w:after="120"/>
              <w:jc w:val="both"/>
              <w:rPr>
                <w:b/>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w:t>
            </w:r>
            <w:r>
              <w:rPr>
                <w:b/>
              </w:rPr>
              <w:t xml:space="preserve"> </w:t>
            </w:r>
            <w:r>
              <w:t xml:space="preserve">Krävs. För varje fördefinierad kvantitativ indikator som rör KTM som väljs i keyTypeMeasureIndicator, rapportera det förväntade värdet för den indikatorn vid </w:t>
            </w:r>
            <w:r>
              <w:rPr>
                <w:u w:val="single"/>
              </w:rPr>
              <w:t>inledningen</w:t>
            </w:r>
            <w:r>
              <w:t xml:space="preserve"> av den andra planeringscykeln 2015.</w:t>
            </w:r>
          </w:p>
          <w:p w:rsidR="000215C5" w:rsidRDefault="00703023">
            <w:pPr>
              <w:spacing w:after="120"/>
              <w:jc w:val="both"/>
              <w:rPr>
                <w:szCs w:val="24"/>
              </w:rPr>
            </w:pPr>
            <w:r>
              <w:t>Värdet för 2015 bör ge en kvantitativ indikation på omfattningen av de åtgärder som fortfarande behöver vidtas för att uppfylla miljömålen till 100 % (dvs. god ekologisk status eller potential eller god kemisk status). Detta innebär att värdet för varje indikator kommer att minskas med tiden allteftersom åtgärder vidtas. Ett värde på 0 motsvarar 100 % god ekologisk status eller potential eller god kemisk status.</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keyTypeMeasureIndicatorValue2021</w:t>
            </w:r>
          </w:p>
          <w:p w:rsidR="000215C5" w:rsidRDefault="00703023">
            <w:pPr>
              <w:spacing w:after="120"/>
              <w:jc w:val="both"/>
              <w:rPr>
                <w:b/>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w:t>
            </w:r>
            <w:r>
              <w:rPr>
                <w:b/>
              </w:rPr>
              <w:t xml:space="preserve"> </w:t>
            </w:r>
            <w:r>
              <w:t>Krävs.</w:t>
            </w:r>
            <w:r>
              <w:rPr>
                <w:b/>
              </w:rPr>
              <w:t xml:space="preserve"> </w:t>
            </w:r>
            <w:r>
              <w:t xml:space="preserve">För varje fördefinierad kvantitativ indikator som rör KTM som väljs i keyTypeMeasureIndicator, rapportera det förväntade värdet för den indikatorn vid </w:t>
            </w:r>
            <w:r>
              <w:rPr>
                <w:u w:val="single"/>
              </w:rPr>
              <w:t>inledningen</w:t>
            </w:r>
            <w:r>
              <w:t xml:space="preserve"> av den tredje planeringscykeln 2021.</w:t>
            </w:r>
          </w:p>
          <w:p w:rsidR="000215C5" w:rsidRDefault="00703023">
            <w:pPr>
              <w:spacing w:after="120"/>
              <w:jc w:val="both"/>
              <w:rPr>
                <w:szCs w:val="24"/>
              </w:rPr>
            </w:pPr>
            <w:r>
              <w:t>Värdet för 2021 bör ge en indikation på den förväntade situationen 2021 när det gäller de åtgärder som fortfarande behöver vidtas för att uppfylla miljömålen till 100 % (dvs. god ekologisk status eller potential eller god kemisk status). Skillnaden mellan indikatorvärdet 2015 och 2021 bör ge en indikation på de framsteg som kan förväntas under den andra cykeln. Om alla åtgärder som behövs för att uppnå miljömålen förväntas vara fullständigt operativa ska värdet på indikatorn vara 0.</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keyTypeMeasureIndicatorValue2027</w:t>
            </w:r>
          </w:p>
          <w:p w:rsidR="000215C5" w:rsidRDefault="00703023">
            <w:pPr>
              <w:spacing w:after="120"/>
              <w:jc w:val="both"/>
              <w:rPr>
                <w:b/>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w:t>
            </w:r>
            <w:r>
              <w:rPr>
                <w:b/>
              </w:rPr>
              <w:t xml:space="preserve"> </w:t>
            </w:r>
            <w:r>
              <w:t>Frivilligt.</w:t>
            </w:r>
            <w:r>
              <w:rPr>
                <w:b/>
              </w:rPr>
              <w:t xml:space="preserve"> </w:t>
            </w:r>
            <w:r>
              <w:t xml:space="preserve">För varje fördefinierad kvantitativ indikator som rör KTM som väljs i keyTypeMeasureIndicator, rapportera det förväntade värdet för den indikatorn vid </w:t>
            </w:r>
            <w:r>
              <w:rPr>
                <w:u w:val="single"/>
              </w:rPr>
              <w:t>avslutningen</w:t>
            </w:r>
            <w:r>
              <w:t xml:space="preserve"> av den tredje planeringscykeln 2027.</w:t>
            </w:r>
          </w:p>
          <w:p w:rsidR="000215C5" w:rsidRDefault="00703023">
            <w:pPr>
              <w:spacing w:after="120"/>
              <w:jc w:val="both"/>
              <w:rPr>
                <w:szCs w:val="24"/>
              </w:rPr>
            </w:pPr>
            <w:r>
              <w:t>Värdet för 2027 bör ge en indikation på den förväntade situationen 2027 när det gäller de åtgärder som fortfarande behöver vidtas för att uppfylla miljömålen till 100 % (dvs. god ekologisk status eller potential eller god kemisk status). Skillnaden mellan indikatorvärdet 2015 och 2027 bör ge en indikation på de övergripande framsteg som kan förväntas under den andra och tredje cykeln. Om alla åtgärder som behövs för att uppnå miljömålen förväntas vara fullständigt operativa ska värdet på indikatorn vara 0.</w:t>
            </w:r>
          </w:p>
        </w:tc>
      </w:tr>
    </w:tbl>
    <w:p w:rsidR="000215C5" w:rsidRDefault="000215C5">
      <w:pPr>
        <w:jc w:val="both"/>
      </w:pPr>
    </w:p>
    <w:p w:rsidR="000215C5" w:rsidRDefault="00703023">
      <w:pPr>
        <w:jc w:val="both"/>
      </w:pPr>
      <w:r>
        <w:rPr>
          <w:b/>
        </w:rPr>
        <w:t>Kartläggning av KTM mot individuella åtgärder</w:t>
      </w:r>
    </w:p>
    <w:p w:rsidR="000215C5" w:rsidRDefault="00703023">
      <w:pPr>
        <w:jc w:val="both"/>
      </w:pPr>
      <w:r>
        <w:t xml:space="preserve">Följande klass gör det möjligt att kartlägga centrala åtgärdstyper mot individuella åtgärder i medlemsstaterna.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RBMPPoM (fortsättning)</w:t>
            </w:r>
          </w:p>
        </w:tc>
      </w:tr>
      <w:tr w:rsidR="000215C5">
        <w:tc>
          <w:tcPr>
            <w:tcW w:w="9889" w:type="dxa"/>
            <w:shd w:val="clear" w:color="auto" w:fill="auto"/>
          </w:tcPr>
          <w:p w:rsidR="000215C5" w:rsidRDefault="00703023">
            <w:pPr>
              <w:spacing w:after="120"/>
              <w:jc w:val="both"/>
              <w:rPr>
                <w:b/>
                <w:i/>
                <w:szCs w:val="24"/>
              </w:rPr>
            </w:pPr>
            <w:r>
              <w:rPr>
                <w:b/>
                <w:i/>
              </w:rPr>
              <w:t>Class KTM</w:t>
            </w:r>
          </w:p>
          <w:p w:rsidR="000215C5" w:rsidRDefault="00703023">
            <w:pPr>
              <w:spacing w:after="120"/>
              <w:jc w:val="both"/>
              <w:rPr>
                <w:i/>
                <w:szCs w:val="24"/>
              </w:rPr>
            </w:pPr>
            <w:r>
              <w:rPr>
                <w:b/>
                <w:i/>
              </w:rPr>
              <w:t xml:space="preserve">Egenskaper: </w:t>
            </w:r>
            <w:r>
              <w:rPr>
                <w:i/>
              </w:rPr>
              <w:t>maxOccurs = unbounded minOccurs = 1</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keyTypeMeasure</w:t>
            </w:r>
          </w:p>
          <w:p w:rsidR="000215C5" w:rsidRDefault="00703023">
            <w:pPr>
              <w:spacing w:after="120"/>
              <w:jc w:val="both"/>
              <w:rPr>
                <w:szCs w:val="24"/>
              </w:rPr>
            </w:pPr>
            <w:r>
              <w:rPr>
                <w:b/>
              </w:rPr>
              <w:t>Fälttyp/alternativ/förhållande</w:t>
            </w:r>
            <w:r>
              <w:t>: KTM_Enum (se bilaga 8q)</w:t>
            </w:r>
          </w:p>
          <w:p w:rsidR="000215C5" w:rsidRDefault="00703023">
            <w:pPr>
              <w:spacing w:after="120"/>
              <w:jc w:val="both"/>
              <w:rPr>
                <w:szCs w:val="24"/>
              </w:rPr>
            </w:pPr>
            <w:r>
              <w:rPr>
                <w:b/>
              </w:rPr>
              <w:t>Egenskaper</w:t>
            </w:r>
            <w:r>
              <w:t>: maxOccurs = 1 minOccurs = 1</w:t>
            </w:r>
          </w:p>
          <w:p w:rsidR="000215C5" w:rsidRDefault="00703023">
            <w:pPr>
              <w:spacing w:after="120"/>
              <w:jc w:val="both"/>
              <w:rPr>
                <w:szCs w:val="24"/>
              </w:rPr>
            </w:pPr>
            <w:r>
              <w:rPr>
                <w:b/>
              </w:rPr>
              <w:t>Vägledning om hur man fyller i mallposten</w:t>
            </w:r>
            <w:r>
              <w:t>: Krävs. Välj i tur och ordning från uppräkningslistan varje relevant fördefinierad central åtgärdstyp (KTM) eller ”</w:t>
            </w:r>
            <w:r>
              <w:rPr>
                <w:rFonts w:ascii="Calibri" w:hAnsi="Calibri"/>
                <w:color w:val="000000"/>
                <w:sz w:val="22"/>
              </w:rPr>
              <w:t xml:space="preserve">KTM99 – Other key type measure reported under PoM” </w:t>
            </w:r>
            <w:r>
              <w:t>som används för att minska betydande påverkan i avrinningsdistriktet.</w:t>
            </w:r>
          </w:p>
          <w:p w:rsidR="000215C5" w:rsidRDefault="00703023">
            <w:pPr>
              <w:spacing w:after="120"/>
              <w:jc w:val="both"/>
              <w:rPr>
                <w:b/>
                <w:szCs w:val="24"/>
              </w:rPr>
            </w:pPr>
            <w:r>
              <w:rPr>
                <w:b/>
              </w:rPr>
              <w:t>Kvalitetskontroller</w:t>
            </w:r>
            <w:r>
              <w:t>: Kontroll av posten: keyTypeMeasure måste rapporteras. Ett giltigt alternativ måste väljas från uppräkningslistan. Fler än ett alternativ kan väljas.</w:t>
            </w:r>
          </w:p>
        </w:tc>
      </w:tr>
      <w:tr w:rsidR="00021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 xml:space="preserve">Mallpost: </w:t>
            </w:r>
            <w:r>
              <w:t>keyTypeMeasureOther</w:t>
            </w:r>
          </w:p>
          <w:p w:rsidR="000215C5" w:rsidRDefault="00703023">
            <w:pPr>
              <w:spacing w:after="120"/>
              <w:jc w:val="both"/>
              <w:rPr>
                <w:b/>
                <w:szCs w:val="24"/>
              </w:rPr>
            </w:pPr>
            <w:r>
              <w:rPr>
                <w:b/>
              </w:rPr>
              <w:t xml:space="preserve">Fälttyp/alternativ: </w:t>
            </w:r>
            <w:r>
              <w:t>String 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b/>
                <w:szCs w:val="24"/>
              </w:rPr>
            </w:pPr>
            <w:r>
              <w:rPr>
                <w:b/>
              </w:rPr>
              <w:t xml:space="preserve">Vägledning om hur man fyller i mallposten: </w:t>
            </w:r>
            <w:r>
              <w:t>Villkorlig. För varje rapporterad typ av betydande påverkan och kemiskt ämne, rapportera namn på de centrala åtgärdstyper (KTM) som kommer att införas om de fördefinierade KTM inte är lämpliga för att minska påverkan eller det kemiska ämnet. Fler än en ny KTM kan rapporteras.</w:t>
            </w:r>
          </w:p>
          <w:p w:rsidR="000215C5" w:rsidRDefault="00703023">
            <w:pPr>
              <w:spacing w:after="120"/>
              <w:jc w:val="both"/>
              <w:rPr>
                <w:szCs w:val="24"/>
              </w:rPr>
            </w:pPr>
            <w:r>
              <w:rPr>
                <w:b/>
              </w:rPr>
              <w:t xml:space="preserve">Kvalitetskontroller: </w:t>
            </w:r>
            <w:r>
              <w:t>Villkorlig kontroll: Rapportera om ”</w:t>
            </w:r>
            <w:r>
              <w:rPr>
                <w:rFonts w:ascii="Calibri" w:hAnsi="Calibri"/>
                <w:color w:val="000000"/>
                <w:sz w:val="22"/>
              </w:rPr>
              <w:t>KTM99 – Other key type measure reported under PoM</w:t>
            </w:r>
            <w:r>
              <w:t xml:space="preserve">” rapporteras i keyTypeMeasure. </w:t>
            </w:r>
          </w:p>
        </w:tc>
      </w:tr>
    </w:tbl>
    <w:p w:rsidR="000215C5" w:rsidRDefault="000215C5">
      <w:pPr>
        <w:spacing w:after="120"/>
        <w:jc w:val="both"/>
        <w:rPr>
          <w:b/>
          <w:szCs w:val="24"/>
        </w:rPr>
      </w:pPr>
    </w:p>
    <w:p w:rsidR="000215C5" w:rsidRDefault="00703023">
      <w:pPr>
        <w:spacing w:after="120"/>
        <w:jc w:val="both"/>
        <w:rPr>
          <w:szCs w:val="24"/>
        </w:rPr>
      </w:pPr>
      <w:r>
        <w:t xml:space="preserve">Följande klass (underkategori till KTM) används för att rapportera information om de individuella åtgärder (nationella åtgärder eller särskilda åtgärder för avrinningsdistriktet) som ingår i varje KTM.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 RBMPPoM (fortsättning)</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i/>
                <w:szCs w:val="24"/>
              </w:rPr>
            </w:pPr>
            <w:r>
              <w:rPr>
                <w:b/>
                <w:i/>
              </w:rPr>
              <w:t>Klass: Åtgärd</w:t>
            </w:r>
          </w:p>
          <w:p w:rsidR="000215C5" w:rsidRDefault="00703023">
            <w:pPr>
              <w:spacing w:after="120"/>
              <w:jc w:val="both"/>
              <w:rPr>
                <w:i/>
                <w:szCs w:val="24"/>
              </w:rPr>
            </w:pPr>
            <w:r>
              <w:rPr>
                <w:b/>
                <w:i/>
              </w:rPr>
              <w:t xml:space="preserve">Egenskaper: </w:t>
            </w:r>
            <w:r>
              <w:rPr>
                <w:i/>
              </w:rPr>
              <w:t>maxOccurs = unbounded minOccurs = 1</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measureCode</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För varje fördefinierad eller ny KTM, rapportera den unika koden för varje nationell åtgärd eller särskild åtgärd för avrinningsdistriktet som ingår i KTM.</w:t>
            </w:r>
          </w:p>
        </w:tc>
      </w:tr>
      <w:tr w:rsidR="000215C5">
        <w:tc>
          <w:tcPr>
            <w:tcW w:w="9889" w:type="dxa"/>
            <w:shd w:val="clear" w:color="auto" w:fill="auto"/>
          </w:tcPr>
          <w:p w:rsidR="000215C5" w:rsidRDefault="00703023">
            <w:pPr>
              <w:spacing w:after="120"/>
              <w:jc w:val="both"/>
              <w:rPr>
                <w:b/>
                <w:bCs/>
                <w:szCs w:val="24"/>
              </w:rPr>
            </w:pPr>
            <w:r>
              <w:rPr>
                <w:b/>
              </w:rPr>
              <w:t>Mallpost</w:t>
            </w:r>
            <w:r>
              <w:t>: measureName</w:t>
            </w:r>
          </w:p>
          <w:p w:rsidR="000215C5" w:rsidRDefault="00703023">
            <w:pPr>
              <w:spacing w:after="120"/>
              <w:jc w:val="both"/>
              <w:rPr>
                <w:b/>
                <w:szCs w:val="24"/>
              </w:rPr>
            </w:pPr>
            <w:r>
              <w:rPr>
                <w:b/>
              </w:rPr>
              <w:t xml:space="preserve">Fälttyp/alternativ: </w:t>
            </w:r>
            <w:r>
              <w:t xml:space="preserve">String1000Type </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namn på varje nationell åtgärd eller särskild åtgärd för avrinningsdistriktet. Detta ska avspegla den påverkan som åtgärden är avsedd att hantera.</w:t>
            </w:r>
          </w:p>
        </w:tc>
      </w:tr>
      <w:tr w:rsidR="000215C5">
        <w:tc>
          <w:tcPr>
            <w:tcW w:w="9889"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 measureType</w:t>
            </w:r>
            <w:r w:rsidRPr="008D6A99">
              <w:rPr>
                <w:b/>
                <w:lang w:val="en-GB"/>
              </w:rPr>
              <w:t xml:space="preserve"> </w:t>
            </w:r>
          </w:p>
          <w:p w:rsidR="000215C5" w:rsidRPr="008D6A99" w:rsidRDefault="00703023">
            <w:pPr>
              <w:spacing w:after="120"/>
              <w:jc w:val="both"/>
              <w:rPr>
                <w:szCs w:val="24"/>
                <w:lang w:val="en-GB"/>
              </w:rPr>
            </w:pPr>
            <w:r w:rsidRPr="008D6A99">
              <w:rPr>
                <w:b/>
                <w:lang w:val="en-GB"/>
              </w:rPr>
              <w:t xml:space="preserve">Fälttyp/alternativ: </w:t>
            </w:r>
            <w:r w:rsidRPr="008D6A99">
              <w:rPr>
                <w:lang w:val="en-GB"/>
              </w:rPr>
              <w:t>MeasureType_Enum:</w:t>
            </w:r>
          </w:p>
          <w:p w:rsidR="000215C5" w:rsidRPr="00D95552" w:rsidRDefault="00703023">
            <w:pPr>
              <w:spacing w:after="120"/>
              <w:jc w:val="both"/>
              <w:rPr>
                <w:szCs w:val="24"/>
                <w:lang w:val="en-GB"/>
              </w:rPr>
            </w:pPr>
            <w:r w:rsidRPr="00D95552">
              <w:rPr>
                <w:lang w:val="en-GB"/>
              </w:rPr>
              <w:t>Basic</w:t>
            </w:r>
          </w:p>
          <w:p w:rsidR="000215C5" w:rsidRPr="00D95552" w:rsidRDefault="00703023">
            <w:pPr>
              <w:spacing w:after="120"/>
              <w:jc w:val="both"/>
              <w:rPr>
                <w:szCs w:val="24"/>
                <w:lang w:val="en-GB"/>
              </w:rPr>
            </w:pPr>
            <w:r w:rsidRPr="00D95552">
              <w:rPr>
                <w:lang w:val="en-GB"/>
              </w:rPr>
              <w:t xml:space="preserve">Supplementary </w:t>
            </w:r>
          </w:p>
          <w:p w:rsidR="000215C5" w:rsidRPr="00D95552" w:rsidRDefault="00703023">
            <w:pPr>
              <w:spacing w:after="120"/>
              <w:jc w:val="both"/>
              <w:rPr>
                <w:b/>
                <w:szCs w:val="24"/>
                <w:lang w:val="en-GB"/>
              </w:rPr>
            </w:pPr>
            <w:r w:rsidRPr="00D95552">
              <w:rPr>
                <w:b/>
                <w:lang w:val="en-GB"/>
              </w:rPr>
              <w:t xml:space="preserve">Egenskaper: </w:t>
            </w:r>
            <w:r w:rsidRPr="00D95552">
              <w:rPr>
                <w:lang w:val="en-GB"/>
              </w:rPr>
              <w:t>maxOccurs</w:t>
            </w:r>
            <w:r w:rsidRPr="00D95552">
              <w:rPr>
                <w:b/>
                <w:lang w:val="en-GB"/>
              </w:rPr>
              <w:t xml:space="preserve"> </w:t>
            </w:r>
            <w:r w:rsidRPr="00D95552">
              <w:rPr>
                <w:lang w:val="en-GB"/>
              </w:rPr>
              <w:t>= 1 minOccurs = 1</w:t>
            </w:r>
          </w:p>
          <w:p w:rsidR="000215C5" w:rsidRDefault="00703023">
            <w:pPr>
              <w:spacing w:after="120"/>
              <w:jc w:val="both"/>
              <w:rPr>
                <w:szCs w:val="24"/>
              </w:rPr>
            </w:pPr>
            <w:r>
              <w:rPr>
                <w:b/>
              </w:rPr>
              <w:t>Vägledning om hur man fyller i mallposten</w:t>
            </w:r>
            <w:r>
              <w:t>: Krävs. För varje fördefinierad eller ny KTM, ange om varje nationell åtgärd eller särskild åtgärd för avrinningsdistriktet som ingår i KTM är en grundläggande åtgärd enligt artikel 11.3 a eller artikel 11.3 b–l eller en kompletterande åtgärd enligt artikel 11.4 i det fall grundläggande åtgärder inte är tillräckliga för att hantera specifika typer av betydande påverkan.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basicMeasureType</w:t>
            </w:r>
          </w:p>
          <w:p w:rsidR="000215C5" w:rsidRDefault="00703023">
            <w:pPr>
              <w:spacing w:after="120"/>
              <w:jc w:val="both"/>
              <w:rPr>
                <w:szCs w:val="24"/>
              </w:rPr>
            </w:pPr>
            <w:r>
              <w:rPr>
                <w:b/>
              </w:rPr>
              <w:t xml:space="preserve">Fälttyp/alternativ: </w:t>
            </w:r>
            <w:r>
              <w:t>BasicMeasureType_Enum:</w:t>
            </w:r>
          </w:p>
          <w:p w:rsidR="000215C5" w:rsidRPr="008D6A99" w:rsidRDefault="00703023">
            <w:pPr>
              <w:spacing w:after="120"/>
              <w:jc w:val="both"/>
              <w:rPr>
                <w:szCs w:val="24"/>
                <w:lang w:val="en-GB"/>
              </w:rPr>
            </w:pPr>
            <w:r w:rsidRPr="008D6A99">
              <w:rPr>
                <w:lang w:val="en-GB"/>
              </w:rPr>
              <w:t>Urban Waste Water Treatment</w:t>
            </w:r>
          </w:p>
          <w:p w:rsidR="000215C5" w:rsidRPr="008D6A99" w:rsidRDefault="00703023">
            <w:pPr>
              <w:spacing w:after="120"/>
              <w:jc w:val="both"/>
              <w:rPr>
                <w:szCs w:val="24"/>
                <w:lang w:val="en-GB"/>
              </w:rPr>
            </w:pPr>
            <w:r w:rsidRPr="008D6A99">
              <w:rPr>
                <w:lang w:val="en-GB"/>
              </w:rPr>
              <w:t>Nitrates</w:t>
            </w:r>
          </w:p>
          <w:p w:rsidR="000215C5" w:rsidRPr="008D6A99" w:rsidRDefault="00703023">
            <w:pPr>
              <w:spacing w:after="120"/>
              <w:jc w:val="both"/>
              <w:rPr>
                <w:szCs w:val="24"/>
                <w:lang w:val="en-GB"/>
              </w:rPr>
            </w:pPr>
            <w:r w:rsidRPr="008D6A99">
              <w:rPr>
                <w:lang w:val="en-GB"/>
              </w:rPr>
              <w:t>IPPC IED</w:t>
            </w:r>
          </w:p>
          <w:p w:rsidR="000215C5" w:rsidRPr="008D6A99" w:rsidRDefault="00703023">
            <w:pPr>
              <w:spacing w:after="120"/>
              <w:jc w:val="both"/>
              <w:rPr>
                <w:szCs w:val="24"/>
                <w:lang w:val="en-GB"/>
              </w:rPr>
            </w:pPr>
            <w:r w:rsidRPr="008D6A99">
              <w:rPr>
                <w:lang w:val="en-GB"/>
              </w:rPr>
              <w:t>Cost recovery water services</w:t>
            </w:r>
          </w:p>
          <w:p w:rsidR="000215C5" w:rsidRPr="008D6A99" w:rsidRDefault="00703023">
            <w:pPr>
              <w:spacing w:after="120"/>
              <w:jc w:val="both"/>
              <w:rPr>
                <w:szCs w:val="24"/>
                <w:lang w:val="en-GB"/>
              </w:rPr>
            </w:pPr>
            <w:r w:rsidRPr="008D6A99">
              <w:rPr>
                <w:lang w:val="en-GB"/>
              </w:rPr>
              <w:t>Efficient water use</w:t>
            </w:r>
          </w:p>
          <w:p w:rsidR="000215C5" w:rsidRPr="008D6A99" w:rsidRDefault="00703023">
            <w:pPr>
              <w:spacing w:after="120"/>
              <w:jc w:val="both"/>
              <w:rPr>
                <w:szCs w:val="24"/>
                <w:lang w:val="en-GB"/>
              </w:rPr>
            </w:pPr>
            <w:r w:rsidRPr="008D6A99">
              <w:rPr>
                <w:lang w:val="en-GB"/>
              </w:rPr>
              <w:t>Protection water abstraction</w:t>
            </w:r>
          </w:p>
          <w:p w:rsidR="000215C5" w:rsidRPr="008D6A99" w:rsidRDefault="00703023">
            <w:pPr>
              <w:spacing w:after="120"/>
              <w:jc w:val="both"/>
              <w:rPr>
                <w:szCs w:val="24"/>
                <w:lang w:val="en-GB"/>
              </w:rPr>
            </w:pPr>
            <w:r w:rsidRPr="008D6A99">
              <w:rPr>
                <w:lang w:val="en-GB"/>
              </w:rPr>
              <w:t>Controls water abstraction</w:t>
            </w:r>
          </w:p>
          <w:p w:rsidR="000215C5" w:rsidRPr="008D6A99" w:rsidRDefault="00703023">
            <w:pPr>
              <w:spacing w:after="120"/>
              <w:jc w:val="both"/>
              <w:rPr>
                <w:szCs w:val="24"/>
                <w:lang w:val="fr-FR"/>
              </w:rPr>
            </w:pPr>
            <w:r w:rsidRPr="008D6A99">
              <w:rPr>
                <w:lang w:val="fr-FR"/>
              </w:rPr>
              <w:t>Recharge augmentation groundwaters</w:t>
            </w:r>
          </w:p>
          <w:p w:rsidR="000215C5" w:rsidRPr="008D6A99" w:rsidRDefault="00703023">
            <w:pPr>
              <w:spacing w:after="120"/>
              <w:jc w:val="both"/>
              <w:rPr>
                <w:szCs w:val="24"/>
                <w:lang w:val="fr-FR"/>
              </w:rPr>
            </w:pPr>
            <w:r w:rsidRPr="008D6A99">
              <w:rPr>
                <w:lang w:val="fr-FR"/>
              </w:rPr>
              <w:t>Point source discharges</w:t>
            </w:r>
          </w:p>
          <w:p w:rsidR="000215C5" w:rsidRPr="008D6A99" w:rsidRDefault="00703023">
            <w:pPr>
              <w:spacing w:after="120"/>
              <w:jc w:val="both"/>
              <w:rPr>
                <w:szCs w:val="24"/>
                <w:lang w:val="fr-FR"/>
              </w:rPr>
            </w:pPr>
            <w:r w:rsidRPr="008D6A99">
              <w:rPr>
                <w:lang w:val="fr-FR"/>
              </w:rPr>
              <w:t>Pollutants diffuse</w:t>
            </w:r>
          </w:p>
          <w:p w:rsidR="000215C5" w:rsidRPr="008D6A99" w:rsidRDefault="00703023">
            <w:pPr>
              <w:spacing w:after="120"/>
              <w:jc w:val="both"/>
              <w:rPr>
                <w:szCs w:val="24"/>
                <w:lang w:val="fr-FR"/>
              </w:rPr>
            </w:pPr>
            <w:r w:rsidRPr="008D6A99">
              <w:rPr>
                <w:lang w:val="fr-FR"/>
              </w:rPr>
              <w:t>Hydromorphology</w:t>
            </w:r>
          </w:p>
          <w:p w:rsidR="000215C5" w:rsidRPr="008D6A99" w:rsidRDefault="00703023">
            <w:pPr>
              <w:spacing w:after="120"/>
              <w:jc w:val="both"/>
              <w:rPr>
                <w:szCs w:val="24"/>
                <w:lang w:val="fr-FR"/>
              </w:rPr>
            </w:pPr>
            <w:r w:rsidRPr="008D6A99">
              <w:rPr>
                <w:lang w:val="fr-FR"/>
              </w:rPr>
              <w:t>Pollutants direct groundwater</w:t>
            </w:r>
          </w:p>
          <w:p w:rsidR="000215C5" w:rsidRPr="008D6A99" w:rsidRDefault="00703023">
            <w:pPr>
              <w:spacing w:after="120"/>
              <w:jc w:val="both"/>
              <w:rPr>
                <w:szCs w:val="24"/>
                <w:lang w:val="fr-FR"/>
              </w:rPr>
            </w:pPr>
            <w:r w:rsidRPr="008D6A99">
              <w:rPr>
                <w:lang w:val="fr-FR"/>
              </w:rPr>
              <w:t>Surface Priority Substances</w:t>
            </w:r>
          </w:p>
          <w:p w:rsidR="000215C5" w:rsidRPr="008D6A99" w:rsidRDefault="00703023">
            <w:pPr>
              <w:spacing w:after="120"/>
              <w:jc w:val="both"/>
              <w:rPr>
                <w:szCs w:val="24"/>
                <w:lang w:val="fr-FR"/>
              </w:rPr>
            </w:pPr>
            <w:r w:rsidRPr="008D6A99">
              <w:rPr>
                <w:lang w:val="fr-FR"/>
              </w:rPr>
              <w:t>Accidental pollution</w:t>
            </w:r>
          </w:p>
          <w:p w:rsidR="000215C5" w:rsidRPr="008D6A99" w:rsidRDefault="00703023">
            <w:pPr>
              <w:spacing w:after="120"/>
              <w:jc w:val="both"/>
              <w:rPr>
                <w:b/>
                <w:szCs w:val="24"/>
                <w:lang w:val="fr-FR"/>
              </w:rPr>
            </w:pPr>
            <w:r w:rsidRPr="008D6A99">
              <w:rPr>
                <w:b/>
                <w:lang w:val="fr-FR"/>
              </w:rPr>
              <w:t xml:space="preserve">Egenskaper: </w:t>
            </w:r>
            <w:r w:rsidRPr="008D6A99">
              <w:rPr>
                <w:lang w:val="fr-FR"/>
              </w:rPr>
              <w:t>maxOccurs</w:t>
            </w:r>
            <w:r w:rsidRPr="008D6A99">
              <w:rPr>
                <w:b/>
                <w:lang w:val="fr-FR"/>
              </w:rPr>
              <w:t xml:space="preserve"> </w:t>
            </w:r>
            <w:r w:rsidRPr="008D6A99">
              <w:rPr>
                <w:lang w:val="fr-FR"/>
              </w:rPr>
              <w:t>= unbounded minOccurs = 0</w:t>
            </w:r>
          </w:p>
          <w:p w:rsidR="000215C5" w:rsidRDefault="00703023">
            <w:pPr>
              <w:spacing w:after="120"/>
              <w:jc w:val="both"/>
              <w:rPr>
                <w:szCs w:val="24"/>
              </w:rPr>
            </w:pPr>
            <w:r w:rsidRPr="008D6A99">
              <w:rPr>
                <w:b/>
                <w:lang w:val="fr-FR"/>
              </w:rPr>
              <w:t>Vägledning om hur man fyller i mallposten</w:t>
            </w:r>
            <w:r w:rsidRPr="008D6A99">
              <w:rPr>
                <w:lang w:val="fr-FR"/>
              </w:rPr>
              <w:t xml:space="preserve">: Villkorlig. </w:t>
            </w:r>
            <w:r>
              <w:t>För varje nationell åtgärd eller särskild åtgärd för avrinningsdistriktet som ingår i KTM och är en grundläggande åtgärd, välj från uppräkningslistan vilken typ av grundläggande åtgärd som åtgärden i fråga motsvarar. Fler än ett alternativ får väljas per åtgärd.</w:t>
            </w:r>
          </w:p>
          <w:p w:rsidR="000215C5" w:rsidRDefault="00703023">
            <w:pPr>
              <w:spacing w:after="120"/>
              <w:jc w:val="both"/>
              <w:rPr>
                <w:szCs w:val="24"/>
              </w:rPr>
            </w:pPr>
            <w:r>
              <w:t>Se ordlistan nedan (10.1.10) för närmare vägledning om hur grundläggande och kompletterande åtgärder bidrar till att uppnå vattendirektivets miljömål.</w:t>
            </w:r>
          </w:p>
          <w:p w:rsidR="000215C5" w:rsidRDefault="00703023">
            <w:pPr>
              <w:spacing w:after="120"/>
              <w:jc w:val="both"/>
              <w:rPr>
                <w:color w:val="000000"/>
                <w:szCs w:val="24"/>
              </w:rPr>
            </w:pPr>
            <w:r>
              <w:rPr>
                <w:color w:val="000000"/>
              </w:rPr>
              <w:t>”Urban Waste Water” = direktivet om rening av avloppsvatten från tätbebyggelse (91/271/EEG)</w:t>
            </w:r>
            <w:r>
              <w:rPr>
                <w:rStyle w:val="Fotnotsreferens"/>
                <w:color w:val="000000"/>
              </w:rPr>
              <w:footnoteReference w:id="122"/>
            </w:r>
            <w:r>
              <w:rPr>
                <w:color w:val="000000"/>
              </w:rPr>
              <w:t>.</w:t>
            </w:r>
          </w:p>
          <w:p w:rsidR="000215C5" w:rsidRDefault="00703023">
            <w:pPr>
              <w:spacing w:after="120"/>
              <w:jc w:val="both"/>
              <w:rPr>
                <w:color w:val="000000"/>
                <w:szCs w:val="24"/>
              </w:rPr>
            </w:pPr>
            <w:r>
              <w:rPr>
                <w:color w:val="000000"/>
              </w:rPr>
              <w:t>”Nitrates” = Nitratdirektivet (91/676/EEG)</w:t>
            </w:r>
            <w:r>
              <w:rPr>
                <w:rStyle w:val="Fotnotsreferens"/>
                <w:color w:val="000000"/>
              </w:rPr>
              <w:footnoteReference w:id="123"/>
            </w:r>
            <w:r>
              <w:rPr>
                <w:color w:val="000000"/>
              </w:rPr>
              <w:t>.</w:t>
            </w:r>
          </w:p>
          <w:p w:rsidR="000215C5" w:rsidRDefault="00703023">
            <w:pPr>
              <w:spacing w:after="120"/>
              <w:jc w:val="both"/>
              <w:rPr>
                <w:color w:val="000000"/>
                <w:szCs w:val="24"/>
              </w:rPr>
            </w:pPr>
            <w:r>
              <w:t xml:space="preserve">”IPPC IED” = direktivet om samordnade åtgärder för att förebygga och begränsa föroreningar (IPPC) </w:t>
            </w:r>
            <w:r>
              <w:rPr>
                <w:color w:val="000000"/>
              </w:rPr>
              <w:t>(96/61/EG)</w:t>
            </w:r>
            <w:r>
              <w:rPr>
                <w:rStyle w:val="Fotnotsreferens"/>
                <w:color w:val="000000"/>
              </w:rPr>
              <w:footnoteReference w:id="124"/>
            </w:r>
            <w:r>
              <w:rPr>
                <w:color w:val="000000"/>
              </w:rPr>
              <w:t xml:space="preserve"> och direktivet om industriutsläpp (2010/75/EU)</w:t>
            </w:r>
            <w:r>
              <w:rPr>
                <w:rStyle w:val="Fotnotsreferens"/>
                <w:color w:val="000000"/>
              </w:rPr>
              <w:footnoteReference w:id="125"/>
            </w:r>
            <w:r>
              <w:rPr>
                <w:color w:val="000000"/>
              </w:rPr>
              <w:t>.</w:t>
            </w:r>
          </w:p>
          <w:p w:rsidR="000215C5" w:rsidRDefault="00703023">
            <w:pPr>
              <w:spacing w:after="120"/>
              <w:jc w:val="both"/>
              <w:rPr>
                <w:color w:val="000000"/>
                <w:szCs w:val="24"/>
              </w:rPr>
            </w:pPr>
            <w:r>
              <w:t xml:space="preserve">”Cost recovery water services” = artikel </w:t>
            </w:r>
            <w:r>
              <w:rPr>
                <w:color w:val="000000"/>
              </w:rPr>
              <w:t>11.3 b: Täckning av kostnade</w:t>
            </w:r>
            <w:r w:rsidR="00D065DB">
              <w:rPr>
                <w:color w:val="000000"/>
              </w:rPr>
              <w:t>rna för vattentjänster (artikel </w:t>
            </w:r>
            <w:r>
              <w:rPr>
                <w:color w:val="000000"/>
              </w:rPr>
              <w:t>9).</w:t>
            </w:r>
          </w:p>
          <w:p w:rsidR="000215C5" w:rsidRDefault="00703023">
            <w:pPr>
              <w:spacing w:after="120"/>
              <w:jc w:val="both"/>
              <w:rPr>
                <w:color w:val="000000"/>
                <w:szCs w:val="24"/>
              </w:rPr>
            </w:pPr>
            <w:r>
              <w:t xml:space="preserve">”Efficient water use” = artikel </w:t>
            </w:r>
            <w:r>
              <w:rPr>
                <w:color w:val="000000"/>
              </w:rPr>
              <w:t>11.3 c: Åtgärder för att främja en effektiv och hållbar vattenanvändning.</w:t>
            </w:r>
          </w:p>
          <w:p w:rsidR="000215C5" w:rsidRDefault="00703023">
            <w:pPr>
              <w:spacing w:after="120"/>
              <w:jc w:val="both"/>
              <w:rPr>
                <w:color w:val="000000"/>
                <w:szCs w:val="24"/>
              </w:rPr>
            </w:pPr>
            <w:r>
              <w:t xml:space="preserve">”Protection water abstraction” = artikel </w:t>
            </w:r>
            <w:r>
              <w:rPr>
                <w:color w:val="000000"/>
              </w:rPr>
              <w:t>11.3 d: Åtgärder för att skydda vatten som används för uttag av dricksvatten (artikel 7), inklusive åtgärder för att minska den nivå av vattenrening som krävs för framställning av dricksvatten.</w:t>
            </w:r>
          </w:p>
          <w:p w:rsidR="000215C5" w:rsidRDefault="00703023">
            <w:pPr>
              <w:spacing w:after="120"/>
              <w:jc w:val="both"/>
              <w:rPr>
                <w:color w:val="000000"/>
                <w:szCs w:val="24"/>
              </w:rPr>
            </w:pPr>
            <w:r>
              <w:t xml:space="preserve">”Controls water abstraction” = </w:t>
            </w:r>
            <w:r>
              <w:rPr>
                <w:color w:val="000000"/>
              </w:rPr>
              <w:t>artikel 11.3 e: Reglering av uttag av sött ytvatten och grundvatten, samt uppdämning av sött ytvatten, inklusive ett eller flera register över vattenuttag och ett krav på förhandsprövning för uttag och uppdämning.</w:t>
            </w:r>
          </w:p>
          <w:p w:rsidR="000215C5" w:rsidRDefault="00703023">
            <w:pPr>
              <w:spacing w:after="120"/>
              <w:jc w:val="both"/>
              <w:rPr>
                <w:color w:val="000000"/>
                <w:szCs w:val="24"/>
              </w:rPr>
            </w:pPr>
            <w:r>
              <w:t>”Recharge augmentation groundwaters” = artikel</w:t>
            </w:r>
            <w:r>
              <w:rPr>
                <w:color w:val="000000"/>
              </w:rPr>
              <w:t xml:space="preserve"> 11.3 f: Regleringar, inklusive ett krav på förhandsprövning för konstgjord påfyllning eller förstärkning av grundvattenförekomster.</w:t>
            </w:r>
          </w:p>
          <w:p w:rsidR="000215C5" w:rsidRDefault="00703023">
            <w:pPr>
              <w:spacing w:after="120"/>
              <w:jc w:val="both"/>
              <w:rPr>
                <w:color w:val="000000"/>
                <w:szCs w:val="24"/>
              </w:rPr>
            </w:pPr>
            <w:r>
              <w:t xml:space="preserve">”Point source discharges” = </w:t>
            </w:r>
            <w:r>
              <w:rPr>
                <w:color w:val="000000"/>
              </w:rPr>
              <w:t>artikel 11.3 g: Krav på förhandsreglering av utsläpp från punktkällor som kan ge upphov till föroreningar.</w:t>
            </w:r>
          </w:p>
          <w:p w:rsidR="000215C5" w:rsidRDefault="00703023">
            <w:pPr>
              <w:spacing w:after="120"/>
              <w:jc w:val="both"/>
              <w:rPr>
                <w:color w:val="000000"/>
                <w:szCs w:val="24"/>
              </w:rPr>
            </w:pPr>
            <w:r>
              <w:t>”Pollutants diffuse” = artikel</w:t>
            </w:r>
            <w:r>
              <w:rPr>
                <w:color w:val="000000"/>
              </w:rPr>
              <w:t xml:space="preserve"> 11.3 h: Åtgärder för att hindra eller reglera utsläpp av förorenande ämnen från diffusa källor som kan ge upphov till föroreningar.</w:t>
            </w:r>
          </w:p>
          <w:p w:rsidR="000215C5" w:rsidRDefault="00703023">
            <w:pPr>
              <w:spacing w:after="120"/>
              <w:jc w:val="both"/>
              <w:rPr>
                <w:color w:val="000000"/>
                <w:szCs w:val="24"/>
              </w:rPr>
            </w:pPr>
            <w:r>
              <w:t xml:space="preserve">”Hydromorphology” = artikel </w:t>
            </w:r>
            <w:r>
              <w:rPr>
                <w:color w:val="000000"/>
              </w:rPr>
              <w:t>11.3 i: Åtgärder för att reglera andra betydande negativa konsekvenser för vattenstatusen, särskilt hydromorfologiska konsekvenser.</w:t>
            </w:r>
          </w:p>
          <w:p w:rsidR="000215C5" w:rsidRDefault="00703023">
            <w:pPr>
              <w:spacing w:after="120"/>
              <w:jc w:val="both"/>
              <w:rPr>
                <w:color w:val="000000"/>
                <w:szCs w:val="24"/>
              </w:rPr>
            </w:pPr>
            <w:r>
              <w:t>”Pollutants direct groundwater” =</w:t>
            </w:r>
            <w:r>
              <w:rPr>
                <w:color w:val="000000"/>
              </w:rPr>
              <w:t xml:space="preserve"> artikel 11.3 j: Ett förbud mot direkta utsläpp av förorenande ämnen till grundvatten.</w:t>
            </w:r>
          </w:p>
          <w:p w:rsidR="000215C5" w:rsidRDefault="00703023">
            <w:pPr>
              <w:spacing w:after="120"/>
              <w:jc w:val="both"/>
              <w:rPr>
                <w:color w:val="000000"/>
                <w:szCs w:val="24"/>
              </w:rPr>
            </w:pPr>
            <w:r>
              <w:t xml:space="preserve">”Surface Priority Substances” = </w:t>
            </w:r>
            <w:r>
              <w:rPr>
                <w:color w:val="000000"/>
              </w:rPr>
              <w:t>artikel 11.3 k: Åtgärder för att eliminera förorening av ytvatten genom prioriterade ämnen och minska förorening genom andra ämnen som annars skulle kunna hindra uppnåendet av de mål som anges i artikel 4.</w:t>
            </w:r>
          </w:p>
          <w:p w:rsidR="000215C5" w:rsidRDefault="00703023">
            <w:pPr>
              <w:spacing w:after="120"/>
              <w:jc w:val="both"/>
              <w:rPr>
                <w:color w:val="000000"/>
                <w:szCs w:val="24"/>
              </w:rPr>
            </w:pPr>
            <w:r>
              <w:t>”Accidental pollution” = artikel</w:t>
            </w:r>
            <w:r>
              <w:rPr>
                <w:color w:val="000000"/>
              </w:rPr>
              <w:t xml:space="preserve"> 11.3 l: Alla åtgärder som krävs för att hindra betydande spill av förorenande ämnen från tekniska installationer, och för att hindra och/eller minska konsekvenserna av oavsiktliga föroreningsincidenter.</w:t>
            </w:r>
          </w:p>
          <w:p w:rsidR="000215C5" w:rsidRDefault="00703023">
            <w:pPr>
              <w:spacing w:after="120"/>
              <w:jc w:val="both"/>
              <w:rPr>
                <w:b/>
                <w:szCs w:val="24"/>
              </w:rPr>
            </w:pPr>
            <w:r>
              <w:rPr>
                <w:b/>
              </w:rPr>
              <w:t>Kvalitetskontroller</w:t>
            </w:r>
            <w:r>
              <w:t>: Villkorlig kontroll: Rapportera om measureType är ”Basic”.</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msfdRelevance</w:t>
            </w:r>
          </w:p>
          <w:p w:rsidR="000215C5" w:rsidRDefault="00703023">
            <w:pPr>
              <w:spacing w:after="120"/>
              <w:jc w:val="both"/>
              <w:rPr>
                <w:szCs w:val="24"/>
              </w:rPr>
            </w:pPr>
            <w:r>
              <w:rPr>
                <w:b/>
              </w:rPr>
              <w:t xml:space="preserve">Fälttyp/alternativ: </w:t>
            </w:r>
            <w:r>
              <w:t>YesNoLandlocked_Union_Enum</w:t>
            </w:r>
          </w:p>
          <w:p w:rsidR="000215C5" w:rsidRPr="008D6A99" w:rsidRDefault="00703023">
            <w:pPr>
              <w:spacing w:after="120"/>
              <w:jc w:val="both"/>
              <w:rPr>
                <w:szCs w:val="24"/>
                <w:lang w:val="en-GB"/>
              </w:rPr>
            </w:pPr>
            <w:r w:rsidRPr="008D6A99">
              <w:rPr>
                <w:lang w:val="en-GB"/>
              </w:rPr>
              <w:t>Yes</w:t>
            </w:r>
          </w:p>
          <w:p w:rsidR="000215C5" w:rsidRPr="008D6A99" w:rsidRDefault="00703023">
            <w:pPr>
              <w:spacing w:after="120"/>
              <w:jc w:val="both"/>
              <w:rPr>
                <w:szCs w:val="24"/>
                <w:lang w:val="en-GB"/>
              </w:rPr>
            </w:pPr>
            <w:r w:rsidRPr="008D6A99">
              <w:rPr>
                <w:lang w:val="en-GB"/>
              </w:rPr>
              <w:t>No</w:t>
            </w:r>
          </w:p>
          <w:p w:rsidR="000215C5" w:rsidRPr="008D6A99" w:rsidRDefault="00703023">
            <w:pPr>
              <w:spacing w:after="120"/>
              <w:jc w:val="both"/>
              <w:rPr>
                <w:szCs w:val="24"/>
                <w:lang w:val="en-GB"/>
              </w:rPr>
            </w:pPr>
            <w:r w:rsidRPr="008D6A99">
              <w:rPr>
                <w:lang w:val="en-GB"/>
              </w:rPr>
              <w:t>Landlocked country</w:t>
            </w:r>
          </w:p>
          <w:p w:rsidR="000215C5" w:rsidRPr="008D6A99" w:rsidRDefault="00703023">
            <w:pPr>
              <w:spacing w:after="120"/>
              <w:jc w:val="both"/>
              <w:rPr>
                <w:szCs w:val="24"/>
                <w:lang w:val="en-GB"/>
              </w:rPr>
            </w:pPr>
            <w:r w:rsidRPr="008D6A99">
              <w:rPr>
                <w:lang w:val="en-GB"/>
              </w:rPr>
              <w:t>Unclear</w:t>
            </w:r>
          </w:p>
          <w:p w:rsidR="000215C5" w:rsidRPr="008D6A99" w:rsidRDefault="00703023">
            <w:pPr>
              <w:spacing w:after="120"/>
              <w:jc w:val="both"/>
              <w:rPr>
                <w:b/>
                <w:szCs w:val="24"/>
                <w:lang w:val="en-GB"/>
              </w:rPr>
            </w:pPr>
            <w:r w:rsidRPr="008D6A99">
              <w:rPr>
                <w:b/>
                <w:lang w:val="en-GB"/>
              </w:rPr>
              <w:t xml:space="preserve">Egenskaper: </w:t>
            </w:r>
            <w:r w:rsidRPr="008D6A99">
              <w:rPr>
                <w:lang w:val="en-GB"/>
              </w:rPr>
              <w:t>maxOccurs</w:t>
            </w:r>
            <w:r w:rsidRPr="008D6A99">
              <w:rPr>
                <w:b/>
                <w:lang w:val="en-GB"/>
              </w:rPr>
              <w:t xml:space="preserve"> </w:t>
            </w:r>
            <w:r w:rsidRPr="008D6A99">
              <w:rPr>
                <w:lang w:val="en-GB"/>
              </w:rPr>
              <w:t>= 1 minOccurs = 1</w:t>
            </w:r>
          </w:p>
          <w:p w:rsidR="000215C5" w:rsidRDefault="00703023">
            <w:pPr>
              <w:spacing w:after="120"/>
              <w:jc w:val="both"/>
              <w:rPr>
                <w:b/>
                <w:szCs w:val="24"/>
              </w:rPr>
            </w:pPr>
            <w:r>
              <w:rPr>
                <w:b/>
              </w:rPr>
              <w:t>Vägledning om hur man fyller i mallposten</w:t>
            </w:r>
            <w:r>
              <w:t xml:space="preserve">: Krävs. För varje nationell åtgärd eller särskild åtgärd för avrinningsdistriktet som ingår i KTM, rapportera om den är relevant för syftena med ramdirektivet om en marin strategi eller ej. </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measureReference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b/>
                <w:szCs w:val="24"/>
              </w:rPr>
            </w:pPr>
            <w:r>
              <w:rPr>
                <w:b/>
              </w:rPr>
              <w:t xml:space="preserve">Egenskaper: </w:t>
            </w:r>
            <w:r>
              <w:t>maxOccurs</w:t>
            </w:r>
            <w:r>
              <w:rPr>
                <w:b/>
              </w:rPr>
              <w:t xml:space="preserve"> </w:t>
            </w:r>
            <w:r>
              <w:t>= unbounded minOccurs = 1</w:t>
            </w:r>
          </w:p>
          <w:p w:rsidR="000215C5" w:rsidRDefault="00703023">
            <w:pPr>
              <w:spacing w:after="120"/>
              <w:jc w:val="both"/>
              <w:rPr>
                <w:b/>
                <w:szCs w:val="24"/>
              </w:rPr>
            </w:pPr>
            <w:r>
              <w:rPr>
                <w:b/>
              </w:rPr>
              <w:t>Vägledning om hur man fyller i mallposten</w:t>
            </w:r>
            <w:r>
              <w:t xml:space="preserve">: Krävs. Ange hänvisningar eller hyperlänkar till relevanta dokument och avsnitt som innehåller specifik information om nationella åtgärder eller särskilda åtgärder för avrinningsdistriktet. Vägledning om vilka uppgifter som bör ingå i detta dokument ges i avsnitt </w:t>
            </w:r>
            <w:r>
              <w:fldChar w:fldCharType="begin"/>
            </w:r>
            <w:r>
              <w:instrText xml:space="preserve"> REF _Ref402960644 \r \h  \* MERGEFORMAT </w:instrText>
            </w:r>
            <w:r>
              <w:fldChar w:fldCharType="separate"/>
            </w:r>
            <w:r>
              <w:rPr>
                <w:szCs w:val="24"/>
              </w:rPr>
              <w:t>10.1.9</w:t>
            </w:r>
            <w:r>
              <w:fldChar w:fldCharType="end"/>
            </w:r>
            <w:r>
              <w:t xml:space="preserve">. </w:t>
            </w:r>
          </w:p>
        </w:tc>
      </w:tr>
    </w:tbl>
    <w:p w:rsidR="000215C5" w:rsidRDefault="000215C5">
      <w:pPr>
        <w:jc w:val="both"/>
      </w:pPr>
    </w:p>
    <w:p w:rsidR="000215C5" w:rsidRDefault="00703023">
      <w:pPr>
        <w:pStyle w:val="Rubrik3"/>
      </w:pPr>
      <w:bookmarkStart w:id="712" w:name="_Toc388280357"/>
      <w:bookmarkStart w:id="713" w:name="_Ref389036266"/>
      <w:bookmarkStart w:id="714" w:name="_Ref389036541"/>
      <w:bookmarkStart w:id="715" w:name="_Ref402960644"/>
      <w:r>
        <w:t>Vägledning om innehållet i förvaltningsplanerna för avrinningsdistrikt eller i bakgrundsdokument</w:t>
      </w:r>
      <w:bookmarkEnd w:id="712"/>
      <w:bookmarkEnd w:id="713"/>
      <w:bookmarkEnd w:id="714"/>
      <w:bookmarkEnd w:id="715"/>
    </w:p>
    <w:p w:rsidR="000215C5" w:rsidRDefault="00703023">
      <w:pPr>
        <w:jc w:val="both"/>
        <w:rPr>
          <w:b/>
        </w:rPr>
      </w:pPr>
      <w:r>
        <w:rPr>
          <w:b/>
        </w:rPr>
        <w:t>Information om individuella åtgärder</w:t>
      </w:r>
    </w:p>
    <w:p w:rsidR="000215C5" w:rsidRDefault="00703023">
      <w:pPr>
        <w:jc w:val="both"/>
      </w:pPr>
      <w:r>
        <w:t>Nedan ges vägledning om de uppgifter som kommissionen förväntar sig att medlemsstaterna lämnar i de relevanta kapitlen om viktiga åtgärdstyper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pPr>
      <w:r>
        <w:t xml:space="preserve">Hänvisningar ska lämnas till detaljerad information om de nationella åtgärder som är kopplade till de centrala åtgärdstyperna. Dessa kan anges på ett strukturerat sätt i förvaltningsplanen eller i ett särskilt bakgrundsdokument. Medlemsstaterna rekommenderas att ta fram mallar för att ange relevant information om varje åtgärd. Särskild information om vad som krävs för grundläggande åtgärder ges i avsnitt </w:t>
      </w:r>
      <w:r>
        <w:fldChar w:fldCharType="begin"/>
      </w:r>
      <w:r>
        <w:instrText xml:space="preserve"> REF _Ref389036114 \r \h  \* MERGEFORMAT </w:instrText>
      </w:r>
      <w:r>
        <w:fldChar w:fldCharType="separate"/>
      </w:r>
      <w:r>
        <w:t>10.2.3</w:t>
      </w:r>
      <w:r>
        <w:fldChar w:fldCharType="end"/>
      </w:r>
      <w:r>
        <w:t>.</w:t>
      </w:r>
    </w:p>
    <w:p w:rsidR="000215C5" w:rsidRDefault="00703023">
      <w:pPr>
        <w:jc w:val="both"/>
      </w:pPr>
      <w:r>
        <w:t>Uppgifterna ska åtminstone struktureras på följande sätt:</w:t>
      </w:r>
    </w:p>
    <w:p w:rsidR="000215C5" w:rsidRDefault="00703023">
      <w:pPr>
        <w:pStyle w:val="Liststycke"/>
        <w:numPr>
          <w:ilvl w:val="0"/>
          <w:numId w:val="50"/>
        </w:numPr>
        <w:jc w:val="both"/>
      </w:pPr>
      <w:r>
        <w:t>Åtgärdens kod.</w:t>
      </w:r>
    </w:p>
    <w:p w:rsidR="000215C5" w:rsidRDefault="00703023">
      <w:pPr>
        <w:pStyle w:val="Liststycke"/>
        <w:numPr>
          <w:ilvl w:val="0"/>
          <w:numId w:val="50"/>
        </w:numPr>
        <w:jc w:val="both"/>
        <w:rPr>
          <w:bCs/>
        </w:rPr>
      </w:pPr>
      <w:r>
        <w:t>Åtgärdens namn.</w:t>
      </w:r>
    </w:p>
    <w:p w:rsidR="000215C5" w:rsidRDefault="00703023">
      <w:pPr>
        <w:pStyle w:val="Liststycke"/>
        <w:numPr>
          <w:ilvl w:val="0"/>
          <w:numId w:val="50"/>
        </w:numPr>
        <w:jc w:val="both"/>
      </w:pPr>
      <w:r>
        <w:t>Åtgärdstyp (grundläggande enligt: Artikel 11.3 a, grundläggande: Artikel 11.3 b–l, kompletterande: Artikel 11.4).</w:t>
      </w:r>
    </w:p>
    <w:p w:rsidR="000215C5" w:rsidRDefault="00703023">
      <w:pPr>
        <w:pStyle w:val="Liststycke"/>
        <w:numPr>
          <w:ilvl w:val="0"/>
          <w:numId w:val="50"/>
        </w:numPr>
        <w:jc w:val="both"/>
      </w:pPr>
      <w:r>
        <w:t>Vattenkategorier som den är tillämplig på.</w:t>
      </w:r>
    </w:p>
    <w:p w:rsidR="000215C5" w:rsidRDefault="00703023">
      <w:pPr>
        <w:pStyle w:val="Liststycke"/>
        <w:numPr>
          <w:ilvl w:val="0"/>
          <w:numId w:val="50"/>
        </w:numPr>
        <w:jc w:val="both"/>
      </w:pPr>
      <w:r>
        <w:t>Åtgärdens geografiska täckning (nationell, avrinningsdistrikt, delavrinningsdistrikt, vattenförekomstnivå).</w:t>
      </w:r>
    </w:p>
    <w:p w:rsidR="000215C5" w:rsidRDefault="00703023">
      <w:pPr>
        <w:pStyle w:val="Liststycke"/>
        <w:numPr>
          <w:ilvl w:val="0"/>
          <w:numId w:val="50"/>
        </w:numPr>
        <w:jc w:val="both"/>
        <w:rPr>
          <w:bCs/>
        </w:rPr>
      </w:pPr>
      <w:r>
        <w:t>Uppgift om huruvida åtgärden redan fanns med i den första förvaltningsplanen, ändras eller är ny för den andra förvaltningsplanen.</w:t>
      </w:r>
    </w:p>
    <w:p w:rsidR="000215C5" w:rsidRDefault="00703023">
      <w:pPr>
        <w:pStyle w:val="Liststycke"/>
        <w:numPr>
          <w:ilvl w:val="0"/>
          <w:numId w:val="50"/>
        </w:numPr>
        <w:jc w:val="both"/>
        <w:rPr>
          <w:bCs/>
        </w:rPr>
      </w:pPr>
      <w:r>
        <w:t xml:space="preserve">Beskrivning av åtgärden (t.ex. erfarenhet från första cykeln (i förekommande fall), typer av påverkan som hanteras, om åtgärden är frivillig eller obligatorisk (särskilda krav för grundläggande åtgärder enligt artikel 11.3 b–l anges i avsnitt </w:t>
      </w:r>
      <w:r>
        <w:fldChar w:fldCharType="begin"/>
      </w:r>
      <w:r>
        <w:instrText xml:space="preserve"> REF _Ref389035947 \r \h  \* MERGEFORMAT </w:instrText>
      </w:r>
      <w:r>
        <w:fldChar w:fldCharType="separate"/>
      </w:r>
      <w:r>
        <w:rPr>
          <w:bCs/>
        </w:rPr>
        <w:t>10.2.3</w:t>
      </w:r>
      <w:r>
        <w:fldChar w:fldCharType="end"/>
      </w:r>
      <w:r>
        <w:t>)).</w:t>
      </w:r>
    </w:p>
    <w:p w:rsidR="000215C5" w:rsidRDefault="00703023">
      <w:pPr>
        <w:pStyle w:val="Liststycke"/>
        <w:numPr>
          <w:ilvl w:val="0"/>
          <w:numId w:val="50"/>
        </w:numPr>
        <w:jc w:val="both"/>
        <w:rPr>
          <w:bCs/>
        </w:rPr>
      </w:pPr>
      <w:r>
        <w:t>Åtgärdens förväntade bidrag till uppnåendet av vattendirektivets miljömål under den andra och tredje planeringscykeln.</w:t>
      </w:r>
    </w:p>
    <w:p w:rsidR="000215C5" w:rsidRDefault="00703023">
      <w:pPr>
        <w:pStyle w:val="Liststycke"/>
        <w:numPr>
          <w:ilvl w:val="0"/>
          <w:numId w:val="50"/>
        </w:numPr>
        <w:jc w:val="both"/>
        <w:rPr>
          <w:bCs/>
        </w:rPr>
      </w:pPr>
      <w:r>
        <w:t>Eventuella hinder för ett framgångsrikt genomförande.</w:t>
      </w:r>
    </w:p>
    <w:p w:rsidR="000215C5" w:rsidRDefault="00703023">
      <w:pPr>
        <w:pStyle w:val="Liststycke"/>
        <w:numPr>
          <w:ilvl w:val="0"/>
          <w:numId w:val="50"/>
        </w:numPr>
        <w:jc w:val="both"/>
      </w:pPr>
      <w:r>
        <w:t>Den organisation eller behöriga myndighet som har ansvar för genomförandet av åtgärden.</w:t>
      </w:r>
    </w:p>
    <w:p w:rsidR="000215C5" w:rsidRDefault="00703023">
      <w:pPr>
        <w:pStyle w:val="Liststycke"/>
        <w:numPr>
          <w:ilvl w:val="0"/>
          <w:numId w:val="50"/>
        </w:numPr>
        <w:jc w:val="both"/>
      </w:pPr>
      <w:r>
        <w:t>Partner med ansvar att bistå i genomförandet av åtgärde</w:t>
      </w:r>
      <w:r w:rsidR="00413FD0">
        <w:t>n (t.ex. livsmiljögrupper, icke</w:t>
      </w:r>
      <w:r w:rsidR="00413FD0">
        <w:noBreakHyphen/>
      </w:r>
      <w:r>
        <w:t>statliga organisationer (t.ex. natur- och flodfonder), jordbrukare, vattenindustrin, andra industrier, lokala myndigheter, skogsförvaltningar, gruvförvaltningar, hushåll, förvaltningar för och ägare av landsbygdsmarker, sjöfartsförvaltningar, transportförvaltningar, havs- och fiskeförvaltningar, naturvårdande förvaltningar och tillsynsmyndigheter, andra statliga departement, övriga).</w:t>
      </w:r>
    </w:p>
    <w:p w:rsidR="000215C5" w:rsidRDefault="00703023">
      <w:pPr>
        <w:pStyle w:val="Liststycke"/>
        <w:numPr>
          <w:ilvl w:val="0"/>
          <w:numId w:val="50"/>
        </w:numPr>
        <w:jc w:val="both"/>
      </w:pPr>
      <w:r>
        <w:t>Information om kostnaden för och finansieringen av åtgärden, särskilt om finansiering har säkrats för den andra planeringscykeln.</w:t>
      </w:r>
    </w:p>
    <w:p w:rsidR="000215C5" w:rsidRDefault="00703023">
      <w:pPr>
        <w:pStyle w:val="Liststycke"/>
        <w:numPr>
          <w:ilvl w:val="0"/>
          <w:numId w:val="50"/>
        </w:numPr>
        <w:jc w:val="both"/>
      </w:pPr>
      <w:r>
        <w:t>Finansieringskällor (t.ex. EU – strukturfonderna, Sammanhållningsfonden, Ejflu, EFF, Life eller FoU-fonder), nationella medel (intäkter från vattenavgifter, den allmänna budgeten).</w:t>
      </w:r>
    </w:p>
    <w:p w:rsidR="000215C5" w:rsidRDefault="00703023">
      <w:pPr>
        <w:pStyle w:val="Rubrik3"/>
      </w:pPr>
      <w:bookmarkStart w:id="716" w:name="_Toc388280358"/>
      <w:r>
        <w:t>Ordlista</w:t>
      </w:r>
      <w:bookmarkEnd w:id="716"/>
    </w:p>
    <w:p w:rsidR="000215C5" w:rsidRDefault="00703023">
      <w:pPr>
        <w:jc w:val="both"/>
        <w:rPr>
          <w:b/>
        </w:rPr>
      </w:pPr>
      <w:r>
        <w:rPr>
          <w:b/>
        </w:rPr>
        <w:t>Grundläggande åtgärder</w:t>
      </w:r>
    </w:p>
    <w:p w:rsidR="000215C5" w:rsidRDefault="00703023">
      <w:pPr>
        <w:jc w:val="both"/>
      </w:pPr>
      <w:r>
        <w:t>I artikel 11.3 i vattendirektivet anges att grundläggande åtgärder är de minimikrav som ska uppfyllas och de ska bestå av följande</w:t>
      </w:r>
      <w:r>
        <w:rPr>
          <w:rStyle w:val="Fotnotsreferens"/>
        </w:rPr>
        <w:footnoteReference w:id="126"/>
      </w:r>
      <w:r>
        <w:t xml:space="preserve">: </w:t>
      </w:r>
    </w:p>
    <w:p w:rsidR="000215C5" w:rsidRDefault="00703023">
      <w:pPr>
        <w:pStyle w:val="Liststycke"/>
        <w:numPr>
          <w:ilvl w:val="0"/>
          <w:numId w:val="52"/>
        </w:numPr>
        <w:ind w:left="709"/>
        <w:jc w:val="both"/>
        <w:rPr>
          <w:szCs w:val="24"/>
        </w:rPr>
      </w:pPr>
      <w:r>
        <w:t xml:space="preserve">Punkt a: De åtgärder som krävs för att genomföra </w:t>
      </w:r>
      <w:r>
        <w:rPr>
          <w:b/>
        </w:rPr>
        <w:t>gemenskapslagstiftningen</w:t>
      </w:r>
      <w:r>
        <w:t xml:space="preserve"> för skydd av vatten, inklusive de åtgärder som krävs enligt den lagstiftning som anges i artikel 10 och i bilaga VI, del A. Det gäller särskilt följande:</w:t>
      </w:r>
    </w:p>
    <w:p w:rsidR="000215C5" w:rsidRDefault="00703023">
      <w:pPr>
        <w:pStyle w:val="Liststycke"/>
        <w:numPr>
          <w:ilvl w:val="1"/>
          <w:numId w:val="52"/>
        </w:numPr>
        <w:ind w:left="1418"/>
        <w:jc w:val="both"/>
        <w:rPr>
          <w:szCs w:val="24"/>
        </w:rPr>
      </w:pPr>
      <w:r>
        <w:t>Åtgärder för att uppfylla nitratdirektivet (91/676/EEG)</w:t>
      </w:r>
      <w:r>
        <w:rPr>
          <w:rStyle w:val="Fotnotsreferens"/>
        </w:rPr>
        <w:footnoteReference w:id="127"/>
      </w:r>
      <w:r>
        <w:t>, enligt vad som fastställts i nitratåtgärdsprogrammet enligt det direktivet.</w:t>
      </w:r>
    </w:p>
    <w:p w:rsidR="000215C5" w:rsidRDefault="00703023">
      <w:pPr>
        <w:pStyle w:val="Liststycke"/>
        <w:numPr>
          <w:ilvl w:val="1"/>
          <w:numId w:val="52"/>
        </w:numPr>
        <w:ind w:left="1418"/>
        <w:jc w:val="both"/>
        <w:rPr>
          <w:szCs w:val="24"/>
        </w:rPr>
      </w:pPr>
      <w:r>
        <w:t>Åtgärder för att uppfylla direktivet om rening av avloppsvatten från tätbebyggelse (91/271/EEG)</w:t>
      </w:r>
      <w:r>
        <w:rPr>
          <w:rStyle w:val="Fotnotsreferens"/>
        </w:rPr>
        <w:footnoteReference w:id="128"/>
      </w:r>
      <w:r>
        <w:t>, främst enligt vad som definieras i artiklarna 3, 4 och 5 och bilaga I till det direktivet.</w:t>
      </w:r>
    </w:p>
    <w:p w:rsidR="000215C5" w:rsidRDefault="00703023">
      <w:pPr>
        <w:pStyle w:val="Liststycke"/>
        <w:numPr>
          <w:ilvl w:val="1"/>
          <w:numId w:val="52"/>
        </w:numPr>
        <w:ind w:left="1418"/>
        <w:jc w:val="both"/>
        <w:rPr>
          <w:szCs w:val="24"/>
        </w:rPr>
      </w:pPr>
      <w:r>
        <w:t>Åtgärder för att uppfylla direktivet om industriutsläpp (2010/75/EG)</w:t>
      </w:r>
      <w:r>
        <w:rPr>
          <w:rStyle w:val="Fotnotsreferens"/>
        </w:rPr>
        <w:footnoteReference w:id="129"/>
      </w:r>
      <w:r>
        <w:t>, särskilt fastställande av utsläppsgränsvärden enligt bästa tillgängliga teknik (BAT)</w:t>
      </w:r>
      <w:r>
        <w:rPr>
          <w:i/>
        </w:rPr>
        <w:t>.</w:t>
      </w:r>
    </w:p>
    <w:p w:rsidR="000215C5" w:rsidRDefault="00703023">
      <w:pPr>
        <w:pStyle w:val="Liststycke"/>
        <w:numPr>
          <w:ilvl w:val="0"/>
          <w:numId w:val="51"/>
        </w:numPr>
        <w:jc w:val="both"/>
        <w:rPr>
          <w:szCs w:val="24"/>
        </w:rPr>
      </w:pPr>
      <w:r>
        <w:t xml:space="preserve">Leden b–l: Åtgärder som till övervägande del kräver bindande regler som går längre än det nationella genomförandet av åtgärderna enligt artikel 11.3 a för att uppnå vattendirektivets miljömål. Begreppet ”reglering” används uttryckligen i ett antal led i artikeln, t.ex. reglering av uttag (led e) (t.ex. </w:t>
      </w:r>
      <w:r>
        <w:rPr>
          <w:i/>
        </w:rPr>
        <w:t>ett krav på att tillstånd för vattenuttag ska revideras enligt vattendirektivets regler</w:t>
      </w:r>
      <w:r>
        <w:t xml:space="preserve">), diffusa källor (led h) (t.ex. att </w:t>
      </w:r>
      <w:r>
        <w:rPr>
          <w:i/>
        </w:rPr>
        <w:t>fosfat, bekämpningsmedel, sediment, organisk förorening och ammonium från jordbruket måste regleras om de anses påverka uppnåendet av generellt god status</w:t>
      </w:r>
      <w:r>
        <w:t xml:space="preserve">), och verksamheter som påverkar de hydromorfologiska förhållandena (led i) (t.ex. att </w:t>
      </w:r>
      <w:r>
        <w:rPr>
          <w:i/>
        </w:rPr>
        <w:t>reglering ska upprättas för att se till att verksamheter i eller nära floder inte har en negativ inverkan på de morfologiska förhållandena</w:t>
      </w:r>
      <w:r>
        <w:t>).</w:t>
      </w:r>
    </w:p>
    <w:p w:rsidR="000215C5" w:rsidRDefault="00703023">
      <w:pPr>
        <w:jc w:val="both"/>
        <w:rPr>
          <w:b/>
        </w:rPr>
      </w:pPr>
      <w:r>
        <w:rPr>
          <w:b/>
        </w:rPr>
        <w:t>Kompletterande åtgärder (artikel 11.4)</w:t>
      </w:r>
    </w:p>
    <w:p w:rsidR="000215C5" w:rsidRDefault="00703023">
      <w:pPr>
        <w:jc w:val="both"/>
      </w:pPr>
      <w:r>
        <w:t>I vissa situationer är det inte tillräckligt med grundläggande åtgärder för att uppnå god status, och då kan kompletterande åtgärder behövas. Medlemsstaterna måste för det första ha grundläggande åtgärder som överensstämmer med artikel 11.3. För det andra ska de fastställa kompletterande åtgärder och ha en trovärdig plan för att säkerställa och spåra framsteg med de kompletterande åtgärder som har inrättats. Kompletterande åtgärder kan t.ex. bestå av tekniska åtgärder, rådgivningstjänster eller samarbetsavtal mellan in</w:t>
      </w:r>
      <w:r w:rsidR="00413FD0">
        <w:t>tressentgrupper (se bilaga VI.B </w:t>
      </w:r>
      <w:r>
        <w:t>till vattendirektivet).</w:t>
      </w:r>
    </w:p>
    <w:p w:rsidR="000215C5" w:rsidRDefault="00703023">
      <w:pPr>
        <w:jc w:val="both"/>
      </w:pPr>
      <w:r>
        <w:t>Grundläggande och kompletterande åtgärder ska tillsammans hantera påverkan så att vattendirektivets miljömål kan uppnås.</w:t>
      </w:r>
    </w:p>
    <w:p w:rsidR="000215C5" w:rsidRDefault="00703023">
      <w:pPr>
        <w:pStyle w:val="Rubrik2"/>
        <w:jc w:val="both"/>
      </w:pPr>
      <w:bookmarkStart w:id="717" w:name="_Toc400669582"/>
      <w:bookmarkStart w:id="718" w:name="_Toc400670048"/>
      <w:bookmarkStart w:id="719" w:name="_Toc400670386"/>
      <w:bookmarkStart w:id="720" w:name="_Toc400670720"/>
      <w:bookmarkStart w:id="721" w:name="_Toc400671028"/>
      <w:bookmarkStart w:id="722" w:name="_Toc400671332"/>
      <w:bookmarkStart w:id="723" w:name="_Toc400671637"/>
      <w:bookmarkStart w:id="724" w:name="_Toc400671931"/>
      <w:bookmarkStart w:id="725" w:name="_Toc400720384"/>
      <w:bookmarkStart w:id="726" w:name="_Toc382937059"/>
      <w:bookmarkStart w:id="727" w:name="_Toc386464256"/>
      <w:bookmarkStart w:id="728" w:name="_Toc388280359"/>
      <w:bookmarkStart w:id="729" w:name="_Toc425522083"/>
      <w:bookmarkStart w:id="730" w:name="_Toc432666095"/>
      <w:bookmarkStart w:id="731" w:name="_Toc437520291"/>
      <w:bookmarkEnd w:id="717"/>
      <w:bookmarkEnd w:id="718"/>
      <w:bookmarkEnd w:id="719"/>
      <w:bookmarkEnd w:id="720"/>
      <w:bookmarkEnd w:id="721"/>
      <w:bookmarkEnd w:id="722"/>
      <w:bookmarkEnd w:id="723"/>
      <w:bookmarkEnd w:id="724"/>
      <w:bookmarkEnd w:id="725"/>
      <w:r>
        <w:t>Riktade frågor om grundläggande åtgärder och andra aspekter</w:t>
      </w:r>
      <w:bookmarkEnd w:id="726"/>
      <w:bookmarkEnd w:id="727"/>
      <w:bookmarkEnd w:id="728"/>
      <w:bookmarkEnd w:id="729"/>
      <w:bookmarkEnd w:id="730"/>
      <w:bookmarkEnd w:id="731"/>
    </w:p>
    <w:p w:rsidR="000215C5" w:rsidRDefault="00703023">
      <w:pPr>
        <w:pStyle w:val="Rubrik3"/>
      </w:pPr>
      <w:bookmarkStart w:id="732" w:name="_Toc388280360"/>
      <w:r>
        <w:t>Innehåll i rapporteringen 2016</w:t>
      </w:r>
      <w:bookmarkEnd w:id="732"/>
    </w:p>
    <w:p w:rsidR="000215C5" w:rsidRDefault="00703023">
      <w:pPr>
        <w:pStyle w:val="Rubrik4"/>
      </w:pPr>
      <w:r>
        <w:t>Skiss över mallarna</w:t>
      </w:r>
    </w:p>
    <w:p w:rsidR="000215C5" w:rsidRDefault="00703023">
      <w:pPr>
        <w:jc w:val="both"/>
      </w:pPr>
      <w:r>
        <w:t>Se bilaga 10.7.</w:t>
      </w:r>
    </w:p>
    <w:p w:rsidR="000215C5" w:rsidRDefault="00703023">
      <w:pPr>
        <w:pStyle w:val="Rubrik4"/>
      </w:pPr>
      <w:r>
        <w:t>Information och uppgifter som ska rapporteras med hjälp av mallarna</w:t>
      </w:r>
    </w:p>
    <w:p w:rsidR="000215C5" w:rsidRDefault="00703023">
      <w:pPr>
        <w:jc w:val="both"/>
        <w:rPr>
          <w:b/>
        </w:rPr>
      </w:pPr>
      <w:r>
        <w:rPr>
          <w:b/>
        </w:rPr>
        <w:t>Riktade frågor om grundläggande åtgärder</w:t>
      </w:r>
    </w:p>
    <w:p w:rsidR="000215C5" w:rsidRPr="008D6A99" w:rsidRDefault="00703023">
      <w:pPr>
        <w:jc w:val="both"/>
        <w:rPr>
          <w:lang w:val="en-GB"/>
        </w:rPr>
      </w:pPr>
      <w:r>
        <w:t xml:space="preserve">De riktade frågorna i mallen avser artikel 11.3 b–l. I artikel 11.3 anges att grundläggande åtgärder är de minimikrav som ska uppfyllas och de ska bestå av åtgärder enligt artikel 11.3 a (dvs. de åtgärder som krävs för att genomföra gemenskapslagstiftningen för skydd av vatten) samt de åtgärder som anges i artikel 11.3 b–l. Artikel 11.3 a–l är föreskrivande, men medlemsstaterna får själva fastställa den exakta typen av åtgärder beroende på vilka typer av påverkan det berörda avrinningsdistriktet är utsatt för. Syftet med de riktade frågorna är att fastställa om de grundläggande åtgärderna enligt artikel 11.3 b–l har planerats för planeringscykeln, och särskilt hur de förväntas bidra till att åtgärda befintliga brister för att uppnå vattendirektivets miljömål under den andra och tredje planeringscykeln (den s.k. bristanalysen). Ett alternativ har tagits med i varje fall i den händelse de grundläggande åtgärderna för den relevanta typen har genomförts under den föregående cykeln och inga ändringar eller </w:t>
      </w:r>
      <w:r w:rsidR="00781786">
        <w:t>ytterligare</w:t>
      </w:r>
      <w:r>
        <w:t xml:space="preserve"> åtgärder förväntas. </w:t>
      </w:r>
      <w:r w:rsidR="00E61D65">
        <w:rPr>
          <w:lang w:val="en-GB"/>
        </w:rPr>
        <w:t xml:space="preserve">I sådana fall ska svaret </w:t>
      </w:r>
      <w:r w:rsidRPr="008D6A99">
        <w:rPr>
          <w:lang w:val="en-GB"/>
        </w:rPr>
        <w:t xml:space="preserve">”Measures already implemented and made operational and no new measures or significant modifications expected” väljas. </w:t>
      </w:r>
    </w:p>
    <w:p w:rsidR="000215C5" w:rsidRDefault="00703023">
      <w:pPr>
        <w:jc w:val="both"/>
      </w:pPr>
      <w:r>
        <w:t xml:space="preserve">För varje riktad fråga ska en exakt hänvisning anges till ett dokument eller ett avsnitt i förvaltningsplanen med en beskrivning av befintliga åtgärder, planerat genomförande av eventuella nya åtgärder eller betydande ändringar av en befintlig åtgärd inför den andra (och i förekommande fall för den tredje) planeringscykeln samt förväntat bidrag till uppnåendet av vattendirektivets miljömål. Undvik allmänna hänvisningar till åtgärdsplanerna, utan ange en exakt hänvisning till avsnittet med de relevanta åtgärderna för varje fråga. </w:t>
      </w:r>
    </w:p>
    <w:p w:rsidR="000215C5" w:rsidRDefault="00703023">
      <w:pPr>
        <w:jc w:val="both"/>
      </w:pPr>
      <w:r>
        <w:t>Närmare uppgifter om den information som ska lämnas i förvaltningsplanerna och bakgrundsdokumenten finns i avsnittet om vägledning om innehållet i förvaltningsplaner/bakgrundsdokument.</w:t>
      </w:r>
    </w:p>
    <w:p w:rsidR="000215C5" w:rsidRDefault="000215C5">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RBMPPoM (fortsättning)</w:t>
            </w:r>
          </w:p>
        </w:tc>
      </w:tr>
      <w:tr w:rsidR="000215C5">
        <w:tc>
          <w:tcPr>
            <w:tcW w:w="9889" w:type="dxa"/>
            <w:shd w:val="clear" w:color="auto" w:fill="auto"/>
          </w:tcPr>
          <w:p w:rsidR="000215C5" w:rsidRDefault="00703023">
            <w:pPr>
              <w:spacing w:after="120"/>
              <w:jc w:val="both"/>
              <w:rPr>
                <w:b/>
                <w:i/>
                <w:szCs w:val="24"/>
              </w:rPr>
            </w:pPr>
            <w:r>
              <w:rPr>
                <w:b/>
                <w:i/>
              </w:rPr>
              <w:t>Klass: TargetedQ</w:t>
            </w:r>
          </w:p>
          <w:p w:rsidR="000215C5" w:rsidRDefault="00703023">
            <w:pPr>
              <w:spacing w:after="120"/>
              <w:jc w:val="both"/>
              <w:rPr>
                <w:i/>
                <w:szCs w:val="24"/>
              </w:rPr>
            </w:pPr>
            <w:r>
              <w:rPr>
                <w:b/>
                <w:i/>
              </w:rPr>
              <w:t xml:space="preserve">Egenskaper: </w:t>
            </w:r>
            <w:r>
              <w:rPr>
                <w:i/>
              </w:rPr>
              <w:t>maxOccurs = 1 minOccurs = 1</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basicMeasuresArt113c</w:t>
            </w:r>
          </w:p>
          <w:p w:rsidR="000215C5" w:rsidRDefault="00703023">
            <w:pPr>
              <w:spacing w:after="120"/>
              <w:jc w:val="both"/>
              <w:rPr>
                <w:szCs w:val="24"/>
              </w:rPr>
            </w:pPr>
            <w:r>
              <w:rPr>
                <w:b/>
              </w:rPr>
              <w:t xml:space="preserve">Fälttyp/alternativ: </w:t>
            </w:r>
            <w:r>
              <w:t>BasicMeasuresArt113c_Enum:</w:t>
            </w:r>
          </w:p>
          <w:p w:rsidR="000215C5" w:rsidRPr="008D6A99" w:rsidRDefault="00703023">
            <w:pPr>
              <w:spacing w:after="120"/>
              <w:jc w:val="both"/>
              <w:rPr>
                <w:szCs w:val="24"/>
                <w:lang w:val="en-GB"/>
              </w:rPr>
            </w:pPr>
            <w:r w:rsidRPr="008D6A99">
              <w:rPr>
                <w:lang w:val="en-GB"/>
              </w:rPr>
              <w:t>Measures of this type implemented in previous cycle, no new measures nor significant changes planned.</w:t>
            </w:r>
          </w:p>
          <w:p w:rsidR="000215C5" w:rsidRPr="008D6A99" w:rsidRDefault="00703023">
            <w:pPr>
              <w:spacing w:after="120"/>
              <w:jc w:val="both"/>
              <w:rPr>
                <w:szCs w:val="24"/>
                <w:lang w:val="en-GB"/>
              </w:rPr>
            </w:pPr>
            <w:r w:rsidRPr="008D6A99">
              <w:rPr>
                <w:lang w:val="en-GB"/>
              </w:rPr>
              <w:t>Measures of this type implemented in previous cycle but new measures and/or significant changes planned.</w:t>
            </w:r>
          </w:p>
          <w:p w:rsidR="000215C5" w:rsidRPr="008D6A99" w:rsidRDefault="00703023">
            <w:pPr>
              <w:spacing w:after="120"/>
              <w:jc w:val="both"/>
              <w:rPr>
                <w:szCs w:val="24"/>
                <w:lang w:val="en-GB"/>
              </w:rPr>
            </w:pPr>
            <w:r w:rsidRPr="008D6A99">
              <w:rPr>
                <w:lang w:val="en-GB"/>
              </w:rPr>
              <w:t>No measures of this type implemented in previous cycle but new measures and/or significant changes planned.</w:t>
            </w:r>
          </w:p>
          <w:p w:rsidR="000215C5" w:rsidRPr="008D6A99" w:rsidRDefault="00703023">
            <w:pPr>
              <w:spacing w:after="120"/>
              <w:jc w:val="both"/>
              <w:rPr>
                <w:szCs w:val="24"/>
                <w:lang w:val="en-GB"/>
              </w:rPr>
            </w:pPr>
            <w:r w:rsidRPr="008D6A99">
              <w:rPr>
                <w:lang w:val="en-GB"/>
              </w:rPr>
              <w:t>No measures of this type implemented in previous cycle and no measures planned.</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xml:space="preserve">: Krävs. Ange om det finns åtgärder för att främja en effektiv och hållbar vattenanvändning för att undvika att uppnåendet av de mål som anges i artikel 4 äventyras (artikel 11.3 c) (t.ex. mätning och fördelning av vatten). </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basicMeasuresArt113d</w:t>
            </w:r>
          </w:p>
          <w:p w:rsidR="000215C5" w:rsidRDefault="00703023">
            <w:pPr>
              <w:spacing w:after="120"/>
              <w:jc w:val="both"/>
              <w:rPr>
                <w:szCs w:val="24"/>
              </w:rPr>
            </w:pPr>
            <w:r>
              <w:rPr>
                <w:b/>
              </w:rPr>
              <w:t xml:space="preserve">Fälttyp/alternativ: </w:t>
            </w:r>
            <w:r>
              <w:t>BasicMeasuresArt113d_Enum:</w:t>
            </w:r>
          </w:p>
          <w:p w:rsidR="000215C5" w:rsidRPr="008D6A99" w:rsidRDefault="00703023">
            <w:pPr>
              <w:spacing w:after="120"/>
              <w:jc w:val="both"/>
              <w:rPr>
                <w:szCs w:val="24"/>
                <w:lang w:val="en-GB"/>
              </w:rPr>
            </w:pPr>
            <w:r w:rsidRPr="008D6A99">
              <w:rPr>
                <w:lang w:val="en-GB"/>
              </w:rPr>
              <w:t>There are safeguard zones and there are no plans to change the regulations as a result of this RBMP.</w:t>
            </w:r>
          </w:p>
          <w:p w:rsidR="000215C5" w:rsidRPr="008D6A99" w:rsidRDefault="00703023">
            <w:pPr>
              <w:spacing w:after="120"/>
              <w:jc w:val="both"/>
              <w:rPr>
                <w:szCs w:val="24"/>
                <w:lang w:val="en-GB"/>
              </w:rPr>
            </w:pPr>
            <w:r w:rsidRPr="008D6A99">
              <w:rPr>
                <w:lang w:val="en-GB"/>
              </w:rPr>
              <w:t>There are safeguard zones but there will be significant changes to them implemented as a result of this RBMP.</w:t>
            </w:r>
          </w:p>
          <w:p w:rsidR="000215C5" w:rsidRPr="008D6A99" w:rsidRDefault="00703023">
            <w:pPr>
              <w:spacing w:after="120"/>
              <w:jc w:val="both"/>
              <w:rPr>
                <w:szCs w:val="24"/>
                <w:lang w:val="en-GB"/>
              </w:rPr>
            </w:pPr>
            <w:r w:rsidRPr="008D6A99">
              <w:rPr>
                <w:lang w:val="en-GB"/>
              </w:rPr>
              <w:t>There are no safeguard zones but there are plans to implement them as a result of this RBMP.</w:t>
            </w:r>
          </w:p>
          <w:p w:rsidR="000215C5" w:rsidRPr="008D6A99" w:rsidRDefault="00703023">
            <w:pPr>
              <w:spacing w:after="120"/>
              <w:jc w:val="both"/>
              <w:rPr>
                <w:b/>
                <w:szCs w:val="24"/>
                <w:lang w:val="en-GB"/>
              </w:rPr>
            </w:pPr>
            <w:r w:rsidRPr="008D6A99">
              <w:rPr>
                <w:lang w:val="en-GB"/>
              </w:rPr>
              <w:t>There are no safeguard zones and no plans to establish them.</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b/>
                <w:szCs w:val="24"/>
              </w:rPr>
            </w:pPr>
            <w:r>
              <w:rPr>
                <w:b/>
              </w:rPr>
              <w:t>Vägledning om hur man fyller i mallposten</w:t>
            </w:r>
            <w:r>
              <w:t xml:space="preserve">: Krävs. Ange om det finns åtgärder för att uppfylla kraven i artikel 7, däribland åtgärder för att skydda vattenkvaliteten för att minska den nivå av vattenrening som krävs för framställning av dricksvatten (dvs. att säkerhetszoner har inrättats) (artikel 11.3 d). </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basicMeasuresArt113ePermit</w:t>
            </w:r>
          </w:p>
          <w:p w:rsidR="000215C5" w:rsidRDefault="00703023">
            <w:pPr>
              <w:spacing w:after="120"/>
              <w:jc w:val="both"/>
              <w:rPr>
                <w:szCs w:val="24"/>
              </w:rPr>
            </w:pPr>
            <w:r>
              <w:rPr>
                <w:b/>
              </w:rPr>
              <w:t xml:space="preserve">Fälttyp/alternativ: </w:t>
            </w:r>
            <w:r>
              <w:t>BasicMeasures_Enum:</w:t>
            </w:r>
          </w:p>
          <w:p w:rsidR="000215C5" w:rsidRPr="008D6A99" w:rsidRDefault="00703023">
            <w:pPr>
              <w:spacing w:after="120"/>
              <w:jc w:val="both"/>
              <w:rPr>
                <w:szCs w:val="24"/>
                <w:lang w:val="en-GB"/>
              </w:rPr>
            </w:pPr>
            <w:r w:rsidRPr="008D6A99">
              <w:rPr>
                <w:lang w:val="en-GB"/>
              </w:rPr>
              <w:t>Yes, for surface and groundwater.</w:t>
            </w:r>
          </w:p>
          <w:p w:rsidR="000215C5" w:rsidRPr="008D6A99" w:rsidRDefault="00703023">
            <w:pPr>
              <w:spacing w:after="120"/>
              <w:jc w:val="both"/>
              <w:rPr>
                <w:szCs w:val="24"/>
                <w:lang w:val="en-GB"/>
              </w:rPr>
            </w:pPr>
            <w:r w:rsidRPr="008D6A99">
              <w:rPr>
                <w:lang w:val="en-GB"/>
              </w:rPr>
              <w:t>Yes, for surface water only.</w:t>
            </w:r>
          </w:p>
          <w:p w:rsidR="000215C5" w:rsidRPr="008D6A99" w:rsidRDefault="00703023">
            <w:pPr>
              <w:spacing w:after="120"/>
              <w:jc w:val="both"/>
              <w:rPr>
                <w:szCs w:val="24"/>
                <w:lang w:val="en-GB"/>
              </w:rPr>
            </w:pPr>
            <w:r w:rsidRPr="008D6A99">
              <w:rPr>
                <w:lang w:val="en-GB"/>
              </w:rPr>
              <w:t>Yes, for groundwater only.</w:t>
            </w:r>
          </w:p>
          <w:p w:rsidR="000215C5" w:rsidRPr="008D6A99" w:rsidRDefault="00703023">
            <w:pPr>
              <w:spacing w:after="120"/>
              <w:jc w:val="both"/>
              <w:rPr>
                <w:szCs w:val="24"/>
                <w:lang w:val="en-GB"/>
              </w:rPr>
            </w:pPr>
            <w:r w:rsidRPr="008D6A99">
              <w:rPr>
                <w:lang w:val="en-GB"/>
              </w:rPr>
              <w:t>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xml:space="preserve">: Krävs. Ange om det finns en koncession och ett godkännande- och/eller tillståndssystem för reglering av vattenuttag (artikel 11.3 e). </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basicMeasuresArt113eRegister</w:t>
            </w:r>
          </w:p>
          <w:p w:rsidR="000215C5" w:rsidRDefault="00703023">
            <w:pPr>
              <w:spacing w:after="120"/>
              <w:jc w:val="both"/>
              <w:rPr>
                <w:szCs w:val="24"/>
              </w:rPr>
            </w:pPr>
            <w:r>
              <w:rPr>
                <w:b/>
              </w:rPr>
              <w:t xml:space="preserve">Fälttyp/alternativ: </w:t>
            </w:r>
            <w:r>
              <w:t>BasicMeasures_Enum:</w:t>
            </w:r>
          </w:p>
          <w:p w:rsidR="000215C5" w:rsidRPr="008D6A99" w:rsidRDefault="00703023">
            <w:pPr>
              <w:spacing w:after="120"/>
              <w:jc w:val="both"/>
              <w:rPr>
                <w:szCs w:val="24"/>
                <w:lang w:val="en-GB"/>
              </w:rPr>
            </w:pPr>
            <w:r w:rsidRPr="008D6A99">
              <w:rPr>
                <w:lang w:val="en-GB"/>
              </w:rPr>
              <w:t>Yes, for surface and groundwater.</w:t>
            </w:r>
          </w:p>
          <w:p w:rsidR="000215C5" w:rsidRPr="008D6A99" w:rsidRDefault="00703023">
            <w:pPr>
              <w:spacing w:after="120"/>
              <w:jc w:val="both"/>
              <w:rPr>
                <w:szCs w:val="24"/>
                <w:lang w:val="en-GB"/>
              </w:rPr>
            </w:pPr>
            <w:r w:rsidRPr="008D6A99">
              <w:rPr>
                <w:lang w:val="en-GB"/>
              </w:rPr>
              <w:t>Yes, for surface water only.</w:t>
            </w:r>
          </w:p>
          <w:p w:rsidR="000215C5" w:rsidRPr="008D6A99" w:rsidRDefault="00703023">
            <w:pPr>
              <w:spacing w:after="120"/>
              <w:jc w:val="both"/>
              <w:rPr>
                <w:szCs w:val="24"/>
                <w:lang w:val="en-GB"/>
              </w:rPr>
            </w:pPr>
            <w:r w:rsidRPr="008D6A99">
              <w:rPr>
                <w:lang w:val="en-GB"/>
              </w:rPr>
              <w:t>Yes, for groundwater only.</w:t>
            </w:r>
          </w:p>
          <w:p w:rsidR="000215C5" w:rsidRPr="008D6A99" w:rsidRDefault="00703023">
            <w:pPr>
              <w:spacing w:after="120"/>
              <w:jc w:val="both"/>
              <w:rPr>
                <w:b/>
                <w:szCs w:val="24"/>
                <w:lang w:val="en-GB"/>
              </w:rPr>
            </w:pPr>
            <w:r w:rsidRPr="008D6A99">
              <w:rPr>
                <w:lang w:val="en-GB"/>
              </w:rPr>
              <w:t>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b/>
                <w:szCs w:val="24"/>
              </w:rPr>
            </w:pPr>
            <w:r>
              <w:rPr>
                <w:b/>
              </w:rPr>
              <w:t>Vägledning om hur man fyller i mallposten</w:t>
            </w:r>
            <w:r>
              <w:t xml:space="preserve">: Krävs. Ange om det finns ett register över vattenuttag (artikel 11.3 e). </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basicMeasuresArt113eThreshold</w:t>
            </w:r>
          </w:p>
          <w:p w:rsidR="000215C5" w:rsidRDefault="00703023">
            <w:pPr>
              <w:spacing w:after="120"/>
              <w:jc w:val="both"/>
              <w:rPr>
                <w:szCs w:val="24"/>
              </w:rPr>
            </w:pPr>
            <w:r>
              <w:rPr>
                <w:b/>
              </w:rPr>
              <w:t xml:space="preserve">Fälttyp/alternativ: </w:t>
            </w:r>
            <w:r>
              <w:t>BasicMeasuresArt113eThreshold_Enum:</w:t>
            </w:r>
          </w:p>
          <w:p w:rsidR="000215C5" w:rsidRPr="008D6A99" w:rsidRDefault="00703023">
            <w:pPr>
              <w:spacing w:after="120"/>
              <w:jc w:val="both"/>
              <w:rPr>
                <w:szCs w:val="24"/>
                <w:lang w:val="en-GB"/>
              </w:rPr>
            </w:pPr>
            <w:r w:rsidRPr="008D6A99">
              <w:rPr>
                <w:lang w:val="en-GB"/>
              </w:rPr>
              <w:t>Yes, small abstractions are exempted from controls.</w:t>
            </w:r>
          </w:p>
          <w:p w:rsidR="000215C5" w:rsidRPr="008D6A99" w:rsidRDefault="00703023">
            <w:pPr>
              <w:spacing w:after="120"/>
              <w:jc w:val="both"/>
              <w:rPr>
                <w:szCs w:val="24"/>
                <w:lang w:val="en-GB"/>
              </w:rPr>
            </w:pPr>
            <w:r w:rsidRPr="008D6A99">
              <w:rPr>
                <w:lang w:val="en-GB"/>
              </w:rPr>
              <w:t>Small abstractions do not require permits but are all registered.</w:t>
            </w:r>
          </w:p>
          <w:p w:rsidR="000215C5" w:rsidRPr="008D6A99" w:rsidRDefault="00703023">
            <w:pPr>
              <w:spacing w:after="120"/>
              <w:jc w:val="both"/>
              <w:rPr>
                <w:szCs w:val="24"/>
                <w:lang w:val="en-GB"/>
              </w:rPr>
            </w:pPr>
            <w:r w:rsidRPr="008D6A99">
              <w:rPr>
                <w:lang w:val="en-GB"/>
              </w:rPr>
              <w:t>No, there are no thresholds.</w:t>
            </w:r>
          </w:p>
          <w:p w:rsidR="000215C5" w:rsidRPr="008D6A99" w:rsidRDefault="00703023">
            <w:pPr>
              <w:spacing w:after="120"/>
              <w:jc w:val="both"/>
              <w:rPr>
                <w:b/>
                <w:szCs w:val="24"/>
                <w:lang w:val="en-GB"/>
              </w:rPr>
            </w:pPr>
            <w:r w:rsidRPr="008D6A99">
              <w:rPr>
                <w:lang w:val="en-GB"/>
              </w:rPr>
              <w:t>Not relevant as there is no permitting regime and no register.</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xml:space="preserve">: Krävs. Ange om det finns gränser under vilka det inte krävs tillstånd för uttag och uttag inte är föremål för registrering (artikel 11.3 e). </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basicMeasuresArt113eImpoundment</w:t>
            </w:r>
          </w:p>
          <w:p w:rsidR="000215C5" w:rsidRDefault="00703023">
            <w:pPr>
              <w:spacing w:after="120"/>
              <w:jc w:val="both"/>
              <w:rPr>
                <w:szCs w:val="24"/>
              </w:rPr>
            </w:pPr>
            <w:r>
              <w:rPr>
                <w:b/>
              </w:rPr>
              <w:t xml:space="preserve">Fälttyp/alternativ: </w:t>
            </w:r>
            <w:r>
              <w:t>BasicMeasruesArt113eImpoundment_Enum:</w:t>
            </w:r>
          </w:p>
          <w:p w:rsidR="000215C5" w:rsidRPr="008D6A99" w:rsidRDefault="00703023">
            <w:pPr>
              <w:spacing w:after="120"/>
              <w:jc w:val="both"/>
              <w:rPr>
                <w:szCs w:val="24"/>
                <w:lang w:val="en-GB"/>
              </w:rPr>
            </w:pPr>
            <w:r w:rsidRPr="008D6A99">
              <w:rPr>
                <w:lang w:val="en-GB"/>
              </w:rPr>
              <w:t>Yes, there is a concession, authorisation and/or permitting regime to control water impoundment and a register of impoundments.</w:t>
            </w:r>
          </w:p>
          <w:p w:rsidR="000215C5" w:rsidRPr="008D6A99" w:rsidRDefault="00703023">
            <w:pPr>
              <w:spacing w:after="120"/>
              <w:jc w:val="both"/>
              <w:rPr>
                <w:szCs w:val="24"/>
                <w:lang w:val="en-GB"/>
              </w:rPr>
            </w:pPr>
            <w:r w:rsidRPr="008D6A99">
              <w:rPr>
                <w:lang w:val="en-GB"/>
              </w:rPr>
              <w:t>There is a concession, authorisation and/or permitting regime to control water impoundment but no register of impoundments.</w:t>
            </w:r>
          </w:p>
          <w:p w:rsidR="000215C5" w:rsidRPr="008D6A99" w:rsidRDefault="00703023">
            <w:pPr>
              <w:spacing w:after="120"/>
              <w:jc w:val="both"/>
              <w:rPr>
                <w:szCs w:val="24"/>
                <w:lang w:val="en-GB"/>
              </w:rPr>
            </w:pPr>
            <w:r w:rsidRPr="008D6A99">
              <w:rPr>
                <w:lang w:val="en-GB"/>
              </w:rPr>
              <w:t>There is no concession, authorisation and/or permitting regime to control water impoundment but there is a register of impoundments.</w:t>
            </w:r>
          </w:p>
          <w:p w:rsidR="000215C5" w:rsidRPr="008D6A99" w:rsidRDefault="00703023">
            <w:pPr>
              <w:spacing w:after="120"/>
              <w:jc w:val="both"/>
              <w:rPr>
                <w:szCs w:val="24"/>
                <w:lang w:val="en-GB"/>
              </w:rPr>
            </w:pPr>
            <w:r w:rsidRPr="008D6A99">
              <w:rPr>
                <w:lang w:val="en-GB"/>
              </w:rPr>
              <w:t>No, there is no concession, authorisation and/or permitting regime to control water impoundment and no register of impoundments.</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det finns en koncession och ett godkännande- och/eller tillståndssystem för reglering av uppdämning och/eller ett register över uppdämningar (artikel 11.3 e).</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basicMeasuresArt113f</w:t>
            </w:r>
          </w:p>
          <w:p w:rsidR="000215C5" w:rsidRDefault="00703023">
            <w:pPr>
              <w:spacing w:after="120"/>
              <w:jc w:val="both"/>
              <w:rPr>
                <w:szCs w:val="24"/>
              </w:rPr>
            </w:pPr>
            <w:r>
              <w:rPr>
                <w:b/>
              </w:rPr>
              <w:t xml:space="preserve">Fälttyp/alternativ: </w:t>
            </w:r>
            <w:r>
              <w:t>BasicMeasuresArt113f_Enum:</w:t>
            </w:r>
          </w:p>
          <w:p w:rsidR="000215C5" w:rsidRPr="008D6A99" w:rsidRDefault="00703023">
            <w:pPr>
              <w:spacing w:after="120"/>
              <w:jc w:val="both"/>
              <w:rPr>
                <w:szCs w:val="24"/>
                <w:lang w:val="en-GB"/>
              </w:rPr>
            </w:pPr>
            <w:r w:rsidRPr="008D6A99">
              <w:rPr>
                <w:lang w:val="en-GB"/>
              </w:rPr>
              <w:t>Measures of this type implemented in previous cycle, no new measures nor significant changes planned.</w:t>
            </w:r>
          </w:p>
          <w:p w:rsidR="000215C5" w:rsidRPr="008D6A99" w:rsidRDefault="00703023">
            <w:pPr>
              <w:spacing w:after="120"/>
              <w:jc w:val="both"/>
              <w:rPr>
                <w:szCs w:val="24"/>
                <w:lang w:val="en-GB"/>
              </w:rPr>
            </w:pPr>
            <w:r w:rsidRPr="008D6A99">
              <w:rPr>
                <w:lang w:val="en-GB"/>
              </w:rPr>
              <w:t>Measures of this type implemented in previous cycle but new measures and/or significant changes planned.</w:t>
            </w:r>
          </w:p>
          <w:p w:rsidR="000215C5" w:rsidRPr="008D6A99" w:rsidRDefault="00703023">
            <w:pPr>
              <w:spacing w:after="120"/>
              <w:jc w:val="both"/>
              <w:rPr>
                <w:szCs w:val="24"/>
                <w:lang w:val="en-GB"/>
              </w:rPr>
            </w:pPr>
            <w:r w:rsidRPr="008D6A99">
              <w:rPr>
                <w:lang w:val="en-GB"/>
              </w:rPr>
              <w:t>No measures of this type implemented in previous cycle but new measures and/or significant changes planned.</w:t>
            </w:r>
          </w:p>
          <w:p w:rsidR="000215C5" w:rsidRPr="008D6A99" w:rsidRDefault="00703023">
            <w:pPr>
              <w:spacing w:after="120"/>
              <w:jc w:val="both"/>
              <w:rPr>
                <w:szCs w:val="24"/>
                <w:lang w:val="en-GB"/>
              </w:rPr>
            </w:pPr>
            <w:r w:rsidRPr="008D6A99">
              <w:rPr>
                <w:lang w:val="en-GB"/>
              </w:rPr>
              <w:t>No measures of this type implemented in previous cycle and no measures planned.</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b/>
                <w:szCs w:val="24"/>
              </w:rPr>
            </w:pPr>
            <w:r>
              <w:rPr>
                <w:b/>
              </w:rPr>
              <w:t>Vägledning om hur man fyller i mallposten</w:t>
            </w:r>
            <w:r>
              <w:t>: Krävs. Ange om regleringar finns, inklusive ett krav på förhandsprövning för konstgjord påfyllning eller förstärkning av grundvattenförekomster (artikel</w:t>
            </w:r>
            <w:r w:rsidR="00E61D65">
              <w:t> </w:t>
            </w:r>
            <w:r>
              <w:t>11.3 f).</w:t>
            </w:r>
          </w:p>
        </w:tc>
      </w:tr>
      <w:tr w:rsidR="000215C5">
        <w:tc>
          <w:tcPr>
            <w:tcW w:w="9889" w:type="dxa"/>
            <w:shd w:val="clear" w:color="auto" w:fill="auto"/>
          </w:tcPr>
          <w:p w:rsidR="000215C5" w:rsidRDefault="00703023">
            <w:pPr>
              <w:spacing w:after="120"/>
              <w:jc w:val="both"/>
              <w:rPr>
                <w:szCs w:val="24"/>
              </w:rPr>
            </w:pPr>
            <w:r>
              <w:rPr>
                <w:b/>
              </w:rPr>
              <w:t>Mallpost</w:t>
            </w:r>
            <w:r>
              <w:t>: basicMeasuresArt113gPermit</w:t>
            </w:r>
          </w:p>
          <w:p w:rsidR="000215C5" w:rsidRDefault="00703023">
            <w:pPr>
              <w:spacing w:after="120"/>
              <w:jc w:val="both"/>
              <w:rPr>
                <w:szCs w:val="24"/>
              </w:rPr>
            </w:pPr>
            <w:r>
              <w:rPr>
                <w:b/>
              </w:rPr>
              <w:t xml:space="preserve">Fälttyp/alternativ: </w:t>
            </w:r>
            <w:r>
              <w:t>BasicMeasures_Enum:</w:t>
            </w:r>
          </w:p>
          <w:p w:rsidR="000215C5" w:rsidRPr="008D6A99" w:rsidRDefault="00703023">
            <w:pPr>
              <w:spacing w:after="120"/>
              <w:jc w:val="both"/>
              <w:rPr>
                <w:szCs w:val="24"/>
                <w:lang w:val="en-GB"/>
              </w:rPr>
            </w:pPr>
            <w:r w:rsidRPr="008D6A99">
              <w:rPr>
                <w:lang w:val="en-GB"/>
              </w:rPr>
              <w:t>Yes, for surface and groundwater.</w:t>
            </w:r>
          </w:p>
          <w:p w:rsidR="000215C5" w:rsidRPr="008D6A99" w:rsidRDefault="00703023">
            <w:pPr>
              <w:spacing w:after="120"/>
              <w:jc w:val="both"/>
              <w:rPr>
                <w:szCs w:val="24"/>
                <w:lang w:val="en-GB"/>
              </w:rPr>
            </w:pPr>
            <w:r w:rsidRPr="008D6A99">
              <w:rPr>
                <w:lang w:val="en-GB"/>
              </w:rPr>
              <w:t>Yes, for surface water only.</w:t>
            </w:r>
          </w:p>
          <w:p w:rsidR="000215C5" w:rsidRPr="008D6A99" w:rsidRDefault="00703023">
            <w:pPr>
              <w:spacing w:after="120"/>
              <w:jc w:val="both"/>
              <w:rPr>
                <w:szCs w:val="24"/>
                <w:lang w:val="en-GB"/>
              </w:rPr>
            </w:pPr>
            <w:r w:rsidRPr="008D6A99">
              <w:rPr>
                <w:lang w:val="en-GB"/>
              </w:rPr>
              <w:t>Yes, for groundwater only.</w:t>
            </w:r>
          </w:p>
          <w:p w:rsidR="000215C5" w:rsidRPr="008D6A99" w:rsidRDefault="00703023">
            <w:pPr>
              <w:spacing w:after="120"/>
              <w:jc w:val="both"/>
              <w:rPr>
                <w:szCs w:val="24"/>
                <w:lang w:val="en-GB"/>
              </w:rPr>
            </w:pPr>
            <w:r w:rsidRPr="008D6A99">
              <w:rPr>
                <w:lang w:val="en-GB"/>
              </w:rPr>
              <w:t>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xml:space="preserve">: Krävs. Ange om det finns ett godkännande- och/eller tillståndssystem för reglering av utsläpp av avloppsvatten från punktkällor (artikel 11.3 g). </w:t>
            </w:r>
          </w:p>
        </w:tc>
      </w:tr>
      <w:tr w:rsidR="000215C5">
        <w:tc>
          <w:tcPr>
            <w:tcW w:w="9889" w:type="dxa"/>
            <w:shd w:val="clear" w:color="auto" w:fill="auto"/>
          </w:tcPr>
          <w:p w:rsidR="000215C5" w:rsidRDefault="00703023">
            <w:pPr>
              <w:spacing w:after="120"/>
              <w:jc w:val="both"/>
              <w:rPr>
                <w:b/>
                <w:szCs w:val="24"/>
              </w:rPr>
            </w:pPr>
            <w:r>
              <w:rPr>
                <w:b/>
              </w:rPr>
              <w:t xml:space="preserve">Mallpost: </w:t>
            </w:r>
            <w:r>
              <w:t>basicMeasuresArt113gRegister</w:t>
            </w:r>
          </w:p>
          <w:p w:rsidR="000215C5" w:rsidRDefault="00703023">
            <w:pPr>
              <w:spacing w:after="120"/>
              <w:jc w:val="both"/>
              <w:rPr>
                <w:szCs w:val="24"/>
              </w:rPr>
            </w:pPr>
            <w:r>
              <w:rPr>
                <w:b/>
              </w:rPr>
              <w:t xml:space="preserve">Fälttyp/alternativ: </w:t>
            </w:r>
            <w:r>
              <w:t>BasciMeasures_Enum:</w:t>
            </w:r>
          </w:p>
          <w:p w:rsidR="000215C5" w:rsidRPr="008D6A99" w:rsidRDefault="00703023">
            <w:pPr>
              <w:spacing w:after="120"/>
              <w:jc w:val="both"/>
              <w:rPr>
                <w:szCs w:val="24"/>
                <w:lang w:val="en-GB"/>
              </w:rPr>
            </w:pPr>
            <w:r w:rsidRPr="008D6A99">
              <w:rPr>
                <w:lang w:val="en-GB"/>
              </w:rPr>
              <w:t>Yes, for surface and groundwater.</w:t>
            </w:r>
          </w:p>
          <w:p w:rsidR="000215C5" w:rsidRPr="008D6A99" w:rsidRDefault="00703023">
            <w:pPr>
              <w:spacing w:after="120"/>
              <w:jc w:val="both"/>
              <w:rPr>
                <w:szCs w:val="24"/>
                <w:lang w:val="en-GB"/>
              </w:rPr>
            </w:pPr>
            <w:r w:rsidRPr="008D6A99">
              <w:rPr>
                <w:lang w:val="en-GB"/>
              </w:rPr>
              <w:t>Yes, for surface water only.</w:t>
            </w:r>
          </w:p>
          <w:p w:rsidR="000215C5" w:rsidRPr="008D6A99" w:rsidRDefault="00703023">
            <w:pPr>
              <w:spacing w:after="120"/>
              <w:jc w:val="both"/>
              <w:rPr>
                <w:szCs w:val="24"/>
                <w:lang w:val="en-GB"/>
              </w:rPr>
            </w:pPr>
            <w:r w:rsidRPr="008D6A99">
              <w:rPr>
                <w:lang w:val="en-GB"/>
              </w:rPr>
              <w:t>Yes, for groundwater only.</w:t>
            </w:r>
          </w:p>
          <w:p w:rsidR="000215C5" w:rsidRPr="008D6A99" w:rsidRDefault="00703023">
            <w:pPr>
              <w:spacing w:after="120"/>
              <w:jc w:val="both"/>
              <w:rPr>
                <w:b/>
                <w:szCs w:val="24"/>
                <w:lang w:val="en-GB"/>
              </w:rPr>
            </w:pPr>
            <w:r w:rsidRPr="008D6A99">
              <w:rPr>
                <w:lang w:val="en-GB"/>
              </w:rPr>
              <w:t>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det finns ett register över utsläpp av avloppsvatten (artikel 11.3 g).</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basicMeasuresArt113gThreshold</w:t>
            </w:r>
          </w:p>
          <w:p w:rsidR="000215C5" w:rsidRDefault="00703023">
            <w:pPr>
              <w:spacing w:after="120"/>
              <w:jc w:val="both"/>
              <w:rPr>
                <w:szCs w:val="24"/>
              </w:rPr>
            </w:pPr>
            <w:r>
              <w:rPr>
                <w:b/>
              </w:rPr>
              <w:t xml:space="preserve">Fälttyp/alternativ: </w:t>
            </w:r>
            <w:r>
              <w:t>BasicMeasuresArt113gThreshold_Enum:</w:t>
            </w:r>
          </w:p>
          <w:p w:rsidR="000215C5" w:rsidRPr="008D6A99" w:rsidRDefault="00703023">
            <w:pPr>
              <w:spacing w:after="120"/>
              <w:jc w:val="both"/>
              <w:rPr>
                <w:szCs w:val="24"/>
                <w:lang w:val="en-GB"/>
              </w:rPr>
            </w:pPr>
            <w:r w:rsidRPr="008D6A99">
              <w:rPr>
                <w:lang w:val="en-GB"/>
              </w:rPr>
              <w:t>Yes, small discharges are exempted from controls.</w:t>
            </w:r>
          </w:p>
          <w:p w:rsidR="000215C5" w:rsidRPr="008D6A99" w:rsidRDefault="00703023">
            <w:pPr>
              <w:spacing w:after="120"/>
              <w:jc w:val="both"/>
              <w:rPr>
                <w:szCs w:val="24"/>
                <w:lang w:val="en-GB"/>
              </w:rPr>
            </w:pPr>
            <w:r w:rsidRPr="008D6A99">
              <w:rPr>
                <w:lang w:val="en-GB"/>
              </w:rPr>
              <w:t>Small discharges do not require permits but are all registered.</w:t>
            </w:r>
          </w:p>
          <w:p w:rsidR="000215C5" w:rsidRPr="008D6A99" w:rsidRDefault="00703023">
            <w:pPr>
              <w:spacing w:after="120"/>
              <w:jc w:val="both"/>
              <w:rPr>
                <w:szCs w:val="24"/>
                <w:lang w:val="en-GB"/>
              </w:rPr>
            </w:pPr>
            <w:r w:rsidRPr="008D6A99">
              <w:rPr>
                <w:lang w:val="en-GB"/>
              </w:rPr>
              <w:t>No, there are no thresholds.</w:t>
            </w:r>
          </w:p>
          <w:p w:rsidR="000215C5" w:rsidRPr="008D6A99" w:rsidRDefault="00703023">
            <w:pPr>
              <w:spacing w:after="120"/>
              <w:jc w:val="both"/>
              <w:rPr>
                <w:b/>
                <w:szCs w:val="24"/>
                <w:lang w:val="en-GB"/>
              </w:rPr>
            </w:pPr>
            <w:r w:rsidRPr="008D6A99">
              <w:rPr>
                <w:lang w:val="en-GB"/>
              </w:rPr>
              <w:t>Not relevant as there is no permitting regime and no register.</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det finns gränser under vilka det inte krävs tillstånd för utsläpp av avloppsvatten och sådana utsläpp inte är föremål för registrering (artikel 11.3 g).</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basicMeasuresArt113hRules</w:t>
            </w:r>
          </w:p>
          <w:p w:rsidR="000215C5" w:rsidRDefault="00703023">
            <w:pPr>
              <w:spacing w:after="120"/>
              <w:jc w:val="both"/>
              <w:rPr>
                <w:szCs w:val="24"/>
              </w:rPr>
            </w:pPr>
            <w:r>
              <w:rPr>
                <w:b/>
              </w:rPr>
              <w:t xml:space="preserve">Fälttyp/alternativ: </w:t>
            </w:r>
            <w:r>
              <w:t>BasicMeasuresArt113hRules_Enum:</w:t>
            </w:r>
          </w:p>
          <w:p w:rsidR="000215C5" w:rsidRPr="008D6A99" w:rsidRDefault="00703023">
            <w:pPr>
              <w:spacing w:after="120"/>
              <w:jc w:val="both"/>
              <w:rPr>
                <w:szCs w:val="24"/>
                <w:lang w:val="en-GB"/>
              </w:rPr>
            </w:pPr>
            <w:r w:rsidRPr="008D6A99">
              <w:rPr>
                <w:lang w:val="en-GB"/>
              </w:rPr>
              <w:t>Yes, same rules apply across the whole RBD.</w:t>
            </w:r>
          </w:p>
          <w:p w:rsidR="000215C5" w:rsidRPr="008D6A99" w:rsidRDefault="00703023">
            <w:pPr>
              <w:spacing w:after="120"/>
              <w:jc w:val="both"/>
              <w:rPr>
                <w:szCs w:val="24"/>
                <w:lang w:val="en-GB"/>
              </w:rPr>
            </w:pPr>
            <w:r w:rsidRPr="008D6A99">
              <w:rPr>
                <w:lang w:val="en-GB"/>
              </w:rPr>
              <w:t>Yes, but rules apply only in Nitrate Vulnerable Zones.</w:t>
            </w:r>
          </w:p>
          <w:p w:rsidR="000215C5" w:rsidRPr="008D6A99" w:rsidRDefault="00703023">
            <w:pPr>
              <w:spacing w:after="120"/>
              <w:jc w:val="both"/>
              <w:rPr>
                <w:szCs w:val="24"/>
                <w:lang w:val="en-GB"/>
              </w:rPr>
            </w:pPr>
            <w:r w:rsidRPr="008D6A99">
              <w:rPr>
                <w:lang w:val="en-GB"/>
              </w:rPr>
              <w:t>Yes, but there are differentiated rules for different parts of the RBDs.</w:t>
            </w:r>
          </w:p>
          <w:p w:rsidR="000215C5" w:rsidRDefault="00703023">
            <w:pPr>
              <w:spacing w:after="120"/>
              <w:jc w:val="both"/>
              <w:rPr>
                <w:szCs w:val="24"/>
              </w:rPr>
            </w:pPr>
            <w:r>
              <w:t>No general binding rules.</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b/>
                <w:szCs w:val="24"/>
              </w:rPr>
            </w:pPr>
            <w:r>
              <w:rPr>
                <w:b/>
              </w:rPr>
              <w:t>Vägledning om hur man fyller i mallposten</w:t>
            </w:r>
            <w:r>
              <w:t>: Krävs. Ange om det finns allmänna bindande regler för kontroll av diffusa föroreningar från jordbruket.</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basicMeasuresArt113hIssues</w:t>
            </w:r>
          </w:p>
          <w:p w:rsidR="000215C5" w:rsidRDefault="00703023">
            <w:pPr>
              <w:spacing w:after="120"/>
              <w:jc w:val="both"/>
              <w:rPr>
                <w:szCs w:val="24"/>
              </w:rPr>
            </w:pPr>
            <w:r>
              <w:rPr>
                <w:b/>
              </w:rPr>
              <w:t xml:space="preserve">Fälttyp/alternativ: </w:t>
            </w:r>
            <w:r>
              <w:t>BasicMeasuresArt113hIssues_Enum:</w:t>
            </w:r>
          </w:p>
          <w:p w:rsidR="000215C5" w:rsidRPr="008D6A99" w:rsidRDefault="00703023">
            <w:pPr>
              <w:spacing w:after="120"/>
              <w:jc w:val="both"/>
              <w:rPr>
                <w:szCs w:val="24"/>
                <w:lang w:val="fr-FR"/>
              </w:rPr>
            </w:pPr>
            <w:r w:rsidRPr="008D6A99">
              <w:rPr>
                <w:lang w:val="fr-FR"/>
              </w:rPr>
              <w:t>Nitrates</w:t>
            </w:r>
          </w:p>
          <w:p w:rsidR="000215C5" w:rsidRPr="008D6A99" w:rsidRDefault="00703023">
            <w:pPr>
              <w:spacing w:after="120"/>
              <w:jc w:val="both"/>
              <w:rPr>
                <w:szCs w:val="24"/>
                <w:lang w:val="fr-FR"/>
              </w:rPr>
            </w:pPr>
            <w:r w:rsidRPr="008D6A99">
              <w:rPr>
                <w:lang w:val="fr-FR"/>
              </w:rPr>
              <w:t>Phosphorus</w:t>
            </w:r>
          </w:p>
          <w:p w:rsidR="000215C5" w:rsidRPr="008D6A99" w:rsidRDefault="00703023">
            <w:pPr>
              <w:spacing w:after="120"/>
              <w:jc w:val="both"/>
              <w:rPr>
                <w:szCs w:val="24"/>
                <w:lang w:val="fr-FR"/>
              </w:rPr>
            </w:pPr>
            <w:r w:rsidRPr="008D6A99">
              <w:rPr>
                <w:lang w:val="fr-FR"/>
              </w:rPr>
              <w:t>Pesticides</w:t>
            </w:r>
          </w:p>
          <w:p w:rsidR="000215C5" w:rsidRPr="008D6A99" w:rsidRDefault="00703023">
            <w:pPr>
              <w:spacing w:after="120"/>
              <w:jc w:val="both"/>
              <w:rPr>
                <w:szCs w:val="24"/>
                <w:lang w:val="fr-FR"/>
              </w:rPr>
            </w:pPr>
            <w:r w:rsidRPr="008D6A99">
              <w:rPr>
                <w:lang w:val="fr-FR"/>
              </w:rPr>
              <w:t>Sediments</w:t>
            </w:r>
          </w:p>
          <w:p w:rsidR="000215C5" w:rsidRPr="008D6A99" w:rsidRDefault="00703023">
            <w:pPr>
              <w:spacing w:after="120"/>
              <w:jc w:val="both"/>
              <w:rPr>
                <w:szCs w:val="24"/>
                <w:lang w:val="fr-FR"/>
              </w:rPr>
            </w:pPr>
            <w:r w:rsidRPr="008D6A99">
              <w:rPr>
                <w:lang w:val="fr-FR"/>
              </w:rPr>
              <w:t>Organic pollution</w:t>
            </w:r>
          </w:p>
          <w:p w:rsidR="000215C5" w:rsidRPr="008D6A99" w:rsidRDefault="00703023">
            <w:pPr>
              <w:spacing w:after="120"/>
              <w:jc w:val="both"/>
              <w:rPr>
                <w:szCs w:val="24"/>
                <w:lang w:val="fr-FR"/>
              </w:rPr>
            </w:pPr>
            <w:r w:rsidRPr="008D6A99">
              <w:rPr>
                <w:lang w:val="fr-FR"/>
              </w:rPr>
              <w:t>Microbiological/bacteriological pollution</w:t>
            </w:r>
          </w:p>
          <w:p w:rsidR="000215C5" w:rsidRPr="008D6A99" w:rsidRDefault="00703023">
            <w:pPr>
              <w:spacing w:after="120"/>
              <w:jc w:val="both"/>
              <w:rPr>
                <w:szCs w:val="24"/>
                <w:lang w:val="fr-FR"/>
              </w:rPr>
            </w:pPr>
            <w:r w:rsidRPr="008D6A99">
              <w:rPr>
                <w:lang w:val="fr-FR"/>
              </w:rPr>
              <w:t>Other pollutants</w:t>
            </w:r>
          </w:p>
          <w:p w:rsidR="000215C5" w:rsidRPr="008D6A99" w:rsidRDefault="00703023">
            <w:pPr>
              <w:spacing w:after="120"/>
              <w:jc w:val="both"/>
              <w:rPr>
                <w:b/>
                <w:szCs w:val="24"/>
                <w:lang w:val="fr-FR"/>
              </w:rPr>
            </w:pPr>
            <w:r w:rsidRPr="008D6A99">
              <w:rPr>
                <w:b/>
                <w:lang w:val="fr-FR"/>
              </w:rPr>
              <w:t xml:space="preserve">Egenskaper: </w:t>
            </w:r>
            <w:r w:rsidRPr="008D6A99">
              <w:rPr>
                <w:lang w:val="fr-FR"/>
              </w:rPr>
              <w:t>maxOccurs</w:t>
            </w:r>
            <w:r w:rsidRPr="008D6A99">
              <w:rPr>
                <w:b/>
                <w:lang w:val="fr-FR"/>
              </w:rPr>
              <w:t xml:space="preserve"> </w:t>
            </w:r>
            <w:r w:rsidRPr="008D6A99">
              <w:rPr>
                <w:lang w:val="fr-FR"/>
              </w:rPr>
              <w:t>= unbounded minOccurs = 0</w:t>
            </w:r>
          </w:p>
          <w:p w:rsidR="000215C5" w:rsidRDefault="00703023">
            <w:pPr>
              <w:spacing w:after="120"/>
              <w:jc w:val="both"/>
              <w:rPr>
                <w:szCs w:val="24"/>
              </w:rPr>
            </w:pPr>
            <w:r>
              <w:rPr>
                <w:b/>
              </w:rPr>
              <w:t>Vägledning om hur man fyller i mallposten</w:t>
            </w:r>
            <w:r>
              <w:t>: Villkorlig. Ange de frågor som omfattas om det finns allmänna bindande regler.</w:t>
            </w:r>
          </w:p>
          <w:p w:rsidR="000215C5" w:rsidRDefault="00703023">
            <w:pPr>
              <w:spacing w:after="120"/>
              <w:jc w:val="both"/>
              <w:rPr>
                <w:b/>
                <w:szCs w:val="24"/>
              </w:rPr>
            </w:pPr>
            <w:r>
              <w:rPr>
                <w:b/>
              </w:rPr>
              <w:t>Kvalitetskontroller</w:t>
            </w:r>
            <w:r>
              <w:t>: Villkorlig kontroll: Rapportera om basicMeasuresArt113hRules inte är ”No general binding rules”.</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basicMeasuresArt113iPermit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det finns ett godkännande- och/eller tillståndssystem för reglering av fysiska modifieringar av vattenförekomster.</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basicMeasuresArt113iRiparian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w:t>
            </w:r>
            <w:r>
              <w:rPr>
                <w:b/>
              </w:rPr>
              <w:t xml:space="preserve"> </w:t>
            </w:r>
            <w:r>
              <w:t>= 1 minOccurs = 0</w:t>
            </w:r>
          </w:p>
          <w:p w:rsidR="000215C5" w:rsidRDefault="00703023">
            <w:pPr>
              <w:spacing w:after="120"/>
              <w:jc w:val="both"/>
              <w:rPr>
                <w:szCs w:val="24"/>
              </w:rPr>
            </w:pPr>
            <w:r>
              <w:rPr>
                <w:b/>
              </w:rPr>
              <w:t>Vägledning om hur man fyller i mallposten</w:t>
            </w:r>
            <w:r>
              <w:t>: Villkorlig. Om det finns ett godkännande- och/eller tillståndssystem för reglering av fysiska modifieringar av vattenförekomster, ange om systemet omfattar ändringar av vattenförekomsternas stränder.</w:t>
            </w:r>
          </w:p>
          <w:p w:rsidR="000215C5" w:rsidRDefault="00703023">
            <w:pPr>
              <w:spacing w:after="120"/>
              <w:jc w:val="both"/>
              <w:rPr>
                <w:b/>
                <w:szCs w:val="24"/>
              </w:rPr>
            </w:pPr>
            <w:r>
              <w:rPr>
                <w:b/>
              </w:rPr>
              <w:t>Kvalitetskontroller</w:t>
            </w:r>
            <w:r>
              <w:t>: Villkorlig kontroll: Rapportera om basicMeasuresArt113iPermit är ”Yes”.</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basicMeasuresArt113iRegister</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det finns ett register över fysiska modifieringar av vattenförekomster.</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basicMeasuresArt113j</w:t>
            </w:r>
          </w:p>
          <w:p w:rsidR="000215C5" w:rsidRDefault="00703023">
            <w:pPr>
              <w:spacing w:after="120"/>
              <w:jc w:val="both"/>
              <w:rPr>
                <w:szCs w:val="24"/>
              </w:rPr>
            </w:pPr>
            <w:r>
              <w:rPr>
                <w:b/>
              </w:rPr>
              <w:t xml:space="preserve">Fälttyp/alternativ: </w:t>
            </w:r>
            <w:r>
              <w:t>BasicMeasuresArt113j_Enum:</w:t>
            </w:r>
          </w:p>
          <w:p w:rsidR="000215C5" w:rsidRPr="008D6A99" w:rsidRDefault="00703023">
            <w:pPr>
              <w:spacing w:after="120"/>
              <w:jc w:val="both"/>
              <w:rPr>
                <w:szCs w:val="24"/>
                <w:lang w:val="en-GB"/>
              </w:rPr>
            </w:pPr>
            <w:r w:rsidRPr="008D6A99">
              <w:rPr>
                <w:lang w:val="en-GB"/>
              </w:rPr>
              <w:t>Yes, there is a prohibition of all direct discharges.</w:t>
            </w:r>
          </w:p>
          <w:p w:rsidR="000215C5" w:rsidRPr="008D6A99" w:rsidRDefault="00703023">
            <w:pPr>
              <w:spacing w:after="120"/>
              <w:jc w:val="both"/>
              <w:rPr>
                <w:szCs w:val="24"/>
                <w:lang w:val="en-GB"/>
              </w:rPr>
            </w:pPr>
            <w:r w:rsidRPr="008D6A99">
              <w:rPr>
                <w:lang w:val="en-GB"/>
              </w:rPr>
              <w:t>Some direct discharges are authorised in accordance with Article 11.3.j.</w:t>
            </w:r>
          </w:p>
          <w:p w:rsidR="000215C5" w:rsidRPr="008D6A99" w:rsidRDefault="00703023">
            <w:pPr>
              <w:spacing w:after="120"/>
              <w:jc w:val="both"/>
              <w:rPr>
                <w:szCs w:val="24"/>
                <w:lang w:val="en-GB"/>
              </w:rPr>
            </w:pPr>
            <w:r w:rsidRPr="008D6A99">
              <w:rPr>
                <w:lang w:val="en-GB"/>
              </w:rPr>
              <w:t>No, there is no prohibition of direct discharges.</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det finns ett förbud mot direkta utsläpp (artikel 11.3 j).</w:t>
            </w:r>
          </w:p>
        </w:tc>
      </w:tr>
      <w:tr w:rsidR="000215C5">
        <w:tc>
          <w:tcPr>
            <w:tcW w:w="9889" w:type="dxa"/>
            <w:shd w:val="clear" w:color="auto" w:fill="auto"/>
          </w:tcPr>
          <w:p w:rsidR="000215C5" w:rsidRDefault="00703023">
            <w:pPr>
              <w:spacing w:after="120"/>
              <w:jc w:val="both"/>
              <w:rPr>
                <w:szCs w:val="24"/>
              </w:rPr>
            </w:pPr>
            <w:r>
              <w:rPr>
                <w:b/>
              </w:rPr>
              <w:t>Mallpost</w:t>
            </w:r>
            <w:r>
              <w:t>:</w:t>
            </w:r>
            <w:r>
              <w:rPr>
                <w:b/>
              </w:rPr>
              <w:t xml:space="preserve"> </w:t>
            </w:r>
            <w:r>
              <w:t>basicMeasuresArt113k</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det i enlighet med åtgärder som vidtas enligt artikel 16, finns åtgärder för att eliminera förorening av ytvatten genom de ämnen som specificeras i den lista över prioriterade ämnen som beslutas enligt artikel 16.2 och för att progressivt minska förorening genom andra ämnen som annars skulle kunna hindra medlemsstaterna från att uppnå de mål för ytvattenförekomster</w:t>
            </w:r>
            <w:r w:rsidR="00E61D65">
              <w:t xml:space="preserve"> som anges i artikel 4 (artikel </w:t>
            </w:r>
            <w:r>
              <w:t>11</w:t>
            </w:r>
            <w:r w:rsidR="00E61D65">
              <w:t>.3 </w:t>
            </w:r>
            <w:r>
              <w:t>k).</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basicMeasuresArt113c-kReference</w:t>
            </w:r>
          </w:p>
          <w:p w:rsidR="000215C5" w:rsidRDefault="00703023">
            <w:pPr>
              <w:spacing w:after="120"/>
              <w:jc w:val="both"/>
              <w:rPr>
                <w:b/>
                <w:szCs w:val="24"/>
              </w:rPr>
            </w:pPr>
            <w:r>
              <w:rPr>
                <w:b/>
              </w:rPr>
              <w:t xml:space="preserve">Fälttyp/alternativ: </w:t>
            </w:r>
            <w:r>
              <w:t>ReferenceType (se bilaga 9)</w:t>
            </w:r>
          </w:p>
          <w:p w:rsidR="000215C5" w:rsidRDefault="00703023">
            <w:pPr>
              <w:spacing w:after="120"/>
              <w:jc w:val="both"/>
              <w:rPr>
                <w:b/>
                <w:szCs w:val="24"/>
              </w:rPr>
            </w:pPr>
            <w:r>
              <w:rPr>
                <w:b/>
              </w:rPr>
              <w:t xml:space="preserve">Egenskaper: </w:t>
            </w:r>
            <w:r>
              <w:t>maxOccurs</w:t>
            </w:r>
            <w:r>
              <w:rPr>
                <w:b/>
              </w:rPr>
              <w:t xml:space="preserve"> </w:t>
            </w:r>
            <w:r>
              <w:t>= unbounded minOccurs = 1</w:t>
            </w:r>
          </w:p>
          <w:p w:rsidR="000215C5" w:rsidRDefault="00703023">
            <w:pPr>
              <w:spacing w:after="120"/>
              <w:jc w:val="both"/>
              <w:rPr>
                <w:szCs w:val="24"/>
              </w:rPr>
            </w:pPr>
            <w:r>
              <w:rPr>
                <w:b/>
              </w:rPr>
              <w:t>Vägledning om hur man fyller i mallposten</w:t>
            </w:r>
            <w:r>
              <w:t xml:space="preserve">: Krävs. Ange hänvisningar eller hyperlänkar till dokument och avsnitt som innehåller relevant information om tillämpningen av grundläggande åtgärder (artikel 11.3 c–k). Vägledning om vilka uppgifter som bör ingå i detta dokument ges i avsnitt </w:t>
            </w:r>
            <w:r>
              <w:fldChar w:fldCharType="begin"/>
            </w:r>
            <w:r>
              <w:instrText xml:space="preserve"> REF _Ref402960970 \r \h  \* MERGEFORMAT </w:instrText>
            </w:r>
            <w:r>
              <w:fldChar w:fldCharType="separate"/>
            </w:r>
            <w:r>
              <w:rPr>
                <w:szCs w:val="24"/>
              </w:rPr>
              <w:t>10.2.3</w:t>
            </w:r>
            <w:r>
              <w:fldChar w:fldCharType="end"/>
            </w:r>
            <w:r>
              <w:t>.</w:t>
            </w:r>
          </w:p>
        </w:tc>
      </w:tr>
    </w:tbl>
    <w:p w:rsidR="000215C5" w:rsidRDefault="000215C5">
      <w:pPr>
        <w:jc w:val="both"/>
        <w:rPr>
          <w:b/>
        </w:rPr>
      </w:pPr>
    </w:p>
    <w:p w:rsidR="000215C5" w:rsidRDefault="00703023">
      <w:pPr>
        <w:jc w:val="both"/>
        <w:rPr>
          <w:b/>
        </w:rPr>
      </w:pPr>
      <w:r>
        <w:rPr>
          <w:b/>
        </w:rPr>
        <w:t>Riktade frågor om andra aspekter</w:t>
      </w:r>
    </w:p>
    <w:tbl>
      <w:tblPr>
        <w:tblW w:w="9889" w:type="dxa"/>
        <w:tblLook w:val="04A0" w:firstRow="1" w:lastRow="0" w:firstColumn="1" w:lastColumn="0" w:noHBand="0" w:noVBand="1"/>
      </w:tblPr>
      <w:tblGrid>
        <w:gridCol w:w="9889"/>
      </w:tblGrid>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 RBMPPoM (fortsättning)</w:t>
            </w:r>
          </w:p>
        </w:tc>
      </w:tr>
      <w:tr w:rsidR="000215C5" w:rsidRPr="00D95552">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Pr="00D95552" w:rsidRDefault="00703023">
            <w:pPr>
              <w:spacing w:after="120"/>
              <w:jc w:val="both"/>
              <w:rPr>
                <w:b/>
                <w:i/>
                <w:szCs w:val="24"/>
                <w:lang w:val="en-GB"/>
              </w:rPr>
            </w:pPr>
            <w:r w:rsidRPr="00D95552">
              <w:rPr>
                <w:b/>
                <w:i/>
                <w:lang w:val="en-GB"/>
              </w:rPr>
              <w:t>Klass: TargetedQ (continued)</w:t>
            </w:r>
          </w:p>
          <w:p w:rsidR="000215C5" w:rsidRPr="00D95552" w:rsidRDefault="00703023">
            <w:pPr>
              <w:spacing w:after="120"/>
              <w:jc w:val="both"/>
              <w:rPr>
                <w:b/>
                <w:szCs w:val="24"/>
                <w:lang w:val="en-GB"/>
              </w:rPr>
            </w:pPr>
            <w:r w:rsidRPr="00D95552">
              <w:rPr>
                <w:b/>
                <w:i/>
                <w:lang w:val="en-GB"/>
              </w:rPr>
              <w:t xml:space="preserve">Egenskaper: </w:t>
            </w:r>
            <w:r w:rsidRPr="00D95552">
              <w:rPr>
                <w:i/>
                <w:lang w:val="en-GB"/>
              </w:rPr>
              <w:t>maxOccurs = 1 minOccurs = 1</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Pr="00D95552" w:rsidRDefault="00703023">
            <w:pPr>
              <w:spacing w:after="120"/>
              <w:jc w:val="both"/>
              <w:rPr>
                <w:b/>
                <w:szCs w:val="24"/>
                <w:lang w:val="en-GB"/>
              </w:rPr>
            </w:pPr>
            <w:r w:rsidRPr="00D95552">
              <w:rPr>
                <w:b/>
                <w:lang w:val="en-GB"/>
              </w:rPr>
              <w:t>Mallpost</w:t>
            </w:r>
            <w:r w:rsidRPr="00D95552">
              <w:rPr>
                <w:lang w:val="en-GB"/>
              </w:rPr>
              <w:t>:</w:t>
            </w:r>
            <w:r w:rsidRPr="00D95552">
              <w:rPr>
                <w:b/>
                <w:lang w:val="en-GB"/>
              </w:rPr>
              <w:t xml:space="preserve"> </w:t>
            </w:r>
            <w:r w:rsidRPr="00D95552">
              <w:rPr>
                <w:lang w:val="en-GB"/>
              </w:rPr>
              <w:t>waterReUse</w:t>
            </w:r>
          </w:p>
          <w:p w:rsidR="000215C5" w:rsidRPr="00D95552" w:rsidRDefault="00703023">
            <w:pPr>
              <w:spacing w:after="120"/>
              <w:jc w:val="both"/>
              <w:rPr>
                <w:b/>
                <w:szCs w:val="24"/>
                <w:lang w:val="en-GB"/>
              </w:rPr>
            </w:pPr>
            <w:r w:rsidRPr="00D95552">
              <w:rPr>
                <w:b/>
                <w:lang w:val="en-GB"/>
              </w:rPr>
              <w:t xml:space="preserve">Fälttyp/alternativ: </w:t>
            </w:r>
            <w:r w:rsidRPr="00D95552">
              <w:rPr>
                <w:lang w:val="en-GB"/>
              </w:rPr>
              <w:t>YesNoCode_Enum: Yes, 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w:t>
            </w:r>
            <w:r>
              <w:rPr>
                <w:b/>
              </w:rPr>
              <w:t xml:space="preserve"> </w:t>
            </w:r>
            <w:r>
              <w:t>Krävs. Ange om återanvändning av vatten (t.ex. vatten från avloppsreningsanläggningar eller industrianläggningar) anses ha en lägre miljöpåverkan än annan alternativ vattenförsörjning (t.ex. vattenföring eller avsaltning).</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waterReUseMeasure</w:t>
            </w:r>
          </w:p>
          <w:p w:rsidR="000215C5" w:rsidRDefault="00703023">
            <w:pPr>
              <w:spacing w:after="120"/>
              <w:jc w:val="both"/>
              <w:rPr>
                <w:b/>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w:t>
            </w:r>
            <w:r>
              <w:rPr>
                <w:b/>
              </w:rPr>
              <w:t xml:space="preserve"> </w:t>
            </w:r>
            <w:r>
              <w:t xml:space="preserve">Krävs. Ange om återanvändning av vatten ingår i förvaltningsplanen som en åtgärd för förvaltning av vattenresurserna.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Pr="00D95552" w:rsidRDefault="00703023">
            <w:pPr>
              <w:spacing w:after="120"/>
              <w:jc w:val="both"/>
              <w:rPr>
                <w:szCs w:val="24"/>
              </w:rPr>
            </w:pPr>
            <w:r w:rsidRPr="00D95552">
              <w:rPr>
                <w:b/>
              </w:rPr>
              <w:t>Mallpost</w:t>
            </w:r>
            <w:r w:rsidRPr="00D95552">
              <w:t>:</w:t>
            </w:r>
            <w:r w:rsidRPr="00D95552">
              <w:rPr>
                <w:b/>
              </w:rPr>
              <w:t xml:space="preserve"> </w:t>
            </w:r>
            <w:r w:rsidRPr="00D95552">
              <w:t>ecologicalFlow</w:t>
            </w:r>
          </w:p>
          <w:p w:rsidR="000215C5" w:rsidRPr="00D95552" w:rsidRDefault="00703023">
            <w:pPr>
              <w:spacing w:after="120"/>
              <w:jc w:val="both"/>
              <w:rPr>
                <w:szCs w:val="24"/>
              </w:rPr>
            </w:pPr>
            <w:r w:rsidRPr="00D95552">
              <w:rPr>
                <w:b/>
              </w:rPr>
              <w:t xml:space="preserve">Fälttyp/alternativ: </w:t>
            </w:r>
            <w:r w:rsidRPr="00D95552">
              <w:t>EcologicalFlow_Enum:</w:t>
            </w:r>
          </w:p>
          <w:p w:rsidR="000215C5" w:rsidRPr="008D6A99" w:rsidRDefault="00703023">
            <w:pPr>
              <w:spacing w:after="120"/>
              <w:jc w:val="both"/>
              <w:rPr>
                <w:szCs w:val="24"/>
                <w:lang w:val="en-GB"/>
              </w:rPr>
            </w:pPr>
            <w:r w:rsidRPr="008D6A99">
              <w:rPr>
                <w:lang w:val="en-GB"/>
              </w:rPr>
              <w:t>Yes, ecological flows have been derived for all relevant water bodies.</w:t>
            </w:r>
          </w:p>
          <w:p w:rsidR="000215C5" w:rsidRPr="008D6A99" w:rsidRDefault="00703023">
            <w:pPr>
              <w:spacing w:after="120"/>
              <w:jc w:val="both"/>
              <w:rPr>
                <w:szCs w:val="24"/>
                <w:lang w:val="en-GB"/>
              </w:rPr>
            </w:pPr>
            <w:r w:rsidRPr="008D6A99">
              <w:rPr>
                <w:lang w:val="en-GB"/>
              </w:rPr>
              <w:t xml:space="preserve">Partly, ecological flows have been derived for some relevant water </w:t>
            </w:r>
            <w:r w:rsidR="00E61D65">
              <w:rPr>
                <w:lang w:val="en-GB"/>
              </w:rPr>
              <w:t>bodies but the work is still on</w:t>
            </w:r>
            <w:r w:rsidR="00E61D65">
              <w:rPr>
                <w:lang w:val="en-GB"/>
              </w:rPr>
              <w:noBreakHyphen/>
            </w:r>
            <w:r w:rsidRPr="008D6A99">
              <w:rPr>
                <w:lang w:val="en-GB"/>
              </w:rPr>
              <w:t>going.</w:t>
            </w:r>
          </w:p>
          <w:p w:rsidR="000215C5" w:rsidRPr="008D6A99" w:rsidRDefault="00703023">
            <w:pPr>
              <w:spacing w:after="120"/>
              <w:jc w:val="both"/>
              <w:rPr>
                <w:szCs w:val="24"/>
                <w:lang w:val="en-GB"/>
              </w:rPr>
            </w:pPr>
            <w:r w:rsidRPr="008D6A99">
              <w:rPr>
                <w:lang w:val="en-GB"/>
              </w:rPr>
              <w:t>No, ecological flows have not been derived for the relevant water bodies but there are plans to do it during the second cycle.</w:t>
            </w:r>
          </w:p>
          <w:p w:rsidR="000215C5" w:rsidRPr="008D6A99" w:rsidRDefault="00703023">
            <w:pPr>
              <w:spacing w:after="120"/>
              <w:jc w:val="both"/>
              <w:rPr>
                <w:szCs w:val="24"/>
                <w:lang w:val="en-GB"/>
              </w:rPr>
            </w:pPr>
            <w:r w:rsidRPr="008D6A99">
              <w:rPr>
                <w:lang w:val="en-GB"/>
              </w:rPr>
              <w:t>No, ecological flows have not been derived for the relevant water bodies and there are no plans to do it during the second cycle.</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ekologiska flöden har härletts för alla vattenförekomster som riskerar att inte uppnå miljömålen till följd av uttag, flödesomläggningar eller uppdämningar.</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Pr="00360D19" w:rsidRDefault="00703023">
            <w:pPr>
              <w:spacing w:after="120"/>
              <w:jc w:val="both"/>
              <w:rPr>
                <w:szCs w:val="24"/>
                <w:lang w:val="en-US"/>
              </w:rPr>
            </w:pPr>
            <w:r w:rsidRPr="00360D19">
              <w:rPr>
                <w:b/>
                <w:lang w:val="en-US"/>
              </w:rPr>
              <w:t>Mallpost</w:t>
            </w:r>
            <w:r w:rsidRPr="00360D19">
              <w:rPr>
                <w:lang w:val="en-US"/>
              </w:rPr>
              <w:t>: ecologicalFlowImplementation</w:t>
            </w:r>
          </w:p>
          <w:p w:rsidR="000215C5" w:rsidRPr="00360D19" w:rsidRDefault="00703023">
            <w:pPr>
              <w:spacing w:after="120"/>
              <w:jc w:val="both"/>
              <w:rPr>
                <w:szCs w:val="24"/>
                <w:lang w:val="en-US"/>
              </w:rPr>
            </w:pPr>
            <w:r w:rsidRPr="00360D19">
              <w:rPr>
                <w:b/>
                <w:lang w:val="en-US"/>
              </w:rPr>
              <w:t xml:space="preserve">Fälttyp/alternativ: </w:t>
            </w:r>
            <w:r w:rsidRPr="00360D19">
              <w:rPr>
                <w:lang w:val="en-US"/>
              </w:rPr>
              <w:t>EcologicalFlowImplementation_Enum:</w:t>
            </w:r>
          </w:p>
          <w:p w:rsidR="000215C5" w:rsidRPr="00360D19" w:rsidRDefault="00703023">
            <w:pPr>
              <w:spacing w:after="120"/>
              <w:jc w:val="both"/>
              <w:rPr>
                <w:szCs w:val="24"/>
                <w:lang w:val="en-US"/>
              </w:rPr>
            </w:pPr>
            <w:r w:rsidRPr="00360D19">
              <w:rPr>
                <w:lang w:val="en-US"/>
              </w:rPr>
              <w:t>Yes, ecological flows which have been derived have been implemented in all relevant water bodies.</w:t>
            </w:r>
          </w:p>
          <w:p w:rsidR="000215C5" w:rsidRPr="008D6A99" w:rsidRDefault="00703023">
            <w:pPr>
              <w:spacing w:after="120"/>
              <w:jc w:val="both"/>
              <w:rPr>
                <w:szCs w:val="24"/>
                <w:lang w:val="en-GB"/>
              </w:rPr>
            </w:pPr>
            <w:r w:rsidRPr="008D6A99">
              <w:rPr>
                <w:lang w:val="en-GB"/>
              </w:rPr>
              <w:t>Partly, ecological flows which have been derived have been implemented in some relevant water bodies but the work is still on-going.</w:t>
            </w:r>
          </w:p>
          <w:p w:rsidR="000215C5" w:rsidRPr="008D6A99" w:rsidRDefault="00703023">
            <w:pPr>
              <w:spacing w:after="120"/>
              <w:jc w:val="both"/>
              <w:rPr>
                <w:szCs w:val="24"/>
                <w:lang w:val="en-GB"/>
              </w:rPr>
            </w:pPr>
            <w:r w:rsidRPr="008D6A99">
              <w:rPr>
                <w:lang w:val="en-GB"/>
              </w:rPr>
              <w:t>No, ecological flows which have been derived have not been implemented but there are plans to do it during the second cycle.</w:t>
            </w:r>
          </w:p>
          <w:p w:rsidR="000215C5" w:rsidRPr="008D6A99" w:rsidRDefault="00703023">
            <w:pPr>
              <w:spacing w:after="120"/>
              <w:jc w:val="both"/>
              <w:rPr>
                <w:szCs w:val="24"/>
                <w:lang w:val="en-GB"/>
              </w:rPr>
            </w:pPr>
            <w:r w:rsidRPr="008D6A99">
              <w:rPr>
                <w:lang w:val="en-GB"/>
              </w:rPr>
              <w:t>No, ecological flows which have been derived have not been implemented and there are no plans to do it during the second cycle.</w:t>
            </w:r>
          </w:p>
          <w:p w:rsidR="000215C5" w:rsidRDefault="00703023">
            <w:pPr>
              <w:spacing w:after="120"/>
              <w:jc w:val="both"/>
              <w:rPr>
                <w:b/>
                <w:szCs w:val="24"/>
              </w:rPr>
            </w:pPr>
            <w:r>
              <w:rPr>
                <w:b/>
              </w:rPr>
              <w:t xml:space="preserve">Egenskaper: </w:t>
            </w:r>
            <w:r>
              <w:t>maxOccurs</w:t>
            </w:r>
            <w:r>
              <w:rPr>
                <w:b/>
              </w:rPr>
              <w:t xml:space="preserve"> </w:t>
            </w:r>
            <w:r>
              <w:t>= 1 minOccurs = 0</w:t>
            </w:r>
          </w:p>
          <w:p w:rsidR="000215C5" w:rsidRDefault="00703023">
            <w:pPr>
              <w:spacing w:after="120"/>
              <w:jc w:val="both"/>
              <w:rPr>
                <w:szCs w:val="24"/>
              </w:rPr>
            </w:pPr>
            <w:r>
              <w:rPr>
                <w:b/>
              </w:rPr>
              <w:t>Vägledning om hur man fyller i mallposten</w:t>
            </w:r>
            <w:r>
              <w:t>:</w:t>
            </w:r>
            <w:r>
              <w:rPr>
                <w:b/>
              </w:rPr>
              <w:t xml:space="preserve"> </w:t>
            </w:r>
            <w:r>
              <w:t>Villkorlig. Ange om de ekologiska flöden som redan finns tillgängliga har genomförts i alla relevanta vattenförekomster.</w:t>
            </w:r>
          </w:p>
          <w:p w:rsidR="000215C5" w:rsidRDefault="00703023">
            <w:pPr>
              <w:spacing w:after="120"/>
              <w:jc w:val="both"/>
              <w:rPr>
                <w:b/>
                <w:szCs w:val="24"/>
              </w:rPr>
            </w:pPr>
            <w:r>
              <w:rPr>
                <w:b/>
              </w:rPr>
              <w:t>Kvalitetskontroller</w:t>
            </w:r>
            <w:r>
              <w:t>: Villkorlig kontroll: Rapportera om ecologicalFlow är ”Yes…” eller ”Partly…”.</w:t>
            </w:r>
          </w:p>
        </w:tc>
      </w:tr>
      <w:tr w:rsidR="00021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0215C5" w:rsidRDefault="00703023">
            <w:pPr>
              <w:spacing w:after="120"/>
              <w:jc w:val="both"/>
              <w:rPr>
                <w:b/>
                <w:szCs w:val="24"/>
              </w:rPr>
            </w:pPr>
            <w:r>
              <w:rPr>
                <w:b/>
              </w:rPr>
              <w:t xml:space="preserve">Mallpost: </w:t>
            </w:r>
            <w:r>
              <w:t>climateChange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förväntade klimatförändringar har bedömts och beaktats i den andra versionen av förvaltningsplanen och åtgärdsplanen.</w:t>
            </w:r>
          </w:p>
        </w:tc>
      </w:tr>
      <w:tr w:rsidR="00021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0215C5" w:rsidRDefault="00703023">
            <w:pPr>
              <w:spacing w:after="120"/>
              <w:jc w:val="both"/>
              <w:rPr>
                <w:b/>
                <w:szCs w:val="24"/>
              </w:rPr>
            </w:pPr>
            <w:r>
              <w:rPr>
                <w:b/>
              </w:rPr>
              <w:t>Mallpost</w:t>
            </w:r>
            <w:r>
              <w:t>:</w:t>
            </w:r>
            <w:r>
              <w:rPr>
                <w:b/>
              </w:rPr>
              <w:t xml:space="preserve"> </w:t>
            </w:r>
            <w:r>
              <w:t>climateChangeGuidance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w:t>
            </w:r>
            <w:r>
              <w:rPr>
                <w:b/>
              </w:rPr>
              <w:t xml:space="preserve"> </w:t>
            </w:r>
            <w:r>
              <w:t>= 1 minOccurs = 0</w:t>
            </w:r>
          </w:p>
          <w:p w:rsidR="000215C5" w:rsidRDefault="00703023">
            <w:pPr>
              <w:spacing w:after="120"/>
              <w:jc w:val="both"/>
              <w:rPr>
                <w:szCs w:val="24"/>
              </w:rPr>
            </w:pPr>
            <w:r>
              <w:rPr>
                <w:b/>
              </w:rPr>
              <w:t>Vägledning om hur man fyller i mallposten</w:t>
            </w:r>
            <w:r>
              <w:t xml:space="preserve">: Villkorlig. Ange om CIS-vägledningsdokument nr 24, </w:t>
            </w:r>
            <w:r>
              <w:rPr>
                <w:i/>
              </w:rPr>
              <w:t>River basin in a changing climate</w:t>
            </w:r>
            <w:r>
              <w:rPr>
                <w:rStyle w:val="Fotnotsreferens"/>
              </w:rPr>
              <w:footnoteReference w:id="130"/>
            </w:r>
            <w:r>
              <w:t>, har använts för att beakta klimatförändringar i den andra versionen av förvaltningsplanen och åtgärdsplanen.</w:t>
            </w:r>
          </w:p>
          <w:p w:rsidR="000215C5" w:rsidRDefault="00703023">
            <w:pPr>
              <w:spacing w:after="120"/>
              <w:jc w:val="both"/>
              <w:rPr>
                <w:b/>
                <w:szCs w:val="24"/>
              </w:rPr>
            </w:pPr>
            <w:r>
              <w:rPr>
                <w:b/>
              </w:rPr>
              <w:t>Kvalitetskontroller</w:t>
            </w:r>
            <w:r>
              <w:t>: Villkorlig kontroll: Rapportera om climateChange är ”Yes”.</w:t>
            </w:r>
          </w:p>
        </w:tc>
      </w:tr>
      <w:tr w:rsidR="00021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0215C5" w:rsidRDefault="00703023">
            <w:pPr>
              <w:spacing w:after="120"/>
              <w:jc w:val="both"/>
              <w:rPr>
                <w:b/>
                <w:szCs w:val="24"/>
              </w:rPr>
            </w:pPr>
            <w:r>
              <w:rPr>
                <w:b/>
              </w:rPr>
              <w:t>Mallpost</w:t>
            </w:r>
            <w:r>
              <w:t>:</w:t>
            </w:r>
            <w:r>
              <w:rPr>
                <w:b/>
              </w:rPr>
              <w:t xml:space="preserve"> </w:t>
            </w:r>
            <w:r>
              <w:t>climateChangeAspectsConsidered</w:t>
            </w:r>
          </w:p>
          <w:p w:rsidR="000215C5" w:rsidRDefault="00703023">
            <w:pPr>
              <w:spacing w:after="120"/>
              <w:jc w:val="both"/>
              <w:rPr>
                <w:szCs w:val="24"/>
              </w:rPr>
            </w:pPr>
            <w:r>
              <w:rPr>
                <w:b/>
              </w:rPr>
              <w:t xml:space="preserve">Fälttyp/alternativ: </w:t>
            </w:r>
            <w:r>
              <w:t xml:space="preserve">ClimateChangeAspectsConsidered_Enum: </w:t>
            </w:r>
          </w:p>
          <w:p w:rsidR="000215C5" w:rsidRPr="008D6A99" w:rsidRDefault="00703023">
            <w:pPr>
              <w:spacing w:after="120"/>
              <w:jc w:val="both"/>
              <w:rPr>
                <w:szCs w:val="24"/>
                <w:lang w:val="en-GB"/>
              </w:rPr>
            </w:pPr>
            <w:r w:rsidRPr="008D6A99">
              <w:rPr>
                <w:lang w:val="en-GB"/>
              </w:rPr>
              <w:t>Assessing direct and indirect climate pressures</w:t>
            </w:r>
          </w:p>
          <w:p w:rsidR="000215C5" w:rsidRPr="008D6A99" w:rsidRDefault="00703023">
            <w:pPr>
              <w:spacing w:after="120"/>
              <w:jc w:val="both"/>
              <w:rPr>
                <w:szCs w:val="24"/>
                <w:lang w:val="en-GB"/>
              </w:rPr>
            </w:pPr>
            <w:r w:rsidRPr="008D6A99">
              <w:rPr>
                <w:lang w:val="en-GB"/>
              </w:rPr>
              <w:t>Detecting climate change signals</w:t>
            </w:r>
          </w:p>
          <w:p w:rsidR="000215C5" w:rsidRPr="008D6A99" w:rsidRDefault="00703023">
            <w:pPr>
              <w:spacing w:after="120"/>
              <w:jc w:val="both"/>
              <w:rPr>
                <w:szCs w:val="24"/>
                <w:lang w:val="en-GB"/>
              </w:rPr>
            </w:pPr>
            <w:r w:rsidRPr="008D6A99">
              <w:rPr>
                <w:lang w:val="en-GB"/>
              </w:rPr>
              <w:t>Monitoring change at reference sites</w:t>
            </w:r>
          </w:p>
          <w:p w:rsidR="000215C5" w:rsidRPr="008D6A99" w:rsidRDefault="00703023">
            <w:pPr>
              <w:spacing w:after="120"/>
              <w:jc w:val="both"/>
              <w:rPr>
                <w:szCs w:val="24"/>
                <w:lang w:val="en-GB"/>
              </w:rPr>
            </w:pPr>
            <w:r w:rsidRPr="008D6A99">
              <w:rPr>
                <w:lang w:val="en-GB"/>
              </w:rPr>
              <w:t>Setting objectives</w:t>
            </w:r>
          </w:p>
          <w:p w:rsidR="000215C5" w:rsidRPr="008D6A99" w:rsidRDefault="00703023">
            <w:pPr>
              <w:spacing w:after="120"/>
              <w:jc w:val="both"/>
              <w:rPr>
                <w:szCs w:val="24"/>
                <w:lang w:val="en-GB"/>
              </w:rPr>
            </w:pPr>
            <w:r w:rsidRPr="008D6A99">
              <w:rPr>
                <w:lang w:val="en-GB"/>
              </w:rPr>
              <w:t>Forecasting the economics of water supply and demand</w:t>
            </w:r>
          </w:p>
          <w:p w:rsidR="000215C5" w:rsidRPr="008D6A99" w:rsidRDefault="00703023">
            <w:pPr>
              <w:spacing w:after="120"/>
              <w:jc w:val="both"/>
              <w:rPr>
                <w:szCs w:val="24"/>
                <w:lang w:val="en-GB"/>
              </w:rPr>
            </w:pPr>
            <w:r w:rsidRPr="008D6A99">
              <w:rPr>
                <w:lang w:val="en-GB"/>
              </w:rPr>
              <w:t>Checking the effectiveness of measures</w:t>
            </w:r>
          </w:p>
          <w:p w:rsidR="000215C5" w:rsidRPr="008D6A99" w:rsidRDefault="00703023">
            <w:pPr>
              <w:spacing w:after="120"/>
              <w:jc w:val="both"/>
              <w:rPr>
                <w:szCs w:val="24"/>
                <w:lang w:val="en-GB"/>
              </w:rPr>
            </w:pPr>
            <w:r w:rsidRPr="008D6A99">
              <w:rPr>
                <w:lang w:val="en-GB"/>
              </w:rPr>
              <w:t>Preferential selection of robust adaptation measures</w:t>
            </w:r>
          </w:p>
          <w:p w:rsidR="000215C5" w:rsidRPr="008D6A99" w:rsidRDefault="00703023">
            <w:pPr>
              <w:spacing w:after="120"/>
              <w:jc w:val="both"/>
              <w:rPr>
                <w:szCs w:val="24"/>
                <w:lang w:val="en-GB"/>
              </w:rPr>
            </w:pPr>
            <w:r w:rsidRPr="008D6A99">
              <w:rPr>
                <w:lang w:val="en-GB"/>
              </w:rPr>
              <w:t>Maximisation of cross-sectoral benefits and minimisation of negative effects across sectors</w:t>
            </w:r>
          </w:p>
          <w:p w:rsidR="000215C5" w:rsidRPr="008D6A99" w:rsidRDefault="00703023">
            <w:pPr>
              <w:spacing w:after="120"/>
              <w:jc w:val="both"/>
              <w:rPr>
                <w:szCs w:val="24"/>
                <w:lang w:val="en-GB"/>
              </w:rPr>
            </w:pPr>
            <w:r w:rsidRPr="008D6A99">
              <w:rPr>
                <w:lang w:val="en-GB"/>
              </w:rPr>
              <w:t>Flood risk management</w:t>
            </w:r>
          </w:p>
          <w:p w:rsidR="000215C5" w:rsidRPr="008D6A99" w:rsidRDefault="00703023">
            <w:pPr>
              <w:spacing w:after="120"/>
              <w:jc w:val="both"/>
              <w:rPr>
                <w:szCs w:val="24"/>
                <w:lang w:val="en-GB"/>
              </w:rPr>
            </w:pPr>
            <w:r w:rsidRPr="008D6A99">
              <w:rPr>
                <w:lang w:val="en-GB"/>
              </w:rPr>
              <w:t>Drought management and water scarcity</w:t>
            </w:r>
          </w:p>
          <w:p w:rsidR="000215C5" w:rsidRDefault="00703023">
            <w:pPr>
              <w:spacing w:after="120"/>
              <w:jc w:val="both"/>
              <w:rPr>
                <w:b/>
                <w:szCs w:val="24"/>
              </w:rPr>
            </w:pPr>
            <w:r>
              <w:rPr>
                <w:b/>
              </w:rPr>
              <w:t xml:space="preserve">Egenskaper: </w:t>
            </w:r>
            <w:r>
              <w:t>maxOccurs</w:t>
            </w:r>
            <w:r>
              <w:rPr>
                <w:b/>
              </w:rPr>
              <w:t xml:space="preserve"> </w:t>
            </w:r>
            <w:r>
              <w:t>= unbounded minOccurs = 0</w:t>
            </w:r>
          </w:p>
          <w:p w:rsidR="000215C5" w:rsidRDefault="00703023">
            <w:pPr>
              <w:spacing w:after="120"/>
              <w:jc w:val="both"/>
              <w:rPr>
                <w:szCs w:val="24"/>
              </w:rPr>
            </w:pPr>
            <w:r>
              <w:rPr>
                <w:b/>
              </w:rPr>
              <w:t>Vägledning om hur man fyller i mallposten</w:t>
            </w:r>
            <w:r>
              <w:t>: Villkorlig. Välj de klimataspekter från uppräkningslistan som har genomförts eller beaktas i den andra versionen av förvaltningsplanen och åtgärdsplanen.</w:t>
            </w:r>
          </w:p>
          <w:p w:rsidR="000215C5" w:rsidRDefault="00703023">
            <w:pPr>
              <w:spacing w:after="120"/>
              <w:jc w:val="both"/>
              <w:rPr>
                <w:b/>
                <w:szCs w:val="24"/>
              </w:rPr>
            </w:pPr>
            <w:r>
              <w:rPr>
                <w:b/>
              </w:rPr>
              <w:t>Kvalitetskontroller</w:t>
            </w:r>
            <w:r>
              <w:t>: Villkorlig kontroll: Rapportera om climateChange är ”Yes”.</w:t>
            </w:r>
          </w:p>
        </w:tc>
      </w:tr>
      <w:tr w:rsidR="00021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0215C5" w:rsidRDefault="00703023">
            <w:pPr>
              <w:spacing w:after="120"/>
              <w:jc w:val="both"/>
              <w:rPr>
                <w:b/>
                <w:szCs w:val="24"/>
              </w:rPr>
            </w:pPr>
            <w:r>
              <w:rPr>
                <w:b/>
              </w:rPr>
              <w:t>Mallpost</w:t>
            </w:r>
            <w:r>
              <w:t>:</w:t>
            </w:r>
            <w:r>
              <w:rPr>
                <w:b/>
              </w:rPr>
              <w:t xml:space="preserve"> </w:t>
            </w:r>
            <w:r>
              <w:t>floodsDirective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Enligt direktivet om översvämningar ska de första riskhanteringsplanerna för översvämningar genomföras i samordning med översynen av vattendirektivets förvaltningsplaner. Ange om målen och kraven i direktivet om översvämningar har beaktats i den andra versionen av förvaltningsplanen och åtgärdsplanen.</w:t>
            </w:r>
          </w:p>
        </w:tc>
      </w:tr>
      <w:tr w:rsidR="00021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0215C5" w:rsidRDefault="00703023">
            <w:pPr>
              <w:spacing w:after="120"/>
              <w:jc w:val="both"/>
              <w:rPr>
                <w:b/>
                <w:szCs w:val="24"/>
              </w:rPr>
            </w:pPr>
            <w:r>
              <w:rPr>
                <w:b/>
              </w:rPr>
              <w:t>Mallpost</w:t>
            </w:r>
            <w:r>
              <w:t>:</w:t>
            </w:r>
            <w:r>
              <w:rPr>
                <w:b/>
              </w:rPr>
              <w:t xml:space="preserve"> </w:t>
            </w:r>
            <w:r>
              <w:t>winWinNWRMDroughtsFloods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särskilda ”win-win”-åtgärder för att uppnå målen i vattendirektivet och direktivet om översvämningar samt för hantering av torka och användning av åtgärder för naturlig vattenupptagning ingår i åtgärdsplanen.</w:t>
            </w:r>
          </w:p>
        </w:tc>
      </w:tr>
      <w:tr w:rsidR="00021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0215C5" w:rsidRDefault="00703023">
            <w:pPr>
              <w:spacing w:after="120"/>
              <w:jc w:val="both"/>
              <w:rPr>
                <w:b/>
                <w:szCs w:val="24"/>
              </w:rPr>
            </w:pPr>
            <w:r>
              <w:rPr>
                <w:b/>
              </w:rPr>
              <w:t>Mallpost</w:t>
            </w:r>
            <w:r>
              <w:t>:</w:t>
            </w:r>
            <w:r>
              <w:rPr>
                <w:b/>
              </w:rPr>
              <w:t xml:space="preserve"> </w:t>
            </w:r>
            <w:r>
              <w:t>structuralMeasures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szCs w:val="24"/>
              </w:rPr>
            </w:pPr>
            <w:r>
              <w:rPr>
                <w:b/>
              </w:rPr>
              <w:t>Vägledning om hur man fyller i mallposten</w:t>
            </w:r>
            <w:r>
              <w:t>: Krävs. Ange om utformningen av nya och befintliga strukturåtgärder, t.ex. översvämningsskydd, lagringsdammar och tidvattenbarriärer, har anpassats för att beakta vattendirektivets miljömål.</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msfdCoOrdination</w:t>
            </w:r>
          </w:p>
          <w:p w:rsidR="000215C5" w:rsidRDefault="00703023">
            <w:pPr>
              <w:spacing w:after="120"/>
              <w:jc w:val="both"/>
              <w:rPr>
                <w:b/>
                <w:szCs w:val="24"/>
              </w:rPr>
            </w:pPr>
            <w:r>
              <w:rPr>
                <w:b/>
              </w:rPr>
              <w:t xml:space="preserve">Fälttyp/alternativ: </w:t>
            </w:r>
            <w:r>
              <w:t>YesNoLandlockedType_Union_Enum: Yes, No, Landlocked country</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pPr>
              <w:spacing w:after="120"/>
              <w:jc w:val="both"/>
              <w:rPr>
                <w:b/>
                <w:szCs w:val="24"/>
              </w:rPr>
            </w:pPr>
            <w:r>
              <w:rPr>
                <w:b/>
              </w:rPr>
              <w:t>Vägledning om hur man fyller i mallposten</w:t>
            </w:r>
            <w:r>
              <w:t>:</w:t>
            </w:r>
            <w:r>
              <w:rPr>
                <w:b/>
              </w:rPr>
              <w:t xml:space="preserve"> </w:t>
            </w:r>
            <w:r>
              <w:t>Krävs. Ange om utarbetandet av förvaltningsplanen och åtgärdsplanen har samordnats med genomförandet av ramdirektivet om en marin strategi.</w:t>
            </w:r>
            <w:r>
              <w:rPr>
                <w:b/>
              </w:rPr>
              <w:t xml:space="preserve">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msfdAssessment</w:t>
            </w:r>
          </w:p>
          <w:p w:rsidR="000215C5" w:rsidRDefault="00703023">
            <w:pPr>
              <w:spacing w:after="120"/>
              <w:jc w:val="both"/>
              <w:rPr>
                <w:b/>
                <w:szCs w:val="24"/>
              </w:rPr>
            </w:pPr>
            <w:r>
              <w:rPr>
                <w:b/>
              </w:rPr>
              <w:t xml:space="preserve">Fälttyp/alternativ: </w:t>
            </w:r>
            <w:r>
              <w:t>YesNoLandlockedType_Union_Enum: Yes, No, Landlocked country</w:t>
            </w:r>
          </w:p>
          <w:p w:rsidR="000215C5" w:rsidRDefault="00703023">
            <w:pPr>
              <w:spacing w:after="120"/>
              <w:jc w:val="both"/>
              <w:rPr>
                <w:b/>
                <w:szCs w:val="24"/>
              </w:rPr>
            </w:pPr>
            <w:r>
              <w:rPr>
                <w:b/>
              </w:rPr>
              <w:t xml:space="preserve">Egenskaper: </w:t>
            </w:r>
            <w:r>
              <w:t>maxOccurs</w:t>
            </w:r>
            <w:r>
              <w:rPr>
                <w:b/>
              </w:rPr>
              <w:t xml:space="preserve"> </w:t>
            </w:r>
            <w:r>
              <w:t>= 1 minOccurs = 1</w:t>
            </w:r>
          </w:p>
          <w:p w:rsidR="000215C5" w:rsidRDefault="00703023" w:rsidP="0058095F">
            <w:pPr>
              <w:spacing w:after="120"/>
              <w:jc w:val="both"/>
              <w:rPr>
                <w:szCs w:val="24"/>
              </w:rPr>
            </w:pPr>
            <w:r>
              <w:rPr>
                <w:b/>
              </w:rPr>
              <w:t>Vägledning om hur man fyller i mallposten</w:t>
            </w:r>
            <w:r>
              <w:t>:</w:t>
            </w:r>
            <w:r>
              <w:rPr>
                <w:b/>
              </w:rPr>
              <w:t xml:space="preserve"> </w:t>
            </w:r>
            <w:r>
              <w:t xml:space="preserve">Krävs. Ange huruvida behovet av </w:t>
            </w:r>
            <w:r w:rsidR="0058095F">
              <w:t>ytterligare</w:t>
            </w:r>
            <w:r>
              <w:t xml:space="preserve"> åtgärder eller strängare åtgärder utöver de åtgärder som krävs enligt vattendirektivet har övervägts i åtgärdsplanen för att bidra till att de relevanta målen i ramdirektivet om en marin strategi uppfylls för kust- och havsmiljöer. </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msfdMeasuresNeeded</w:t>
            </w:r>
          </w:p>
          <w:p w:rsidR="000215C5" w:rsidRDefault="00703023">
            <w:pPr>
              <w:spacing w:after="120"/>
              <w:jc w:val="both"/>
              <w:rPr>
                <w:szCs w:val="24"/>
              </w:rPr>
            </w:pPr>
            <w:r>
              <w:rPr>
                <w:b/>
              </w:rPr>
              <w:t xml:space="preserve">Fälttyp/alternativ: </w:t>
            </w:r>
            <w:r>
              <w:t>MSFDMeasuresNeeded_Enum:</w:t>
            </w:r>
          </w:p>
          <w:p w:rsidR="000215C5" w:rsidRDefault="00703023">
            <w:pPr>
              <w:spacing w:after="120"/>
              <w:jc w:val="both"/>
              <w:rPr>
                <w:szCs w:val="24"/>
              </w:rPr>
            </w:pPr>
            <w:r>
              <w:t>Nutrients</w:t>
            </w:r>
          </w:p>
          <w:p w:rsidR="000215C5" w:rsidRDefault="00703023">
            <w:pPr>
              <w:spacing w:after="120"/>
              <w:jc w:val="both"/>
              <w:rPr>
                <w:szCs w:val="24"/>
              </w:rPr>
            </w:pPr>
            <w:r>
              <w:t>Chemicals</w:t>
            </w:r>
          </w:p>
          <w:p w:rsidR="000215C5" w:rsidRDefault="00703023">
            <w:pPr>
              <w:spacing w:after="120"/>
              <w:jc w:val="both"/>
              <w:rPr>
                <w:szCs w:val="24"/>
              </w:rPr>
            </w:pPr>
            <w:r>
              <w:t>Litter</w:t>
            </w:r>
          </w:p>
          <w:p w:rsidR="000215C5" w:rsidRDefault="00703023">
            <w:pPr>
              <w:spacing w:after="120"/>
              <w:jc w:val="both"/>
              <w:rPr>
                <w:szCs w:val="24"/>
              </w:rPr>
            </w:pPr>
            <w:r>
              <w:t>Others</w:t>
            </w:r>
          </w:p>
          <w:p w:rsidR="000215C5" w:rsidRDefault="00703023">
            <w:pPr>
              <w:spacing w:after="120"/>
              <w:jc w:val="both"/>
              <w:rPr>
                <w:szCs w:val="24"/>
              </w:rPr>
            </w:pPr>
            <w:r>
              <w:t>None</w:t>
            </w:r>
          </w:p>
          <w:p w:rsidR="000215C5" w:rsidRDefault="00703023">
            <w:pPr>
              <w:spacing w:after="120"/>
              <w:jc w:val="both"/>
              <w:rPr>
                <w:b/>
                <w:szCs w:val="24"/>
              </w:rPr>
            </w:pPr>
            <w:r>
              <w:rPr>
                <w:b/>
              </w:rPr>
              <w:t xml:space="preserve">Egenskaper: </w:t>
            </w:r>
            <w:r>
              <w:t>maxOccurs</w:t>
            </w:r>
            <w:r>
              <w:rPr>
                <w:b/>
              </w:rPr>
              <w:t xml:space="preserve"> </w:t>
            </w:r>
            <w:r>
              <w:t>= unbounded minOccurs = 0</w:t>
            </w:r>
          </w:p>
          <w:p w:rsidR="000215C5" w:rsidRDefault="00703023">
            <w:pPr>
              <w:spacing w:after="120"/>
              <w:jc w:val="both"/>
              <w:rPr>
                <w:szCs w:val="24"/>
              </w:rPr>
            </w:pPr>
            <w:r>
              <w:rPr>
                <w:b/>
              </w:rPr>
              <w:t>Vägledning om hur man fyller i mallposten</w:t>
            </w:r>
            <w:r>
              <w:t>:</w:t>
            </w:r>
            <w:r>
              <w:rPr>
                <w:b/>
              </w:rPr>
              <w:t xml:space="preserve"> </w:t>
            </w:r>
            <w:r>
              <w:t xml:space="preserve">Villkorlig. Om behovet av </w:t>
            </w:r>
            <w:r w:rsidR="0058095F">
              <w:t>ytterligare</w:t>
            </w:r>
            <w:r>
              <w:t xml:space="preserve"> eller strängare åtgärder utöver de åtgärder som krävs enligt vattendirektivet för att de relevanta målen i ramdirektivet om en marin strategi ska uppfyllas för kust- och havsmiljöer har övervägts i åtgärdsplanen, välj de </w:t>
            </w:r>
            <w:r w:rsidR="0058095F">
              <w:t>ytterligare</w:t>
            </w:r>
            <w:r>
              <w:t xml:space="preserve"> åtgärder som behövs för att uppnå ramdirektivets mål från uppräkningslistan ”None” ska väljas om behovet av </w:t>
            </w:r>
            <w:r w:rsidR="0058095F">
              <w:t>ytterligare</w:t>
            </w:r>
            <w:r>
              <w:t xml:space="preserve"> åtgärder övervägdes, men slutsatsen blev att inga </w:t>
            </w:r>
            <w:r w:rsidR="0058095F">
              <w:t>ytterligare</w:t>
            </w:r>
            <w:r>
              <w:t xml:space="preserve"> åtgärder behövs.</w:t>
            </w:r>
          </w:p>
          <w:p w:rsidR="000215C5" w:rsidRDefault="00703023">
            <w:pPr>
              <w:spacing w:after="120"/>
              <w:jc w:val="both"/>
              <w:rPr>
                <w:b/>
                <w:szCs w:val="24"/>
              </w:rPr>
            </w:pPr>
            <w:r>
              <w:rPr>
                <w:b/>
              </w:rPr>
              <w:t>Kvalitetskontroller</w:t>
            </w:r>
            <w:r>
              <w:t>: Villkorlig kontroll: Rapportera om msfdAssessment är ”Yes”.</w:t>
            </w:r>
          </w:p>
        </w:tc>
      </w:tr>
      <w:tr w:rsidR="000215C5">
        <w:tc>
          <w:tcPr>
            <w:tcW w:w="9889"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b/>
                <w:szCs w:val="24"/>
              </w:rPr>
            </w:pPr>
            <w:r>
              <w:rPr>
                <w:b/>
              </w:rPr>
              <w:t>Mallpost</w:t>
            </w:r>
            <w:r>
              <w:t>:</w:t>
            </w:r>
            <w:r>
              <w:rPr>
                <w:b/>
              </w:rPr>
              <w:t xml:space="preserve"> </w:t>
            </w:r>
            <w:r>
              <w:t>otherAspectsReference</w:t>
            </w:r>
          </w:p>
          <w:p w:rsidR="000215C5" w:rsidRDefault="00703023">
            <w:pPr>
              <w:spacing w:after="120"/>
              <w:jc w:val="both"/>
              <w:rPr>
                <w:b/>
                <w:szCs w:val="24"/>
              </w:rPr>
            </w:pPr>
            <w:r>
              <w:rPr>
                <w:b/>
              </w:rPr>
              <w:t xml:space="preserve">Fälttyp/alternativ: </w:t>
            </w:r>
            <w:r>
              <w:t>ReferenceType (se bilaga 9)</w:t>
            </w:r>
          </w:p>
          <w:p w:rsidR="000215C5" w:rsidRDefault="00703023">
            <w:pPr>
              <w:spacing w:after="120"/>
              <w:jc w:val="both"/>
              <w:rPr>
                <w:b/>
                <w:szCs w:val="24"/>
              </w:rPr>
            </w:pPr>
            <w:r>
              <w:rPr>
                <w:b/>
              </w:rPr>
              <w:t xml:space="preserve">Egenskaper: </w:t>
            </w:r>
            <w:r>
              <w:t>maxOccurs</w:t>
            </w:r>
            <w:r>
              <w:rPr>
                <w:b/>
              </w:rPr>
              <w:t xml:space="preserve"> </w:t>
            </w:r>
            <w:r>
              <w:t>= unbounded minOccurs = 0</w:t>
            </w:r>
          </w:p>
          <w:p w:rsidR="000215C5" w:rsidRDefault="00703023">
            <w:pPr>
              <w:spacing w:after="120"/>
              <w:jc w:val="both"/>
              <w:rPr>
                <w:szCs w:val="24"/>
              </w:rPr>
            </w:pPr>
            <w:r>
              <w:rPr>
                <w:b/>
              </w:rPr>
              <w:t xml:space="preserve">Vägledning: </w:t>
            </w:r>
            <w:r>
              <w:t xml:space="preserve">Villkorlig. Ange hänvisningar eller hyperlänkar till dokument och avsnitt som innehåller särskild information om de andra aspekter som anges ovan när riktade frågor ställs. Vägledning om vilka uppgifter som bör ingå i detta dokument ges i avsnitt </w:t>
            </w:r>
            <w:r>
              <w:fldChar w:fldCharType="begin"/>
            </w:r>
            <w:r>
              <w:instrText xml:space="preserve"> REF _Ref402961238 \r \h  \* MERGEFORMAT </w:instrText>
            </w:r>
            <w:r>
              <w:fldChar w:fldCharType="separate"/>
            </w:r>
            <w:r>
              <w:rPr>
                <w:szCs w:val="24"/>
              </w:rPr>
              <w:t>10.2.3</w:t>
            </w:r>
            <w:r>
              <w:fldChar w:fldCharType="end"/>
            </w:r>
            <w:r>
              <w:t xml:space="preserve">. </w:t>
            </w:r>
          </w:p>
          <w:p w:rsidR="000215C5" w:rsidRDefault="00703023">
            <w:pPr>
              <w:spacing w:after="120"/>
              <w:jc w:val="both"/>
              <w:rPr>
                <w:szCs w:val="24"/>
              </w:rPr>
            </w:pPr>
            <w:r>
              <w:rPr>
                <w:b/>
              </w:rPr>
              <w:t>Kvalitetskontroller</w:t>
            </w:r>
            <w:r>
              <w:t>: Villkorlig kontroll: Rapportera om någon av följande poster har dessa värden: waterReUse är ”Yes”, waterReUseMeasure är ”Yes”, ecologicalFlow är ”Yes…”eller ”Partly…”, climateChange är 'Yes', floodsDirective är ”Yes”, winWinNWRMDroughtsFloods är ”Yes”, structuralMeasures är ”Yes”, msfdCoOrdination är ”Yes”, msfdAssessment är ”Yes”.</w:t>
            </w:r>
          </w:p>
        </w:tc>
      </w:tr>
    </w:tbl>
    <w:p w:rsidR="000215C5" w:rsidRDefault="000215C5">
      <w:pPr>
        <w:jc w:val="both"/>
      </w:pPr>
    </w:p>
    <w:p w:rsidR="000215C5" w:rsidRDefault="00703023">
      <w:pPr>
        <w:pStyle w:val="Rubrik3"/>
      </w:pPr>
      <w:bookmarkStart w:id="733" w:name="_Toc388280361"/>
      <w:r>
        <w:t>GIS-information:</w:t>
      </w:r>
      <w:bookmarkEnd w:id="733"/>
    </w:p>
    <w:p w:rsidR="000215C5" w:rsidRDefault="00703023">
      <w:pPr>
        <w:jc w:val="both"/>
      </w:pPr>
      <w:r>
        <w:t>Ingen.</w:t>
      </w:r>
    </w:p>
    <w:p w:rsidR="000215C5" w:rsidRDefault="00703023">
      <w:pPr>
        <w:pStyle w:val="Rubrik3"/>
      </w:pPr>
      <w:bookmarkStart w:id="734" w:name="_Toc388280362"/>
      <w:bookmarkStart w:id="735" w:name="_Ref389035947"/>
      <w:bookmarkStart w:id="736" w:name="_Ref389036114"/>
      <w:bookmarkStart w:id="737" w:name="_Ref402960970"/>
      <w:bookmarkStart w:id="738" w:name="_Ref402961238"/>
      <w:r>
        <w:t>Vägledning om innehållet i förvaltningsplanerna för avrinningsdistrikt eller i bakgrundsdokument</w:t>
      </w:r>
      <w:bookmarkEnd w:id="734"/>
      <w:bookmarkEnd w:id="735"/>
      <w:bookmarkEnd w:id="736"/>
      <w:bookmarkEnd w:id="737"/>
      <w:bookmarkEnd w:id="738"/>
    </w:p>
    <w:p w:rsidR="000215C5" w:rsidRDefault="00703023">
      <w:pPr>
        <w:jc w:val="both"/>
        <w:rPr>
          <w:b/>
        </w:rPr>
      </w:pPr>
      <w:r>
        <w:rPr>
          <w:b/>
        </w:rPr>
        <w:t>Grundläggande åtgärder</w:t>
      </w:r>
    </w:p>
    <w:p w:rsidR="000215C5" w:rsidRDefault="00703023">
      <w:pPr>
        <w:jc w:val="both"/>
      </w:pPr>
      <w:r>
        <w:t>Nedan ges vägledning om de uppgifter som kommissionen förväntar sig att medlemsstaterna lämnar i de relevanta kapitlen om grundläggande åtgärder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pPr>
      <w:r>
        <w:t xml:space="preserve">Den information som krävs för grundläggande åtgärder är densamma som i avsnitt </w:t>
      </w:r>
      <w:r>
        <w:fldChar w:fldCharType="begin"/>
      </w:r>
      <w:r>
        <w:instrText xml:space="preserve"> REF _Ref389036266 \r \h  \* MERGEFORMAT </w:instrText>
      </w:r>
      <w:r>
        <w:fldChar w:fldCharType="separate"/>
      </w:r>
      <w:r>
        <w:t>10.1.9</w:t>
      </w:r>
      <w:r>
        <w:fldChar w:fldCharType="end"/>
      </w:r>
      <w:r>
        <w:t xml:space="preserve"> för individuella åtgärder. Detta avsnitt innehåller dock ytterligare förtydliganden om den information som krävs för de angivna typerna av grundläggande åtgärder. Denna information kan tas med i förvaltningsplanerna eller i bakgrundsdokument som görs tillgängliga för kommissionen.</w:t>
      </w:r>
    </w:p>
    <w:p w:rsidR="000215C5" w:rsidRDefault="00703023">
      <w:pPr>
        <w:jc w:val="both"/>
      </w:pPr>
      <w:r>
        <w:t xml:space="preserve">Medlemsstaterna rekommenderas att ta fram mallar för att ange all relevant information för varje åtgärd (se avsnitt </w:t>
      </w:r>
      <w:r>
        <w:fldChar w:fldCharType="begin"/>
      </w:r>
      <w:r>
        <w:instrText xml:space="preserve"> REF _Ref389036541 \r \h  \* MERGEFORMAT </w:instrText>
      </w:r>
      <w:r>
        <w:fldChar w:fldCharType="separate"/>
      </w:r>
      <w:r>
        <w:t>10.1.9</w:t>
      </w:r>
      <w:r>
        <w:fldChar w:fldCharType="end"/>
      </w:r>
      <w:r>
        <w:t>). För att förenkla rapporteringen kan flera åtgärder som bidrar till samma syfte enligt artikel 11.3 b–l anges i samma mall.</w:t>
      </w:r>
    </w:p>
    <w:p w:rsidR="000215C5" w:rsidRDefault="00703023">
      <w:pPr>
        <w:jc w:val="both"/>
      </w:pPr>
      <w:r>
        <w:t>När åtgärderna beskrivs är det viktigt att klargöra de faktorer som redan har genomförts samt planerna för den andra cykeln. Medlemsstaterna ska försäkra sig om att beskrivningen av de grundläggande åtgärderna innehåller följande information (icke-uttömmande förteckning):</w:t>
      </w:r>
    </w:p>
    <w:p w:rsidR="000215C5" w:rsidRDefault="00703023">
      <w:pPr>
        <w:numPr>
          <w:ilvl w:val="0"/>
          <w:numId w:val="41"/>
        </w:numPr>
        <w:jc w:val="both"/>
      </w:pPr>
      <w:r>
        <w:t>När det gäller åtgärder enligt artikel 11.3 d för skydd av vattenuttag som används för att skydda vattenkvaliteten ska en beskrivning av åtgärden ingå i förekommande fall.</w:t>
      </w:r>
    </w:p>
    <w:p w:rsidR="000215C5" w:rsidRDefault="00703023">
      <w:pPr>
        <w:numPr>
          <w:ilvl w:val="1"/>
          <w:numId w:val="41"/>
        </w:numPr>
        <w:jc w:val="both"/>
      </w:pPr>
      <w:r>
        <w:t>Allmän information om skyddszonernas storlek eller kriterier för deras inrättande.</w:t>
      </w:r>
    </w:p>
    <w:p w:rsidR="000215C5" w:rsidRDefault="00703023">
      <w:pPr>
        <w:numPr>
          <w:ilvl w:val="1"/>
          <w:numId w:val="41"/>
        </w:numPr>
        <w:jc w:val="both"/>
      </w:pPr>
      <w:r>
        <w:t>Typer av förbud eller begränsningar som gäller för säkerhetszoner (t.ex. användning av bekämpningsmedel, gödselmedel, bygg- och industriverksamhet).</w:t>
      </w:r>
    </w:p>
    <w:p w:rsidR="000215C5" w:rsidRDefault="00703023">
      <w:pPr>
        <w:numPr>
          <w:ilvl w:val="1"/>
          <w:numId w:val="41"/>
        </w:numPr>
        <w:jc w:val="both"/>
      </w:pPr>
      <w:r>
        <w:t>Typer av åtgärder som är obligatoriska i säkerhetszoner (t.ex. buffertar, trädplantering).</w:t>
      </w:r>
    </w:p>
    <w:p w:rsidR="000215C5" w:rsidRDefault="00703023">
      <w:pPr>
        <w:numPr>
          <w:ilvl w:val="0"/>
          <w:numId w:val="41"/>
        </w:numPr>
        <w:jc w:val="both"/>
      </w:pPr>
      <w:r>
        <w:t>När det gäller åtgärder enligt artikel 11.3 e för reglering av uttag för dricksvatten ska en beskrivning av åtgärderna ingå i förekommande fall.</w:t>
      </w:r>
    </w:p>
    <w:p w:rsidR="000215C5" w:rsidRDefault="00703023">
      <w:pPr>
        <w:numPr>
          <w:ilvl w:val="1"/>
          <w:numId w:val="41"/>
        </w:numPr>
        <w:jc w:val="both"/>
      </w:pPr>
      <w:r>
        <w:t>Uppgift om huruvida det finns ett register över alla uttag av yt- och grundvatten.</w:t>
      </w:r>
    </w:p>
    <w:p w:rsidR="000215C5" w:rsidRDefault="00703023">
      <w:pPr>
        <w:numPr>
          <w:ilvl w:val="1"/>
          <w:numId w:val="41"/>
        </w:numPr>
        <w:jc w:val="both"/>
      </w:pPr>
      <w:r>
        <w:t>Uppgift om huruvida det finns ett register över alla uppdämningar.</w:t>
      </w:r>
    </w:p>
    <w:p w:rsidR="000215C5" w:rsidRDefault="00703023">
      <w:pPr>
        <w:numPr>
          <w:ilvl w:val="1"/>
          <w:numId w:val="41"/>
        </w:numPr>
        <w:jc w:val="both"/>
      </w:pPr>
      <w:r>
        <w:t>Beskrivning av koncessioner och godkännande- och/eller tillståndssystem för reglering av vattenuttag, inklusive gränser under vilka sådana koncessioner, godkännanden, tillstånd eller registreringar för uttag inte behövs.</w:t>
      </w:r>
    </w:p>
    <w:p w:rsidR="000215C5" w:rsidRDefault="00703023">
      <w:pPr>
        <w:numPr>
          <w:ilvl w:val="1"/>
          <w:numId w:val="41"/>
        </w:numPr>
        <w:jc w:val="both"/>
      </w:pPr>
      <w:r>
        <w:t>Skyldigheter för olika typer av användare att använda mätare.</w:t>
      </w:r>
    </w:p>
    <w:p w:rsidR="000215C5" w:rsidRDefault="00703023">
      <w:pPr>
        <w:numPr>
          <w:ilvl w:val="1"/>
          <w:numId w:val="41"/>
        </w:numPr>
        <w:jc w:val="both"/>
      </w:pPr>
      <w:r>
        <w:t>Uppgift om huruvida det finns ett register över vattenförbrukning per användare för alla sektorer.</w:t>
      </w:r>
    </w:p>
    <w:p w:rsidR="000215C5" w:rsidRDefault="00703023">
      <w:pPr>
        <w:numPr>
          <w:ilvl w:val="1"/>
          <w:numId w:val="41"/>
        </w:numPr>
        <w:jc w:val="both"/>
      </w:pPr>
      <w:r>
        <w:t>Uppgift om huruvida det finns en skyldighet att se över uttag inom en viss period (t.ex. vart femte år, vart tionde år eller ännu längre tid) eller om det endast sker när det behövs.</w:t>
      </w:r>
    </w:p>
    <w:p w:rsidR="000215C5" w:rsidRDefault="00703023">
      <w:pPr>
        <w:numPr>
          <w:ilvl w:val="1"/>
          <w:numId w:val="41"/>
        </w:numPr>
        <w:jc w:val="both"/>
      </w:pPr>
      <w:r>
        <w:t>Ange om myndigheterna är bundna av vattendirektivets miljömål inom ramen för koncessions-, godkännande- eller tillståndsförfarandet, dvs. om myndigheterna måste eller kan avslå en tillståndsansökan om den äventyrar uppnåendet av vattendirektivets miljömål i de berörda vattenförekomsterna.</w:t>
      </w:r>
    </w:p>
    <w:p w:rsidR="000215C5" w:rsidRDefault="00703023">
      <w:pPr>
        <w:numPr>
          <w:ilvl w:val="0"/>
          <w:numId w:val="41"/>
        </w:numPr>
        <w:jc w:val="both"/>
      </w:pPr>
      <w:r>
        <w:t>När det gäller åtgärder enligt artikel 11.3 g för reglering av utsläpp från punktkällor som kan ge upphov till föroreningar ska en beskrivning av åtgärderna ingå i förekommande fall.</w:t>
      </w:r>
    </w:p>
    <w:p w:rsidR="000215C5" w:rsidRDefault="00703023">
      <w:pPr>
        <w:numPr>
          <w:ilvl w:val="1"/>
          <w:numId w:val="41"/>
        </w:numPr>
        <w:jc w:val="both"/>
      </w:pPr>
      <w:r>
        <w:t>Uppgift om godkännande- eller tillståndssystemet för reglering av utsläpp av avloppsvatten från tätortsbebyggelse eller industriverksamhet, inklusive om det finns gränser under vilka godkännande inte behövs, om det finns allmänna bindande regler osv.</w:t>
      </w:r>
    </w:p>
    <w:p w:rsidR="000215C5" w:rsidRDefault="00703023">
      <w:pPr>
        <w:numPr>
          <w:ilvl w:val="1"/>
          <w:numId w:val="41"/>
        </w:numPr>
        <w:jc w:val="both"/>
      </w:pPr>
      <w:r>
        <w:t>Uppgift om huruvida godkännande- eller tillståndssystemet eller de bindande reglerna omfattar avrinning från tätorter, industrianläggningar och jordbruksföretag.</w:t>
      </w:r>
    </w:p>
    <w:p w:rsidR="000215C5" w:rsidRDefault="00703023">
      <w:pPr>
        <w:numPr>
          <w:ilvl w:val="1"/>
          <w:numId w:val="41"/>
        </w:numPr>
        <w:jc w:val="both"/>
      </w:pPr>
      <w:r>
        <w:t>Uppgift om huruvida det finns en skyldighet att se över utsläppstillstånden inom en viss period (t.ex. vart femte år, vart tionde år eller ännu längre tid) eller om det endast sker när det behövs.</w:t>
      </w:r>
    </w:p>
    <w:p w:rsidR="000215C5" w:rsidRDefault="00703023">
      <w:pPr>
        <w:numPr>
          <w:ilvl w:val="1"/>
          <w:numId w:val="41"/>
        </w:numPr>
        <w:jc w:val="both"/>
      </w:pPr>
      <w:r>
        <w:t>Ange om myndigheterna är bundna av vattendirektivets miljömål inom ramen för godkännande- eller tillståndsförfarandet, dvs. om myndigheterna måste eller kan avslå en tillståndsansökan om den äventyrar uppnåendet av vattendirektivets miljömål i de berörda vattenförekomsterna.</w:t>
      </w:r>
    </w:p>
    <w:p w:rsidR="000215C5" w:rsidRDefault="00703023">
      <w:pPr>
        <w:numPr>
          <w:ilvl w:val="0"/>
          <w:numId w:val="41"/>
        </w:numPr>
        <w:jc w:val="both"/>
      </w:pPr>
      <w:r>
        <w:t>När det gäller åtgärder enligt artikel 11.3 h för reglering av diffusa källor som kan ge upphov till föroreningar ska en beskrivning av åtgärderna ingå i förekommande fall.</w:t>
      </w:r>
    </w:p>
    <w:p w:rsidR="000215C5" w:rsidRDefault="00703023">
      <w:pPr>
        <w:numPr>
          <w:ilvl w:val="1"/>
          <w:numId w:val="41"/>
        </w:numPr>
        <w:jc w:val="both"/>
      </w:pPr>
      <w:r>
        <w:t>Reglering eller bindande krav för jordbruksföretag i syfte att hantera olika näringsämneskällor (nitrater och/eller fosfater) utanför nitratkänsliga områden.</w:t>
      </w:r>
    </w:p>
    <w:p w:rsidR="000215C5" w:rsidRDefault="00703023">
      <w:pPr>
        <w:numPr>
          <w:ilvl w:val="1"/>
          <w:numId w:val="41"/>
        </w:numPr>
        <w:jc w:val="both"/>
      </w:pPr>
      <w:r>
        <w:t>Reglering eller bindande krav för jordbruksföretag i syfte att hantera diffusa källor av bekämpningsmedel.</w:t>
      </w:r>
    </w:p>
    <w:p w:rsidR="000215C5" w:rsidRDefault="00703023">
      <w:pPr>
        <w:numPr>
          <w:ilvl w:val="1"/>
          <w:numId w:val="41"/>
        </w:numPr>
        <w:jc w:val="both"/>
      </w:pPr>
      <w:r>
        <w:t>Reglering eller bindande krav för jordbruksföretag i syfte att hantera markerosion och föroreningar av vattenförekomster med sediment.</w:t>
      </w:r>
    </w:p>
    <w:p w:rsidR="000215C5" w:rsidRDefault="00703023">
      <w:pPr>
        <w:numPr>
          <w:ilvl w:val="1"/>
          <w:numId w:val="41"/>
        </w:numPr>
        <w:jc w:val="both"/>
      </w:pPr>
      <w:r>
        <w:t>Reglering eller bindande krav för jordbruksföretag i syfte att hantera diffusa källor av organiska föroreningar och mikrobiell kontaminering.</w:t>
      </w:r>
    </w:p>
    <w:p w:rsidR="000215C5" w:rsidRDefault="00703023">
      <w:pPr>
        <w:numPr>
          <w:ilvl w:val="0"/>
          <w:numId w:val="41"/>
        </w:numPr>
        <w:jc w:val="both"/>
      </w:pPr>
      <w:r>
        <w:t>När det gäller åtgärder enligt artikel 11.3 i för reglering av hydromorfologiska modifikationer ska en beskrivning av åtgärderna ingå i förekommande fall.</w:t>
      </w:r>
    </w:p>
    <w:p w:rsidR="000215C5" w:rsidRDefault="00703023">
      <w:pPr>
        <w:numPr>
          <w:ilvl w:val="1"/>
          <w:numId w:val="41"/>
        </w:numPr>
        <w:jc w:val="both"/>
      </w:pPr>
      <w:r>
        <w:t>En beskrivning av godkännandesystemet och/eller allmänna bindande regler för fysiska modifieringar av vattenförekomster, inklusive den typ av modifieringar som är föremål för reglering.</w:t>
      </w:r>
    </w:p>
    <w:p w:rsidR="000215C5" w:rsidRDefault="00703023">
      <w:pPr>
        <w:numPr>
          <w:ilvl w:val="1"/>
          <w:numId w:val="41"/>
        </w:numPr>
        <w:jc w:val="both"/>
      </w:pPr>
      <w:r>
        <w:t>Uppgift om huruvida fysiska modifieringar av strandområden är föremål för reglering.</w:t>
      </w:r>
    </w:p>
    <w:p w:rsidR="000215C5" w:rsidRDefault="00703023">
      <w:pPr>
        <w:numPr>
          <w:ilvl w:val="1"/>
          <w:numId w:val="41"/>
        </w:numPr>
        <w:jc w:val="both"/>
      </w:pPr>
      <w:r>
        <w:t>Uppgift om gränser under vilka fysiska modifieringar undantas från godkännandeförfarandet (i förekommande fall).</w:t>
      </w:r>
    </w:p>
    <w:p w:rsidR="000215C5" w:rsidRDefault="00703023">
      <w:pPr>
        <w:jc w:val="both"/>
        <w:rPr>
          <w:b/>
        </w:rPr>
      </w:pPr>
      <w:r>
        <w:rPr>
          <w:b/>
        </w:rPr>
        <w:t>Andra aspekter</w:t>
      </w:r>
    </w:p>
    <w:p w:rsidR="000215C5" w:rsidRDefault="00703023">
      <w:pPr>
        <w:ind w:left="360"/>
        <w:jc w:val="both"/>
      </w:pPr>
      <w:r>
        <w:t>Information om följande frågor förväntas ingå i de relevanta avsnitten i förvaltningsplanen eller bakgrundsdokumenten.</w:t>
      </w:r>
    </w:p>
    <w:p w:rsidR="000215C5" w:rsidRDefault="00703023">
      <w:pPr>
        <w:numPr>
          <w:ilvl w:val="0"/>
          <w:numId w:val="41"/>
        </w:numPr>
        <w:jc w:val="both"/>
      </w:pPr>
      <w:r>
        <w:t>Hur har förväntade klimatförändringar bedömts och beaktats i den andra versionen av förvaltningsplanen och åtgärdsplanen?</w:t>
      </w:r>
    </w:p>
    <w:p w:rsidR="000215C5" w:rsidRDefault="00703023">
      <w:pPr>
        <w:numPr>
          <w:ilvl w:val="0"/>
          <w:numId w:val="41"/>
        </w:numPr>
        <w:jc w:val="both"/>
      </w:pPr>
      <w:r>
        <w:t>Vilka aspekter och konsekvenser av klimatförändringen har övervägts i utformningen av den andra versionen av förvaltningsplanerna och åtgärdsplanerna?</w:t>
      </w:r>
    </w:p>
    <w:p w:rsidR="000215C5" w:rsidRDefault="00703023">
      <w:pPr>
        <w:numPr>
          <w:ilvl w:val="0"/>
          <w:numId w:val="41"/>
        </w:numPr>
        <w:jc w:val="both"/>
      </w:pPr>
      <w:r>
        <w:t>Enligt direktivet om översvämningar ska de första riskhanteringsplanerna för översvämningar genomföras i samordning med översynen av vattendirektivets förvaltningsplaner. Hur har målen och kraven i direktivet om översvämningar beaktats i den andra versionen av förvaltningsplanen och åtgärdsplanen?</w:t>
      </w:r>
    </w:p>
    <w:p w:rsidR="000215C5" w:rsidRDefault="00703023">
      <w:pPr>
        <w:numPr>
          <w:ilvl w:val="0"/>
          <w:numId w:val="41"/>
        </w:numPr>
        <w:jc w:val="both"/>
      </w:pPr>
      <w:r>
        <w:t>Hur har åtgärdsplanen för den andra cykeln bidragit till att begränsa konsekvenserna av översvämningar och torka?</w:t>
      </w:r>
    </w:p>
    <w:p w:rsidR="000215C5" w:rsidRDefault="00703023">
      <w:pPr>
        <w:numPr>
          <w:ilvl w:val="0"/>
          <w:numId w:val="41"/>
        </w:numPr>
        <w:jc w:val="both"/>
      </w:pPr>
      <w:r>
        <w:t>Vilka särskilda ”win-win”-åtgärder för att uppnå målen i vattendirektivet och direktivet om översvämningar ingår i åtgärdsplanen?</w:t>
      </w:r>
    </w:p>
    <w:p w:rsidR="000215C5" w:rsidRDefault="00703023">
      <w:pPr>
        <w:numPr>
          <w:ilvl w:val="0"/>
          <w:numId w:val="41"/>
        </w:numPr>
        <w:jc w:val="both"/>
      </w:pPr>
      <w:r>
        <w:t xml:space="preserve">Vilka åtgärder för naturlig vattenupptagning och grön infrastruktur har tagits med i åtgärdsplanen? </w:t>
      </w:r>
    </w:p>
    <w:p w:rsidR="000215C5" w:rsidRDefault="00703023">
      <w:pPr>
        <w:numPr>
          <w:ilvl w:val="0"/>
          <w:numId w:val="41"/>
        </w:numPr>
        <w:jc w:val="both"/>
      </w:pPr>
      <w:r>
        <w:t>Hur har utformningen av nya och befintliga strukturåtgärder, t.ex. översvämningsskydd, lagringsdammar och tidvattenbarriärer, anpassats för att beakta vattendirektivets miljömål?</w:t>
      </w:r>
    </w:p>
    <w:p w:rsidR="000215C5" w:rsidRDefault="00703023">
      <w:pPr>
        <w:numPr>
          <w:ilvl w:val="0"/>
          <w:numId w:val="41"/>
        </w:numPr>
        <w:jc w:val="both"/>
      </w:pPr>
      <w:r>
        <w:t>Har användning av hållbara dräneringssystem, t.ex. anläggande av våtmarker och porösa beläggningar, övervägts för att minska översvämningar i städer och även bidra till uppnåendet av vattendirektivets miljömål?</w:t>
      </w:r>
    </w:p>
    <w:p w:rsidR="000215C5" w:rsidRDefault="00703023">
      <w:pPr>
        <w:numPr>
          <w:ilvl w:val="0"/>
          <w:numId w:val="41"/>
        </w:numPr>
        <w:jc w:val="both"/>
      </w:pPr>
      <w:r>
        <w:t>Lämna uppgifter om tillämpningen av artikel 4.7 i vattendirektivet när det gäller nya projekt och infrastrukturer för översvämningsskydd.</w:t>
      </w:r>
    </w:p>
    <w:p w:rsidR="000215C5" w:rsidRDefault="00703023">
      <w:pPr>
        <w:numPr>
          <w:ilvl w:val="0"/>
          <w:numId w:val="41"/>
        </w:numPr>
        <w:jc w:val="both"/>
      </w:pPr>
      <w:r>
        <w:t>Lämna uppgifter om samordningen av allmänhetens deltagande och samråd med berörda aktörer under utformningen av förvaltningsplanerna och riskhanteringsplanerna för översvämningar.</w:t>
      </w:r>
    </w:p>
    <w:p w:rsidR="000215C5" w:rsidRDefault="00703023">
      <w:pPr>
        <w:pStyle w:val="Liststycke"/>
        <w:numPr>
          <w:ilvl w:val="0"/>
          <w:numId w:val="41"/>
        </w:numPr>
        <w:ind w:left="714" w:hanging="357"/>
        <w:contextualSpacing w:val="0"/>
        <w:jc w:val="both"/>
        <w:rPr>
          <w:szCs w:val="24"/>
        </w:rPr>
      </w:pPr>
      <w:r>
        <w:t>Uppgifter om behovet av och (i förekommande fall) utformningen av en särskild (del)plan för hantering av torka ska ingå i förvaltningsplanen.</w:t>
      </w:r>
    </w:p>
    <w:p w:rsidR="000215C5" w:rsidRDefault="00703023">
      <w:pPr>
        <w:pStyle w:val="Liststycke"/>
        <w:numPr>
          <w:ilvl w:val="0"/>
          <w:numId w:val="41"/>
        </w:numPr>
        <w:ind w:left="714" w:hanging="357"/>
        <w:jc w:val="both"/>
      </w:pPr>
      <w:r>
        <w:t>Uppgift om huruvida åtgärder för att förbättra effektiviteten i vattenanvändningen har planerats, särskilt när det gäller användning och prioritering av sådana åtgärder i förhållande till alternativa infrastrukturmetoder för att öka försörjningen.</w:t>
      </w:r>
    </w:p>
    <w:p w:rsidR="000215C5" w:rsidRDefault="00703023">
      <w:pPr>
        <w:numPr>
          <w:ilvl w:val="0"/>
          <w:numId w:val="41"/>
        </w:numPr>
        <w:jc w:val="both"/>
      </w:pPr>
      <w:r>
        <w:t>Uppgift om hur återanvändning av vatten (t.ex. från avloppsreningsanläggningar eller industrianläggningar) har tagits med i förvaltningsplanen som en åtgärd i samband med förvaltningen av vattenresurser, särskilt omfattning och förväntade effekter på vattenuttaget och behovet av efterfrågestyrning eller åtgärder för infrastruktur för vattenförsörjning.</w:t>
      </w:r>
    </w:p>
    <w:p w:rsidR="000215C5" w:rsidRDefault="00703023">
      <w:pPr>
        <w:numPr>
          <w:ilvl w:val="0"/>
          <w:numId w:val="41"/>
        </w:numPr>
        <w:jc w:val="both"/>
      </w:pPr>
      <w:r>
        <w:t>Hur har de relevanta åtgärder som planeras för den första åtgärdsplanen enligt ramdirektivet om en marin strategi (direktiv 2008/56/EG)</w:t>
      </w:r>
      <w:r>
        <w:rPr>
          <w:rStyle w:val="Fotnotsreferens"/>
        </w:rPr>
        <w:footnoteReference w:id="131"/>
      </w:r>
      <w:r>
        <w:t xml:space="preserve"> beaktats i den andra versionen av åtgärdsplanen?</w:t>
      </w:r>
    </w:p>
    <w:p w:rsidR="000215C5" w:rsidRDefault="00703023">
      <w:pPr>
        <w:pStyle w:val="Rubrik2"/>
        <w:jc w:val="both"/>
      </w:pPr>
      <w:bookmarkStart w:id="739" w:name="_Toc400669592"/>
      <w:bookmarkStart w:id="740" w:name="_Toc400670058"/>
      <w:bookmarkStart w:id="741" w:name="_Toc400670396"/>
      <w:bookmarkStart w:id="742" w:name="_Toc400670730"/>
      <w:bookmarkStart w:id="743" w:name="_Toc400671038"/>
      <w:bookmarkStart w:id="744" w:name="_Toc400671342"/>
      <w:bookmarkStart w:id="745" w:name="_Toc400671647"/>
      <w:bookmarkStart w:id="746" w:name="_Toc400671941"/>
      <w:bookmarkStart w:id="747" w:name="_Toc400720388"/>
      <w:bookmarkStart w:id="748" w:name="_Toc400669593"/>
      <w:bookmarkStart w:id="749" w:name="_Toc400670059"/>
      <w:bookmarkStart w:id="750" w:name="_Toc400670397"/>
      <w:bookmarkStart w:id="751" w:name="_Toc400670731"/>
      <w:bookmarkStart w:id="752" w:name="_Toc400671039"/>
      <w:bookmarkStart w:id="753" w:name="_Toc400671343"/>
      <w:bookmarkStart w:id="754" w:name="_Toc400671648"/>
      <w:bookmarkStart w:id="755" w:name="_Toc400671942"/>
      <w:bookmarkStart w:id="756" w:name="_Toc400720389"/>
      <w:bookmarkStart w:id="757" w:name="_Toc375220128"/>
      <w:bookmarkStart w:id="758" w:name="_Toc375294186"/>
      <w:bookmarkStart w:id="759" w:name="_Toc386464257"/>
      <w:bookmarkStart w:id="760" w:name="_Toc388280363"/>
      <w:bookmarkStart w:id="761" w:name="_Toc425522084"/>
      <w:bookmarkStart w:id="762" w:name="_Toc432666096"/>
      <w:bookmarkStart w:id="763" w:name="_Toc437520292"/>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t>Uppskattningar av åtgärdernas kostnader</w:t>
      </w:r>
      <w:bookmarkEnd w:id="757"/>
      <w:bookmarkEnd w:id="758"/>
      <w:bookmarkEnd w:id="759"/>
      <w:bookmarkEnd w:id="760"/>
      <w:bookmarkEnd w:id="761"/>
      <w:bookmarkEnd w:id="762"/>
      <w:bookmarkEnd w:id="763"/>
    </w:p>
    <w:p w:rsidR="000215C5" w:rsidRDefault="00703023">
      <w:pPr>
        <w:pStyle w:val="Rubrik3"/>
      </w:pPr>
      <w:bookmarkStart w:id="764" w:name="_Toc388280364"/>
      <w:bookmarkStart w:id="765" w:name="_Toc375220130"/>
      <w:r>
        <w:t>Inledning</w:t>
      </w:r>
      <w:bookmarkEnd w:id="764"/>
    </w:p>
    <w:p w:rsidR="000215C5" w:rsidRDefault="00703023">
      <w:pPr>
        <w:jc w:val="both"/>
      </w:pPr>
      <w:r>
        <w:t xml:space="preserve">Enligt artikel 19 i vattendirektivet ska kommissionen se över direktivet och föreslå nödvändiga ändringar. Som ett led i översynen måste kommissionen kunna bedöma kostnaderna för och fördelarna med direktivets genomförande. </w:t>
      </w:r>
    </w:p>
    <w:p w:rsidR="000215C5" w:rsidRDefault="00703023">
      <w:pPr>
        <w:pStyle w:val="Rubrik3"/>
      </w:pPr>
      <w:bookmarkStart w:id="766" w:name="_Toc388280365"/>
      <w:r>
        <w:t>Hur kommer kommissionen och Europeiska miljöbyrån att använda den rapporterade informationen</w:t>
      </w:r>
      <w:bookmarkEnd w:id="766"/>
      <w:r>
        <w:t>?</w:t>
      </w:r>
    </w:p>
    <w:p w:rsidR="000215C5" w:rsidRDefault="00703023">
      <w:pPr>
        <w:jc w:val="both"/>
      </w:pPr>
      <w:r>
        <w:t>Kommissionen kommer att använda den rapporterade informationen för att försäkra sig om att medlemsstaterna genomför vattendirektivet på ett lämpligt och konsekvent sätt, identifiera eventuella ekonomiska hinder som kan störa genomförandet, identifiera kostnaderna för genomförandet av förvaltningsplanerna, medlemsstaternas kostnader och de totala genomförandekostnaderna samt göra en fullständig kostnadseffektivitetsanalys av vattendirektivet.</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4"/>
      </w:pPr>
      <w:r>
        <w:t>Produkter från rapporteringen</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265"/>
        <w:gridCol w:w="1081"/>
        <w:gridCol w:w="1529"/>
        <w:gridCol w:w="1874"/>
        <w:gridCol w:w="1985"/>
        <w:gridCol w:w="1701"/>
      </w:tblGrid>
      <w:tr w:rsidR="000215C5" w:rsidTr="007E237C">
        <w:trPr>
          <w:cantSplit/>
          <w:tblHeader/>
        </w:trPr>
        <w:tc>
          <w:tcPr>
            <w:tcW w:w="643" w:type="dxa"/>
            <w:shd w:val="clear" w:color="auto" w:fill="auto"/>
          </w:tcPr>
          <w:p w:rsidR="000215C5" w:rsidRDefault="00703023">
            <w:pPr>
              <w:jc w:val="both"/>
              <w:rPr>
                <w:b/>
                <w:sz w:val="18"/>
                <w:szCs w:val="18"/>
              </w:rPr>
            </w:pPr>
            <w:r>
              <w:rPr>
                <w:b/>
                <w:sz w:val="18"/>
              </w:rPr>
              <w:t>Nb</w:t>
            </w:r>
          </w:p>
        </w:tc>
        <w:tc>
          <w:tcPr>
            <w:tcW w:w="1265" w:type="dxa"/>
            <w:shd w:val="clear" w:color="auto" w:fill="auto"/>
          </w:tcPr>
          <w:p w:rsidR="000215C5" w:rsidRDefault="00703023">
            <w:pPr>
              <w:jc w:val="both"/>
              <w:rPr>
                <w:b/>
                <w:sz w:val="18"/>
                <w:szCs w:val="18"/>
              </w:rPr>
            </w:pPr>
            <w:r>
              <w:rPr>
                <w:b/>
                <w:sz w:val="18"/>
              </w:rPr>
              <w:t>Produktens namn</w:t>
            </w:r>
          </w:p>
        </w:tc>
        <w:tc>
          <w:tcPr>
            <w:tcW w:w="1081" w:type="dxa"/>
            <w:shd w:val="clear" w:color="auto" w:fill="auto"/>
          </w:tcPr>
          <w:p w:rsidR="000215C5" w:rsidRDefault="00703023">
            <w:pPr>
              <w:jc w:val="both"/>
              <w:rPr>
                <w:b/>
                <w:sz w:val="18"/>
                <w:szCs w:val="18"/>
              </w:rPr>
            </w:pPr>
            <w:r>
              <w:rPr>
                <w:b/>
                <w:sz w:val="18"/>
              </w:rPr>
              <w:t>Produkttyp</w:t>
            </w:r>
          </w:p>
        </w:tc>
        <w:tc>
          <w:tcPr>
            <w:tcW w:w="1529" w:type="dxa"/>
            <w:shd w:val="clear" w:color="auto" w:fill="auto"/>
          </w:tcPr>
          <w:p w:rsidR="000215C5" w:rsidRDefault="00703023">
            <w:pPr>
              <w:jc w:val="both"/>
              <w:rPr>
                <w:b/>
                <w:sz w:val="18"/>
                <w:szCs w:val="18"/>
              </w:rPr>
            </w:pPr>
            <w:r>
              <w:rPr>
                <w:b/>
                <w:sz w:val="18"/>
              </w:rPr>
              <w:t>Informationsnivå*</w:t>
            </w:r>
          </w:p>
        </w:tc>
        <w:tc>
          <w:tcPr>
            <w:tcW w:w="1874" w:type="dxa"/>
            <w:shd w:val="clear" w:color="auto" w:fill="auto"/>
          </w:tcPr>
          <w:p w:rsidR="000215C5" w:rsidRDefault="00703023">
            <w:pPr>
              <w:jc w:val="both"/>
              <w:rPr>
                <w:b/>
                <w:sz w:val="18"/>
                <w:szCs w:val="18"/>
              </w:rPr>
            </w:pPr>
            <w:r>
              <w:rPr>
                <w:b/>
                <w:sz w:val="18"/>
              </w:rPr>
              <w:t>Detaljerad information visas</w:t>
            </w:r>
          </w:p>
        </w:tc>
        <w:tc>
          <w:tcPr>
            <w:tcW w:w="1985" w:type="dxa"/>
            <w:shd w:val="clear" w:color="auto" w:fill="auto"/>
          </w:tcPr>
          <w:p w:rsidR="000215C5" w:rsidRDefault="00703023">
            <w:pPr>
              <w:jc w:val="both"/>
              <w:rPr>
                <w:b/>
                <w:sz w:val="18"/>
                <w:szCs w:val="18"/>
              </w:rPr>
            </w:pPr>
            <w:r>
              <w:rPr>
                <w:b/>
                <w:sz w:val="18"/>
              </w:rPr>
              <w:t>Källa till detaljerad information samt aggregationsregeln</w:t>
            </w:r>
          </w:p>
        </w:tc>
        <w:tc>
          <w:tcPr>
            <w:tcW w:w="1701" w:type="dxa"/>
            <w:shd w:val="clear" w:color="auto" w:fill="auto"/>
          </w:tcPr>
          <w:p w:rsidR="000215C5" w:rsidRDefault="00703023">
            <w:pPr>
              <w:jc w:val="both"/>
              <w:rPr>
                <w:b/>
                <w:sz w:val="18"/>
                <w:szCs w:val="18"/>
              </w:rPr>
            </w:pPr>
            <w:r>
              <w:rPr>
                <w:b/>
                <w:sz w:val="18"/>
              </w:rPr>
              <w:t>Har informationen använts i rapporterna för 2012?*</w:t>
            </w:r>
          </w:p>
        </w:tc>
      </w:tr>
      <w:tr w:rsidR="000215C5" w:rsidTr="007E237C">
        <w:trPr>
          <w:cantSplit/>
        </w:trPr>
        <w:tc>
          <w:tcPr>
            <w:tcW w:w="643" w:type="dxa"/>
            <w:shd w:val="clear" w:color="auto" w:fill="auto"/>
          </w:tcPr>
          <w:p w:rsidR="000215C5" w:rsidRDefault="00703023">
            <w:pPr>
              <w:jc w:val="both"/>
              <w:rPr>
                <w:sz w:val="18"/>
                <w:szCs w:val="18"/>
              </w:rPr>
            </w:pPr>
            <w:r>
              <w:rPr>
                <w:sz w:val="18"/>
              </w:rPr>
              <w:t>1</w:t>
            </w:r>
          </w:p>
        </w:tc>
        <w:tc>
          <w:tcPr>
            <w:tcW w:w="1265" w:type="dxa"/>
            <w:shd w:val="clear" w:color="auto" w:fill="auto"/>
          </w:tcPr>
          <w:p w:rsidR="000215C5" w:rsidRDefault="00703023">
            <w:pPr>
              <w:jc w:val="both"/>
              <w:rPr>
                <w:b/>
                <w:sz w:val="18"/>
                <w:szCs w:val="18"/>
              </w:rPr>
            </w:pPr>
            <w:r>
              <w:rPr>
                <w:b/>
                <w:sz w:val="18"/>
              </w:rPr>
              <w:t>Kostnad för åtgärder</w:t>
            </w:r>
          </w:p>
        </w:tc>
        <w:tc>
          <w:tcPr>
            <w:tcW w:w="1081" w:type="dxa"/>
            <w:shd w:val="clear" w:color="auto" w:fill="auto"/>
          </w:tcPr>
          <w:p w:rsidR="000215C5" w:rsidRDefault="00703023">
            <w:pPr>
              <w:jc w:val="both"/>
              <w:rPr>
                <w:sz w:val="18"/>
                <w:szCs w:val="18"/>
              </w:rPr>
            </w:pPr>
            <w:r>
              <w:rPr>
                <w:sz w:val="18"/>
              </w:rPr>
              <w:t>Diagram, tabell eller karta</w:t>
            </w:r>
          </w:p>
        </w:tc>
        <w:tc>
          <w:tcPr>
            <w:tcW w:w="1529" w:type="dxa"/>
            <w:shd w:val="clear" w:color="auto" w:fill="auto"/>
          </w:tcPr>
          <w:p w:rsidR="000215C5" w:rsidRDefault="00703023">
            <w:pPr>
              <w:jc w:val="both"/>
              <w:rPr>
                <w:sz w:val="18"/>
                <w:szCs w:val="18"/>
              </w:rPr>
            </w:pPr>
            <w:r>
              <w:rPr>
                <w:sz w:val="18"/>
              </w:rPr>
              <w:t xml:space="preserve">EU/MS/RBD </w:t>
            </w:r>
          </w:p>
        </w:tc>
        <w:tc>
          <w:tcPr>
            <w:tcW w:w="1874" w:type="dxa"/>
            <w:shd w:val="clear" w:color="auto" w:fill="auto"/>
          </w:tcPr>
          <w:p w:rsidR="000215C5" w:rsidRDefault="00703023">
            <w:pPr>
              <w:jc w:val="both"/>
              <w:rPr>
                <w:sz w:val="18"/>
                <w:szCs w:val="18"/>
              </w:rPr>
            </w:pPr>
            <w:r>
              <w:rPr>
                <w:sz w:val="18"/>
              </w:rPr>
              <w:t>Totala kostnader för åtgärdsprogrammet eller kostnader uppdelade på grundkostnader och kompletterande kostnader.</w:t>
            </w:r>
          </w:p>
        </w:tc>
        <w:tc>
          <w:tcPr>
            <w:tcW w:w="1985" w:type="dxa"/>
            <w:shd w:val="clear" w:color="auto" w:fill="auto"/>
          </w:tcPr>
          <w:p w:rsidR="000215C5" w:rsidRDefault="00703023">
            <w:pPr>
              <w:jc w:val="both"/>
              <w:rPr>
                <w:sz w:val="18"/>
                <w:szCs w:val="18"/>
              </w:rPr>
            </w:pPr>
            <w:r>
              <w:rPr>
                <w:sz w:val="18"/>
              </w:rPr>
              <w:t>Information rapporterad på nivån för avrinningsdistrikt.</w:t>
            </w:r>
          </w:p>
        </w:tc>
        <w:tc>
          <w:tcPr>
            <w:tcW w:w="1701" w:type="dxa"/>
            <w:shd w:val="clear" w:color="auto" w:fill="auto"/>
          </w:tcPr>
          <w:p w:rsidR="000215C5" w:rsidRDefault="00703023">
            <w:pPr>
              <w:jc w:val="both"/>
              <w:rPr>
                <w:sz w:val="18"/>
                <w:szCs w:val="18"/>
              </w:rPr>
            </w:pPr>
            <w:r>
              <w:rPr>
                <w:sz w:val="18"/>
              </w:rPr>
              <w:t>Nej</w:t>
            </w:r>
          </w:p>
        </w:tc>
      </w:tr>
    </w:tbl>
    <w:p w:rsidR="000215C5" w:rsidRDefault="000215C5">
      <w:pPr>
        <w:jc w:val="both"/>
      </w:pPr>
    </w:p>
    <w:p w:rsidR="000215C5" w:rsidRDefault="00703023">
      <w:pPr>
        <w:pStyle w:val="Rubrik3"/>
      </w:pPr>
      <w:bookmarkStart w:id="767" w:name="_Toc388280366"/>
      <w:r>
        <w:t>Innehåll i rapporteringen 2016</w:t>
      </w:r>
      <w:bookmarkEnd w:id="765"/>
      <w:bookmarkEnd w:id="767"/>
    </w:p>
    <w:p w:rsidR="000215C5" w:rsidRDefault="00703023">
      <w:pPr>
        <w:pStyle w:val="Rubrik4"/>
      </w:pPr>
      <w:r>
        <w:t>Skiss över mallarna</w:t>
      </w:r>
    </w:p>
    <w:p w:rsidR="000215C5" w:rsidRDefault="00703023">
      <w:pPr>
        <w:jc w:val="both"/>
      </w:pPr>
      <w:r>
        <w:t>Se bilaga 10.7.</w:t>
      </w:r>
    </w:p>
    <w:p w:rsidR="000215C5" w:rsidRDefault="00703023">
      <w:pPr>
        <w:pStyle w:val="Rubrik4"/>
      </w:pPr>
      <w:r>
        <w:t>Information och uppgifter som ska rapporteras med hjälp av mallarna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szCs w:val="24"/>
              </w:rPr>
            </w:pPr>
            <w:r>
              <w:rPr>
                <w:b/>
              </w:rPr>
              <w:t>Mall: RBMPPoM (fortsättning)</w:t>
            </w:r>
          </w:p>
        </w:tc>
      </w:tr>
      <w:tr w:rsidR="000215C5">
        <w:tc>
          <w:tcPr>
            <w:tcW w:w="9889" w:type="dxa"/>
            <w:shd w:val="clear" w:color="auto" w:fill="auto"/>
          </w:tcPr>
          <w:p w:rsidR="000215C5" w:rsidRDefault="00703023">
            <w:pPr>
              <w:spacing w:after="120"/>
              <w:jc w:val="both"/>
              <w:rPr>
                <w:b/>
                <w:i/>
                <w:szCs w:val="24"/>
              </w:rPr>
            </w:pPr>
            <w:r>
              <w:rPr>
                <w:b/>
                <w:i/>
              </w:rPr>
              <w:t>Klass: Kostnader</w:t>
            </w:r>
          </w:p>
          <w:p w:rsidR="000215C5" w:rsidRDefault="00703023">
            <w:pPr>
              <w:spacing w:after="120"/>
              <w:jc w:val="both"/>
              <w:rPr>
                <w:i/>
                <w:szCs w:val="24"/>
              </w:rPr>
            </w:pPr>
            <w:r>
              <w:rPr>
                <w:b/>
                <w:i/>
              </w:rPr>
              <w:t xml:space="preserve">Egenskaper: </w:t>
            </w:r>
            <w:r>
              <w:rPr>
                <w:i/>
              </w:rPr>
              <w:t>maxOccurs = 1 minOccurs = 1</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costOfMeasuresScale20092015</w:t>
            </w:r>
          </w:p>
          <w:p w:rsidR="000215C5" w:rsidRDefault="00703023">
            <w:pPr>
              <w:spacing w:after="120"/>
              <w:jc w:val="both"/>
              <w:rPr>
                <w:szCs w:val="24"/>
              </w:rPr>
            </w:pPr>
            <w:r>
              <w:rPr>
                <w:b/>
              </w:rPr>
              <w:t xml:space="preserve">Fälttyp/alternativ: </w:t>
            </w:r>
            <w:r>
              <w:t>MSorRBD_Enum:</w:t>
            </w:r>
          </w:p>
          <w:p w:rsidR="000215C5" w:rsidRDefault="00703023">
            <w:pPr>
              <w:spacing w:after="120"/>
              <w:jc w:val="both"/>
              <w:rPr>
                <w:szCs w:val="24"/>
              </w:rPr>
            </w:pPr>
            <w:r>
              <w:t>Member State</w:t>
            </w:r>
          </w:p>
          <w:p w:rsidR="000215C5" w:rsidRDefault="00703023">
            <w:pPr>
              <w:spacing w:after="120"/>
              <w:jc w:val="both"/>
              <w:rPr>
                <w:szCs w:val="24"/>
              </w:rPr>
            </w:pPr>
            <w:r>
              <w:t>RBD</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de rapporterade kostnaderna avser detta specifika avrinningsdistrikt eller hela medlemsstaten.</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costOfMeasuresPeriod20092015</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den tidsperiod (t.ex. 2009--2015, 2009--2014 osv.) som de rapporterade kostnaderna avser.</w:t>
            </w:r>
          </w:p>
          <w:p w:rsidR="000215C5" w:rsidRDefault="00703023">
            <w:pPr>
              <w:spacing w:after="120"/>
              <w:jc w:val="both"/>
              <w:rPr>
                <w:b/>
                <w:szCs w:val="24"/>
              </w:rPr>
            </w:pPr>
            <w:r>
              <w:rPr>
                <w:b/>
              </w:rPr>
              <w:t>Kvalitetskontroller</w:t>
            </w:r>
            <w:r>
              <w:t xml:space="preserve">: Kontroll av posten: Perioden måste rapporteras i formatet ÅÅÅÅ--ÅÅÅÅ. </w:t>
            </w:r>
          </w:p>
        </w:tc>
      </w:tr>
      <w:tr w:rsidR="000215C5">
        <w:tc>
          <w:tcPr>
            <w:tcW w:w="9889" w:type="dxa"/>
            <w:shd w:val="clear" w:color="auto" w:fill="auto"/>
          </w:tcPr>
          <w:p w:rsidR="000215C5" w:rsidRDefault="00703023">
            <w:pPr>
              <w:spacing w:after="120"/>
              <w:jc w:val="both"/>
              <w:rPr>
                <w:b/>
                <w:szCs w:val="24"/>
              </w:rPr>
            </w:pPr>
            <w:bookmarkStart w:id="768" w:name="Link05480020"/>
            <w:r>
              <w:rPr>
                <w:b/>
              </w:rPr>
              <w:t>Mallpost</w:t>
            </w:r>
            <w:r>
              <w:t>: article113aInvestment20092015</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totala investeringsutgifter (i miljoner euro) för de åtgärder enligt artikel 11.3 a som faktiskt genomfördes under den första planeringscykeln.</w:t>
            </w:r>
          </w:p>
          <w:p w:rsidR="000215C5" w:rsidRDefault="00703023">
            <w:pPr>
              <w:spacing w:after="120"/>
              <w:jc w:val="both"/>
              <w:rPr>
                <w:szCs w:val="24"/>
              </w:rPr>
            </w:pPr>
            <w:r>
              <w:t>Utgifterna ska inte omräknas till årsbasis.</w:t>
            </w:r>
          </w:p>
          <w:p w:rsidR="000215C5" w:rsidRDefault="00703023">
            <w:pPr>
              <w:spacing w:after="120"/>
              <w:jc w:val="both"/>
              <w:rPr>
                <w:szCs w:val="24"/>
              </w:rPr>
            </w:pPr>
            <w:r>
              <w:t>De totala investeringsutgifterna ska t.ex. omfatta utgifter för byggande av anläggningar för rening av avloppsvatten.</w:t>
            </w:r>
          </w:p>
          <w:p w:rsidR="000215C5" w:rsidRDefault="00703023">
            <w:pPr>
              <w:spacing w:after="120"/>
              <w:jc w:val="both"/>
              <w:rPr>
                <w:szCs w:val="24"/>
              </w:rPr>
            </w:pPr>
            <w:r>
              <w:t>Om uppdelade uppgifter inte finns tillgängliga, rapportera ”0” i denna post och rapportera de aggregerade uppgifterna i article113al114115Investment20092015.</w:t>
            </w:r>
          </w:p>
        </w:tc>
      </w:tr>
      <w:bookmarkEnd w:id="768"/>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article113bl114115Investment20092015</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totala investeringsutgifter (i miljoner euro) för de åtgärder enligt artikel 11.3 b–l, 11.4 och 11.5 som faktiskt genomfördes under den första planeringscykeln.</w:t>
            </w:r>
          </w:p>
          <w:p w:rsidR="000215C5" w:rsidRDefault="00703023">
            <w:pPr>
              <w:spacing w:after="120"/>
              <w:jc w:val="both"/>
              <w:rPr>
                <w:szCs w:val="24"/>
                <w:u w:val="single"/>
              </w:rPr>
            </w:pPr>
            <w:r>
              <w:t>Utgifterna ska inte omräknas till årsbasis.</w:t>
            </w:r>
          </w:p>
          <w:p w:rsidR="000215C5" w:rsidRDefault="00703023">
            <w:pPr>
              <w:spacing w:after="120"/>
              <w:jc w:val="both"/>
              <w:rPr>
                <w:szCs w:val="24"/>
              </w:rPr>
            </w:pPr>
            <w:r>
              <w:t>De totala investeringsutgifterna ska t.ex. omfatta utgifter för infrastruktur för reglering av överuttag.</w:t>
            </w:r>
          </w:p>
          <w:p w:rsidR="000215C5" w:rsidRDefault="00703023">
            <w:pPr>
              <w:spacing w:after="120"/>
              <w:jc w:val="both"/>
              <w:rPr>
                <w:szCs w:val="24"/>
              </w:rPr>
            </w:pPr>
            <w:r>
              <w:t>Om uppdelade uppgifter inte finns tillgängliga, rapportera ”0” i denna post och rapportera de aggregerade uppgifterna i article113al114115Investment20092015.</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article113al114115Investment20092015</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Ange totala investeringsutgifter (i miljoner euro) för de åtgärder enligt artikel 11.3 a, 11.3 b–l, 11.4 och 11.5 som faktiskt genomfördes under den första planeringscykeln om endast aggregerade uppgifter finns tillgängliga.</w:t>
            </w:r>
          </w:p>
          <w:p w:rsidR="000215C5" w:rsidRDefault="00703023">
            <w:pPr>
              <w:spacing w:after="120"/>
              <w:jc w:val="both"/>
              <w:rPr>
                <w:szCs w:val="24"/>
              </w:rPr>
            </w:pPr>
            <w:r>
              <w:t>Utgifterna ska inte omräknas till årsbasis.</w:t>
            </w:r>
          </w:p>
          <w:p w:rsidR="000215C5" w:rsidRDefault="00703023">
            <w:pPr>
              <w:spacing w:after="120"/>
              <w:jc w:val="both"/>
              <w:rPr>
                <w:szCs w:val="24"/>
              </w:rPr>
            </w:pPr>
            <w:r>
              <w:t>De totala investeringsutgifterna ska t.ex. omfatta utgifter för byggande av anläggningar för rening av avloppsvatten.</w:t>
            </w:r>
          </w:p>
          <w:p w:rsidR="000215C5" w:rsidRDefault="00703023">
            <w:pPr>
              <w:spacing w:after="120"/>
              <w:jc w:val="both"/>
              <w:rPr>
                <w:b/>
                <w:szCs w:val="24"/>
              </w:rPr>
            </w:pPr>
            <w:r>
              <w:rPr>
                <w:b/>
              </w:rPr>
              <w:t>Kvalitetskontroller</w:t>
            </w:r>
            <w:r>
              <w:t>: Villkorlig kontroll: Rapportera om både article113aInvestment20092015 och article113bl114115Investment20092015 är ”0”.</w:t>
            </w:r>
          </w:p>
        </w:tc>
      </w:tr>
      <w:tr w:rsidR="000215C5">
        <w:tc>
          <w:tcPr>
            <w:tcW w:w="9889"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costExplanation20092015Reference</w:t>
            </w:r>
          </w:p>
          <w:p w:rsidR="000215C5" w:rsidRPr="008D6A99" w:rsidRDefault="00703023">
            <w:pPr>
              <w:spacing w:after="120"/>
              <w:jc w:val="both"/>
              <w:rPr>
                <w:szCs w:val="24"/>
                <w:lang w:val="en-GB"/>
              </w:rPr>
            </w:pPr>
            <w:r w:rsidRPr="008D6A99">
              <w:rPr>
                <w:b/>
                <w:lang w:val="en-GB"/>
              </w:rPr>
              <w:t xml:space="preserve">Fälttyp/alternativ: </w:t>
            </w:r>
            <w:r w:rsidRPr="008D6A99">
              <w:rPr>
                <w:lang w:val="en-GB"/>
              </w:rPr>
              <w:t xml:space="preserve">ReferenceType (se bilaga 9) </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Krävs. Ange en hänvisning eller en hyperlänk till dokument och avsnitt som innehåller relevant information om hur de kostnader som rapporterats för den första planeringscykeln har beräknats. Denna information måste laddas upp på Wise eller göras tillgänglig på webben.</w:t>
            </w:r>
          </w:p>
          <w:p w:rsidR="000215C5" w:rsidRDefault="00703023">
            <w:pPr>
              <w:spacing w:after="120"/>
              <w:jc w:val="both"/>
              <w:rPr>
                <w:szCs w:val="24"/>
              </w:rPr>
            </w:pPr>
            <w:r>
              <w:t xml:space="preserve">Vägledning om hur de filer och dokument som ska laddas upp på Wise ska namnges finns i användarhandboken om rapportering till Wise (se bilaga 6). </w:t>
            </w:r>
          </w:p>
          <w:p w:rsidR="000215C5" w:rsidRDefault="00703023">
            <w:pPr>
              <w:spacing w:after="120"/>
              <w:jc w:val="both"/>
              <w:rPr>
                <w:szCs w:val="24"/>
              </w:rPr>
            </w:pPr>
            <w:r>
              <w:t>Om en hyperlänk till information som lagras på en medlemsstats server rapporteras måste medlemsstaten säkerställa att hyperlänken kommer att vara stabil och aktiv under sex år efter rapporteringen och att den information som hänvisningen gäller inte revideras eller uppdateras.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costOfMeasuresScale20152021</w:t>
            </w:r>
          </w:p>
          <w:p w:rsidR="000215C5" w:rsidRDefault="00703023">
            <w:pPr>
              <w:spacing w:after="120"/>
              <w:jc w:val="both"/>
              <w:rPr>
                <w:szCs w:val="24"/>
              </w:rPr>
            </w:pPr>
            <w:r>
              <w:rPr>
                <w:b/>
              </w:rPr>
              <w:t xml:space="preserve">Fälttyp/alternativ: </w:t>
            </w:r>
            <w:r>
              <w:t>MSorRBD_Enum:</w:t>
            </w:r>
          </w:p>
          <w:p w:rsidR="000215C5" w:rsidRDefault="00703023">
            <w:pPr>
              <w:spacing w:after="120"/>
              <w:jc w:val="both"/>
              <w:rPr>
                <w:szCs w:val="24"/>
              </w:rPr>
            </w:pPr>
            <w:r>
              <w:t>Member State</w:t>
            </w:r>
          </w:p>
          <w:p w:rsidR="000215C5" w:rsidRDefault="00703023">
            <w:pPr>
              <w:spacing w:after="120"/>
              <w:jc w:val="both"/>
              <w:rPr>
                <w:szCs w:val="24"/>
              </w:rPr>
            </w:pPr>
            <w:r>
              <w:t>RBD</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de rapporterade kostnaderna avser detta specifika avrinningsdistrikt eller hela medlemsstaten.</w:t>
            </w:r>
          </w:p>
          <w:p w:rsidR="000215C5" w:rsidRDefault="00703023">
            <w:pPr>
              <w:spacing w:after="120"/>
              <w:jc w:val="both"/>
              <w:rPr>
                <w:b/>
                <w:szCs w:val="24"/>
              </w:rPr>
            </w:pPr>
            <w:r>
              <w:rPr>
                <w:b/>
              </w:rPr>
              <w:t>Kvalitetskontroller</w:t>
            </w:r>
            <w:r>
              <w:t xml:space="preserve">: </w:t>
            </w:r>
          </w:p>
        </w:tc>
      </w:tr>
      <w:tr w:rsidR="000215C5">
        <w:tc>
          <w:tcPr>
            <w:tcW w:w="9889" w:type="dxa"/>
            <w:shd w:val="clear" w:color="auto" w:fill="auto"/>
          </w:tcPr>
          <w:p w:rsidR="000215C5" w:rsidRDefault="00703023">
            <w:pPr>
              <w:spacing w:after="120"/>
              <w:jc w:val="both"/>
              <w:rPr>
                <w:b/>
                <w:szCs w:val="24"/>
              </w:rPr>
            </w:pPr>
            <w:r>
              <w:rPr>
                <w:b/>
              </w:rPr>
              <w:t>Mallpost</w:t>
            </w:r>
            <w:r>
              <w:t>: costOfMeasurePeriod20152021</w:t>
            </w:r>
          </w:p>
          <w:p w:rsidR="000215C5" w:rsidRDefault="00703023">
            <w:pPr>
              <w:spacing w:after="120"/>
              <w:jc w:val="both"/>
              <w:rPr>
                <w:szCs w:val="24"/>
              </w:rPr>
            </w:pPr>
            <w:r>
              <w:rPr>
                <w:b/>
              </w:rPr>
              <w:t xml:space="preserve">Fälttyp/alternativ: </w:t>
            </w:r>
            <w:r>
              <w:t>YearRangeType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Om de rapporterade kostnaderna inte rör hela den andra planeringscykeln, rapportera det referensår (i formatet ÅÅÅÅ) eller den referensperiod (i formatet ÅÅÅÅ--ÅÅÅÅ) som har använts som grund för kostnadsberäkningen.</w:t>
            </w:r>
          </w:p>
          <w:p w:rsidR="000215C5" w:rsidRDefault="00703023">
            <w:pPr>
              <w:spacing w:after="120"/>
              <w:jc w:val="both"/>
              <w:rPr>
                <w:b/>
                <w:szCs w:val="24"/>
              </w:rPr>
            </w:pPr>
            <w:r>
              <w:rPr>
                <w:b/>
              </w:rPr>
              <w:t>Kvalitetskontroller</w:t>
            </w:r>
            <w:r>
              <w:t xml:space="preserve">: Kontroll av posten: Referensåret måste rapporteras i formatet ÅÅÅÅ. Referensperioden måste rapporteras i formatet ÅÅÅÅ--ÅÅÅÅ. </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article113aInvestment20152021</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totala investeringsutgifter (i miljoner euro) för planerade åtgärder enligt artikel 11.3 a under den andra planeringscykeln.</w:t>
            </w:r>
          </w:p>
          <w:p w:rsidR="000215C5" w:rsidRDefault="00703023">
            <w:pPr>
              <w:spacing w:after="120"/>
              <w:jc w:val="both"/>
              <w:rPr>
                <w:szCs w:val="24"/>
              </w:rPr>
            </w:pPr>
            <w:r>
              <w:t>Utgifterna ska inte omräknas till årsbasis.</w:t>
            </w:r>
          </w:p>
          <w:p w:rsidR="000215C5" w:rsidRDefault="00703023">
            <w:pPr>
              <w:spacing w:after="120"/>
              <w:jc w:val="both"/>
              <w:rPr>
                <w:szCs w:val="24"/>
              </w:rPr>
            </w:pPr>
            <w:r>
              <w:t>De totala investeringsutgifterna ska t.ex. omfatta utgifter för byggande av anläggningar för rening av avloppsvatten.</w:t>
            </w:r>
          </w:p>
        </w:tc>
      </w:tr>
      <w:tr w:rsidR="000215C5">
        <w:tc>
          <w:tcPr>
            <w:tcW w:w="9889" w:type="dxa"/>
            <w:shd w:val="clear" w:color="auto" w:fill="auto"/>
          </w:tcPr>
          <w:p w:rsidR="000215C5" w:rsidRDefault="00703023">
            <w:pPr>
              <w:spacing w:after="120"/>
              <w:jc w:val="both"/>
              <w:rPr>
                <w:b/>
                <w:szCs w:val="24"/>
              </w:rPr>
            </w:pPr>
            <w:r>
              <w:rPr>
                <w:b/>
              </w:rPr>
              <w:t>Mallpost</w:t>
            </w:r>
            <w:r>
              <w:t>: article113aAnnual20152021</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totala årliga drifts- och underhållskostnader och eventuella andra kostnader (i miljoner euro) för planerade åtgärder enligt artikel 11.3 a under den andra planeringscykeln.</w:t>
            </w:r>
          </w:p>
          <w:p w:rsidR="000215C5" w:rsidRDefault="00703023">
            <w:pPr>
              <w:spacing w:after="120"/>
              <w:jc w:val="both"/>
              <w:rPr>
                <w:szCs w:val="24"/>
              </w:rPr>
            </w:pPr>
            <w:r>
              <w:t>De totala årskostnaderna ska vara exklusive alla årliga kostnader för driften av anläggningar för rening av avloppsvatten.</w:t>
            </w:r>
          </w:p>
          <w:p w:rsidR="000215C5" w:rsidRDefault="00703023">
            <w:pPr>
              <w:spacing w:after="120"/>
              <w:jc w:val="both"/>
              <w:rPr>
                <w:szCs w:val="24"/>
              </w:rPr>
            </w:pPr>
            <w:r>
              <w:t>Nedskrivningar ska inte ingå i de totala årskostnaderna. Ange detta i article113aDepreciation20152021.</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article113aDepreciation20152021</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nedskrivningar har inkluderats i de totala årskostnader som rapporterats i article113aAnnual20152021. Standardvalet ska vara ”No” (dvs. nedskrivningar har exkluderats).</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article113bl114115Investment20152021</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totala investeringsutgifter (i miljoner euro) för planerade åtgärder enligt artikel 11.3 b–l, 11.4 och 11.5 under den andra planeringscykeln.</w:t>
            </w:r>
          </w:p>
          <w:p w:rsidR="000215C5" w:rsidRDefault="00703023">
            <w:pPr>
              <w:spacing w:after="120"/>
              <w:jc w:val="both"/>
              <w:rPr>
                <w:szCs w:val="24"/>
              </w:rPr>
            </w:pPr>
            <w:r>
              <w:t>Utgifterna ska inte omräknas till årsbasis.</w:t>
            </w:r>
          </w:p>
          <w:p w:rsidR="000215C5" w:rsidRDefault="00703023">
            <w:pPr>
              <w:spacing w:after="120"/>
              <w:jc w:val="both"/>
              <w:rPr>
                <w:szCs w:val="24"/>
              </w:rPr>
            </w:pPr>
            <w:r>
              <w:t>De totala investeringsutgifterna ska t.ex. omfatta utgifter för infrastruktur för reglering av överuttag.</w:t>
            </w:r>
          </w:p>
        </w:tc>
      </w:tr>
      <w:tr w:rsidR="000215C5">
        <w:tc>
          <w:tcPr>
            <w:tcW w:w="9889" w:type="dxa"/>
            <w:shd w:val="clear" w:color="auto" w:fill="auto"/>
          </w:tcPr>
          <w:p w:rsidR="000215C5" w:rsidRDefault="00703023">
            <w:pPr>
              <w:spacing w:after="120"/>
              <w:jc w:val="both"/>
              <w:rPr>
                <w:b/>
                <w:szCs w:val="24"/>
              </w:rPr>
            </w:pPr>
            <w:r>
              <w:rPr>
                <w:b/>
              </w:rPr>
              <w:t>Mallpost</w:t>
            </w:r>
            <w:r>
              <w:t>:</w:t>
            </w:r>
            <w:r>
              <w:rPr>
                <w:b/>
              </w:rPr>
              <w:t xml:space="preserve"> </w:t>
            </w:r>
            <w:r>
              <w:t>article113bl114115Annual20152021</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totala årliga drifts- och underhållskostnader och eventuella andra kostnader (i miljoner euro) för planerade åtgärder enligt artikel 11.3 b–l, 11.4 och 11.5 under den andra planeringscykeln.</w:t>
            </w:r>
          </w:p>
          <w:p w:rsidR="000215C5" w:rsidRDefault="00703023">
            <w:pPr>
              <w:spacing w:after="120"/>
              <w:jc w:val="both"/>
              <w:rPr>
                <w:szCs w:val="24"/>
              </w:rPr>
            </w:pPr>
            <w:r>
              <w:t>De totala årskostnaderna ska vara exklusive alla årliga kostnader för reglering av överuttag.</w:t>
            </w:r>
          </w:p>
          <w:p w:rsidR="000215C5" w:rsidRDefault="00703023">
            <w:pPr>
              <w:spacing w:after="120"/>
              <w:jc w:val="both"/>
              <w:rPr>
                <w:szCs w:val="24"/>
              </w:rPr>
            </w:pPr>
            <w:r>
              <w:t>Nedskrivningar ska inte ingå i de totala årskostnaderna. Ange detta i article113bl114115Depreciation20152021.</w:t>
            </w:r>
          </w:p>
        </w:tc>
      </w:tr>
      <w:tr w:rsidR="000215C5">
        <w:tc>
          <w:tcPr>
            <w:tcW w:w="9889"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article113bl114115Depreciation20152021</w:t>
            </w:r>
          </w:p>
          <w:p w:rsidR="000215C5" w:rsidRPr="008D6A99" w:rsidRDefault="00703023">
            <w:pPr>
              <w:spacing w:after="120"/>
              <w:jc w:val="both"/>
              <w:rPr>
                <w:szCs w:val="24"/>
                <w:lang w:val="en-GB"/>
              </w:rPr>
            </w:pPr>
            <w:r w:rsidRPr="008D6A99">
              <w:rPr>
                <w:b/>
                <w:lang w:val="en-GB"/>
              </w:rPr>
              <w:t xml:space="preserve">Fälttyp/alternativ: </w:t>
            </w:r>
            <w:r w:rsidRPr="008D6A99">
              <w:rPr>
                <w:lang w:val="en-GB"/>
              </w:rP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nedskrivningar är inkluderade i de totala årskostnader som rapporterats i article113bl114115Annual20152021. Standardvalet ska vara ”No” (dvs. nedskrivningar har exkluderats).</w:t>
            </w:r>
          </w:p>
        </w:tc>
      </w:tr>
      <w:tr w:rsidR="000215C5">
        <w:tc>
          <w:tcPr>
            <w:tcW w:w="9889"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costExplanation20152021Reference</w:t>
            </w:r>
          </w:p>
          <w:p w:rsidR="000215C5" w:rsidRPr="008D6A99" w:rsidRDefault="00703023">
            <w:pPr>
              <w:spacing w:after="120"/>
              <w:jc w:val="both"/>
              <w:rPr>
                <w:szCs w:val="24"/>
                <w:lang w:val="en-GB"/>
              </w:rPr>
            </w:pPr>
            <w:r w:rsidRPr="008D6A99">
              <w:rPr>
                <w:b/>
                <w:lang w:val="en-GB"/>
              </w:rPr>
              <w:t xml:space="preserve">Fälttyp/alternativ: </w:t>
            </w:r>
            <w:r w:rsidRPr="008D6A99">
              <w:rPr>
                <w:lang w:val="en-GB"/>
              </w:rP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dokument och avsnitt som innehåller relevant information om hur de kostnader som rapporterats för den andra planeringscykeln har beräknats. . Vägledning om vilka uppgifter som bör ingå i detta dokument ges i avsnitt </w:t>
            </w:r>
            <w:r>
              <w:fldChar w:fldCharType="begin"/>
            </w:r>
            <w:r>
              <w:instrText xml:space="preserve"> REF _Ref389055339 \r \h  \* MERGEFORMAT </w:instrText>
            </w:r>
            <w:r>
              <w:fldChar w:fldCharType="separate"/>
            </w:r>
            <w:r>
              <w:rPr>
                <w:szCs w:val="24"/>
              </w:rPr>
              <w:t>10.3.3.3</w:t>
            </w:r>
            <w:r>
              <w:fldChar w:fldCharType="end"/>
            </w:r>
            <w:r>
              <w:t>.</w:t>
            </w:r>
          </w:p>
        </w:tc>
      </w:tr>
    </w:tbl>
    <w:p w:rsidR="000215C5" w:rsidRDefault="000215C5">
      <w:pPr>
        <w:spacing w:after="0"/>
        <w:jc w:val="both"/>
        <w:rPr>
          <w:vanish/>
        </w:rPr>
      </w:pPr>
    </w:p>
    <w:p w:rsidR="000215C5" w:rsidRDefault="000215C5">
      <w:pPr>
        <w:spacing w:after="0"/>
        <w:jc w:val="both"/>
        <w:rPr>
          <w:vanish/>
        </w:rPr>
      </w:pPr>
    </w:p>
    <w:p w:rsidR="000215C5" w:rsidRDefault="000215C5">
      <w:pPr>
        <w:jc w:val="both"/>
        <w:rPr>
          <w:b/>
          <w:bCs/>
        </w:rPr>
      </w:pPr>
    </w:p>
    <w:p w:rsidR="000215C5" w:rsidRDefault="00703023" w:rsidP="00030A8A">
      <w:pPr>
        <w:keepNext/>
        <w:jc w:val="both"/>
        <w:rPr>
          <w:b/>
        </w:rPr>
      </w:pPr>
      <w:r>
        <w:rPr>
          <w:b/>
        </w:rPr>
        <w:t>Finansiering av åtgärder</w:t>
      </w:r>
    </w:p>
    <w:p w:rsidR="000215C5" w:rsidRDefault="00703023" w:rsidP="00030A8A">
      <w:pPr>
        <w:keepNext/>
        <w:jc w:val="both"/>
      </w:pPr>
      <w:r>
        <w:t>Medlemsstaternas åtgärdsprogram innehåller olika instrument (rättsliga, administrativa, tekniska, infrastruktur, utbildning m.m.) och kan finansieras på olika sätt. När det gäller finansieringen av åtgärdsprogrammen förväntas de offentliga budgetarna täcka en del av kostnaden för åtgärderna, men även privata aktörer förväntas bidra med medel (t.ex. genom bestämmelser om kostnadstäckning). EU-medel, t.ex. medel från strukturfonderna, Sammanhållningsfonden eller enligt den gemensamma jordbrukspolitiken, kan också bidra till finansieringen av vissa åtgärder.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215C5">
        <w:tc>
          <w:tcPr>
            <w:tcW w:w="9889" w:type="dxa"/>
            <w:shd w:val="clear" w:color="auto" w:fill="auto"/>
          </w:tcPr>
          <w:p w:rsidR="000215C5" w:rsidRDefault="00703023">
            <w:pPr>
              <w:spacing w:after="120"/>
              <w:jc w:val="both"/>
              <w:rPr>
                <w:b/>
              </w:rPr>
            </w:pPr>
            <w:r>
              <w:rPr>
                <w:b/>
              </w:rPr>
              <w:t>Mall: RBMPPoM (fortsättning)</w:t>
            </w:r>
          </w:p>
        </w:tc>
      </w:tr>
      <w:tr w:rsidR="000215C5">
        <w:tc>
          <w:tcPr>
            <w:tcW w:w="9889" w:type="dxa"/>
            <w:shd w:val="clear" w:color="auto" w:fill="auto"/>
          </w:tcPr>
          <w:p w:rsidR="000215C5" w:rsidRDefault="00703023">
            <w:pPr>
              <w:spacing w:after="120"/>
              <w:jc w:val="both"/>
              <w:rPr>
                <w:b/>
                <w:i/>
                <w:szCs w:val="24"/>
              </w:rPr>
            </w:pPr>
            <w:r>
              <w:rPr>
                <w:b/>
                <w:i/>
              </w:rPr>
              <w:t>Klass: Kostnader</w:t>
            </w:r>
          </w:p>
          <w:p w:rsidR="000215C5" w:rsidRDefault="00703023">
            <w:pPr>
              <w:spacing w:after="120"/>
              <w:jc w:val="both"/>
              <w:rPr>
                <w:b/>
              </w:rPr>
            </w:pPr>
            <w:r>
              <w:rPr>
                <w:b/>
                <w:i/>
              </w:rPr>
              <w:t xml:space="preserve">Egenskaper: </w:t>
            </w:r>
            <w:r>
              <w:rPr>
                <w:i/>
              </w:rPr>
              <w:t>maxOccurs = 1 minOccurs = 1</w:t>
            </w:r>
          </w:p>
        </w:tc>
      </w:tr>
      <w:tr w:rsidR="000215C5">
        <w:tc>
          <w:tcPr>
            <w:tcW w:w="9889" w:type="dxa"/>
            <w:shd w:val="clear" w:color="auto" w:fill="auto"/>
          </w:tcPr>
          <w:p w:rsidR="000215C5" w:rsidRDefault="00703023">
            <w:pPr>
              <w:spacing w:after="120"/>
              <w:jc w:val="both"/>
              <w:rPr>
                <w:b/>
              </w:rPr>
            </w:pPr>
            <w:r>
              <w:rPr>
                <w:b/>
              </w:rPr>
              <w:t>Mallpost</w:t>
            </w:r>
            <w:r>
              <w:t>: euFunds20092015</w:t>
            </w:r>
          </w:p>
          <w:p w:rsidR="000215C5" w:rsidRDefault="00703023">
            <w:pPr>
              <w:spacing w:after="120"/>
              <w:jc w:val="both"/>
            </w:pPr>
            <w:r>
              <w:rPr>
                <w:b/>
              </w:rPr>
              <w:t xml:space="preserve">Fälttyp/alternativ: </w:t>
            </w:r>
            <w:r>
              <w:t>String25Type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pPr>
            <w:r>
              <w:rPr>
                <w:b/>
              </w:rPr>
              <w:t>Vägledning om hur man fyller i mallposten</w:t>
            </w:r>
            <w:r>
              <w:t xml:space="preserve">: Krävs. Ange de totala investeringsutgifter för åtgärdsprogrammet för den första planeringscykeln som finansierades med EU-medel som en uppskattad kostnad eller ett intervall. </w:t>
            </w:r>
          </w:p>
        </w:tc>
      </w:tr>
      <w:tr w:rsidR="000215C5">
        <w:tc>
          <w:tcPr>
            <w:tcW w:w="9889" w:type="dxa"/>
            <w:shd w:val="clear" w:color="auto" w:fill="auto"/>
          </w:tcPr>
          <w:p w:rsidR="000215C5" w:rsidRDefault="00703023">
            <w:pPr>
              <w:spacing w:after="120"/>
              <w:jc w:val="both"/>
              <w:rPr>
                <w:b/>
              </w:rPr>
            </w:pPr>
            <w:r>
              <w:rPr>
                <w:b/>
              </w:rPr>
              <w:t>Mallpost</w:t>
            </w:r>
            <w:r>
              <w:t>:</w:t>
            </w:r>
            <w:r>
              <w:rPr>
                <w:b/>
              </w:rPr>
              <w:t xml:space="preserve"> </w:t>
            </w:r>
            <w:r>
              <w:t>euFunds20152021</w:t>
            </w:r>
          </w:p>
          <w:p w:rsidR="000215C5" w:rsidRDefault="00703023">
            <w:pPr>
              <w:spacing w:after="120"/>
              <w:jc w:val="both"/>
            </w:pPr>
            <w:r>
              <w:rPr>
                <w:b/>
              </w:rPr>
              <w:t xml:space="preserve">Fälttyp/alternativ: </w:t>
            </w:r>
            <w:r>
              <w:t>String25Type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pPr>
            <w:r>
              <w:rPr>
                <w:b/>
              </w:rPr>
              <w:t>Vägledning om hur man fyller i mallposten</w:t>
            </w:r>
            <w:r>
              <w:t>: Krävs. Ange de uppskattade totala investeringsutgifter för åtgärdsprogrammet för den andra planeringscykeln som förväntas finansieras med EU-medel som en uppskattad kostnad eller ett intervall.</w:t>
            </w:r>
          </w:p>
        </w:tc>
      </w:tr>
    </w:tbl>
    <w:p w:rsidR="000215C5" w:rsidRDefault="000215C5">
      <w:pPr>
        <w:jc w:val="both"/>
        <w:rPr>
          <w:b/>
          <w:bCs/>
        </w:rPr>
      </w:pPr>
    </w:p>
    <w:p w:rsidR="000215C5" w:rsidRDefault="00703023">
      <w:pPr>
        <w:pStyle w:val="Rubrik4"/>
      </w:pPr>
      <w:bookmarkStart w:id="769" w:name="_Ref389055339"/>
      <w:r>
        <w:t>Vägledning om innehållet i förvaltningsplanerna för avrinningsdistrikt/bakgrundsdokument</w:t>
      </w:r>
      <w:bookmarkEnd w:id="769"/>
    </w:p>
    <w:p w:rsidR="000215C5" w:rsidRDefault="00703023">
      <w:pPr>
        <w:jc w:val="both"/>
      </w:pPr>
      <w:r>
        <w:t>Nedan ges vägledning om de uppgifter som kommissionen förväntar sig att medlemsstaterna lämnar i de relevanta kapitlen om kostnader för åtgärder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pPr>
      <w:r>
        <w:t>Förvaltningsplanen och bakgrundsdokumenten måste innehålla förklaringar om hur åtgärdskostnaderna har beräknats. Detta ska omfatta följande:</w:t>
      </w:r>
    </w:p>
    <w:p w:rsidR="000215C5" w:rsidRDefault="00703023">
      <w:pPr>
        <w:numPr>
          <w:ilvl w:val="0"/>
          <w:numId w:val="49"/>
        </w:numPr>
        <w:jc w:val="both"/>
      </w:pPr>
      <w:r>
        <w:t>Beräkningsmetoder för kostnadsbedömning.</w:t>
      </w:r>
    </w:p>
    <w:p w:rsidR="000215C5" w:rsidRDefault="00703023">
      <w:pPr>
        <w:numPr>
          <w:ilvl w:val="0"/>
          <w:numId w:val="49"/>
        </w:numPr>
        <w:jc w:val="both"/>
      </w:pPr>
      <w:r>
        <w:t>Inkluderade eller exkluderade kostnader.</w:t>
      </w:r>
    </w:p>
    <w:p w:rsidR="000215C5" w:rsidRDefault="00703023">
      <w:pPr>
        <w:numPr>
          <w:ilvl w:val="0"/>
          <w:numId w:val="49"/>
        </w:numPr>
        <w:jc w:val="both"/>
      </w:pPr>
      <w:r>
        <w:t>Huruvida de beräknade kostnaderna endast inkluderar den offentliga budgeten eller om privata aktörers kostnader också är medräknade.</w:t>
      </w:r>
    </w:p>
    <w:p w:rsidR="000215C5" w:rsidRDefault="00703023">
      <w:pPr>
        <w:numPr>
          <w:ilvl w:val="0"/>
          <w:numId w:val="49"/>
        </w:numPr>
        <w:jc w:val="both"/>
      </w:pPr>
      <w:r>
        <w:t>Styrkande förklaring av faktorer som påverkar åtgärdskostnaderna.</w:t>
      </w:r>
    </w:p>
    <w:p w:rsidR="000215C5" w:rsidRDefault="00703023">
      <w:pPr>
        <w:numPr>
          <w:ilvl w:val="0"/>
          <w:numId w:val="49"/>
        </w:numPr>
        <w:jc w:val="both"/>
      </w:pPr>
      <w:r>
        <w:t xml:space="preserve">Om tillgängligt, en hänvisning eller ett dokument med en beskrivning av uppskattningen av den andel kostnader för åtgärdsprogrammet 2015–2021 som rör åtgärder från åtgärdsplanen 2009–2015 som inte kunde genomföras och som har överförts till åtgärdsplanen 2015–2021 samt förklaringar av de faktorer som har gett upphov till denna situation, generellt och även för specifika sektorer (se bilaga VII.B.3 i vattendirektivet). </w:t>
      </w:r>
    </w:p>
    <w:p w:rsidR="000215C5" w:rsidRDefault="00703023">
      <w:pPr>
        <w:numPr>
          <w:ilvl w:val="0"/>
          <w:numId w:val="49"/>
        </w:numPr>
        <w:jc w:val="both"/>
      </w:pPr>
      <w:r>
        <w:t>Prognoser för investeringsutgifterna för den tredje planeringscykeln 2021–2027 ska tas med om sådana uppgifter finns tillgängliga.</w:t>
      </w:r>
    </w:p>
    <w:p w:rsidR="000215C5" w:rsidRDefault="00703023">
      <w:pPr>
        <w:pStyle w:val="Rubrik2"/>
        <w:jc w:val="both"/>
      </w:pPr>
      <w:bookmarkStart w:id="770" w:name="_Toc400669596"/>
      <w:bookmarkStart w:id="771" w:name="_Toc400670062"/>
      <w:bookmarkStart w:id="772" w:name="_Toc400670400"/>
      <w:bookmarkStart w:id="773" w:name="_Toc400670734"/>
      <w:bookmarkStart w:id="774" w:name="_Toc400671042"/>
      <w:bookmarkStart w:id="775" w:name="_Toc400671346"/>
      <w:bookmarkStart w:id="776" w:name="_Toc400671651"/>
      <w:bookmarkStart w:id="777" w:name="_Toc400671945"/>
      <w:bookmarkStart w:id="778" w:name="_Toc400720391"/>
      <w:bookmarkStart w:id="779" w:name="_Toc375220131"/>
      <w:bookmarkStart w:id="780" w:name="_Toc381689463"/>
      <w:bookmarkStart w:id="781" w:name="_Toc386464258"/>
      <w:bookmarkStart w:id="782" w:name="_Toc388280367"/>
      <w:bookmarkStart w:id="783" w:name="_Toc425522085"/>
      <w:bookmarkStart w:id="784" w:name="_Toc432666097"/>
      <w:bookmarkStart w:id="785" w:name="_Toc437520293"/>
      <w:bookmarkEnd w:id="770"/>
      <w:bookmarkEnd w:id="771"/>
      <w:bookmarkEnd w:id="772"/>
      <w:bookmarkEnd w:id="773"/>
      <w:bookmarkEnd w:id="774"/>
      <w:bookmarkEnd w:id="775"/>
      <w:bookmarkEnd w:id="776"/>
      <w:bookmarkEnd w:id="777"/>
      <w:bookmarkEnd w:id="778"/>
      <w:r>
        <w:t>Samordning av åtgärder i internationella avrinningsdistrikt</w:t>
      </w:r>
      <w:bookmarkEnd w:id="779"/>
      <w:bookmarkEnd w:id="780"/>
      <w:bookmarkEnd w:id="781"/>
      <w:bookmarkEnd w:id="782"/>
      <w:bookmarkEnd w:id="783"/>
      <w:bookmarkEnd w:id="784"/>
      <w:bookmarkEnd w:id="785"/>
    </w:p>
    <w:p w:rsidR="000215C5" w:rsidRDefault="00703023">
      <w:pPr>
        <w:pStyle w:val="Rubrik3"/>
      </w:pPr>
      <w:bookmarkStart w:id="786" w:name="_Toc388280368"/>
      <w:r>
        <w:t>Inledning</w:t>
      </w:r>
      <w:bookmarkEnd w:id="786"/>
    </w:p>
    <w:p w:rsidR="000215C5" w:rsidRDefault="00703023">
      <w:pPr>
        <w:jc w:val="both"/>
      </w:pPr>
      <w:r>
        <w:t>Enligt vattendirektivet ska åtgärdsprogram i gränsöverskridande avrinningsdistrikt samordnas.</w:t>
      </w:r>
    </w:p>
    <w:p w:rsidR="000215C5" w:rsidRDefault="00703023">
      <w:pPr>
        <w:pStyle w:val="Rubrik3"/>
      </w:pPr>
      <w:bookmarkStart w:id="787" w:name="_Toc388280369"/>
      <w:r>
        <w:t>Hur kommer kommissionen och Europeiska miljöbyrån att använda den rapporterade informationen</w:t>
      </w:r>
      <w:bookmarkEnd w:id="787"/>
      <w:r>
        <w:t>?</w:t>
      </w:r>
    </w:p>
    <w:p w:rsidR="000215C5" w:rsidRDefault="00703023">
      <w:pPr>
        <w:jc w:val="both"/>
      </w:pPr>
      <w:r>
        <w:t>Kommissionen kommer att bedöma huruvida åtgärdsplanerna har samordnats tillräckligt i gränsöverskridande avrinningsdistrikt. På EU-nivå kommer statistik och information att lämnas till Europaparlamentet. Allmänheten kommer att få tillgång till informationen via Wise.</w:t>
      </w:r>
    </w:p>
    <w:p w:rsidR="000215C5" w:rsidRDefault="00703023">
      <w:pPr>
        <w:pStyle w:val="Rubrik4"/>
      </w:pPr>
      <w:r>
        <w:t>Produkter från rapporteringen</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545"/>
        <w:gridCol w:w="1080"/>
        <w:gridCol w:w="1440"/>
        <w:gridCol w:w="1839"/>
        <w:gridCol w:w="1908"/>
        <w:gridCol w:w="1625"/>
      </w:tblGrid>
      <w:tr w:rsidR="000215C5" w:rsidTr="009C1A7E">
        <w:trPr>
          <w:cantSplit/>
          <w:tblHeader/>
        </w:trPr>
        <w:tc>
          <w:tcPr>
            <w:tcW w:w="453" w:type="dxa"/>
            <w:shd w:val="clear" w:color="auto" w:fill="auto"/>
          </w:tcPr>
          <w:p w:rsidR="000215C5" w:rsidRDefault="00703023">
            <w:pPr>
              <w:jc w:val="both"/>
              <w:rPr>
                <w:b/>
                <w:sz w:val="18"/>
                <w:szCs w:val="18"/>
              </w:rPr>
            </w:pPr>
            <w:r>
              <w:rPr>
                <w:b/>
                <w:sz w:val="18"/>
              </w:rPr>
              <w:t>Nb</w:t>
            </w:r>
          </w:p>
        </w:tc>
        <w:tc>
          <w:tcPr>
            <w:tcW w:w="1545" w:type="dxa"/>
            <w:shd w:val="clear" w:color="auto" w:fill="auto"/>
          </w:tcPr>
          <w:p w:rsidR="000215C5" w:rsidRDefault="00703023">
            <w:pPr>
              <w:jc w:val="both"/>
              <w:rPr>
                <w:b/>
                <w:sz w:val="18"/>
                <w:szCs w:val="18"/>
              </w:rPr>
            </w:pPr>
            <w:r>
              <w:rPr>
                <w:b/>
                <w:sz w:val="18"/>
              </w:rPr>
              <w:t>Produktens namn</w:t>
            </w:r>
          </w:p>
        </w:tc>
        <w:tc>
          <w:tcPr>
            <w:tcW w:w="1080" w:type="dxa"/>
            <w:shd w:val="clear" w:color="auto" w:fill="auto"/>
          </w:tcPr>
          <w:p w:rsidR="000215C5" w:rsidRDefault="00703023">
            <w:pPr>
              <w:jc w:val="both"/>
              <w:rPr>
                <w:b/>
                <w:sz w:val="18"/>
                <w:szCs w:val="18"/>
              </w:rPr>
            </w:pPr>
            <w:r>
              <w:rPr>
                <w:b/>
                <w:sz w:val="18"/>
              </w:rPr>
              <w:t>Produkttyp</w:t>
            </w:r>
          </w:p>
        </w:tc>
        <w:tc>
          <w:tcPr>
            <w:tcW w:w="1440" w:type="dxa"/>
            <w:shd w:val="clear" w:color="auto" w:fill="auto"/>
          </w:tcPr>
          <w:p w:rsidR="000215C5" w:rsidRDefault="00703023">
            <w:pPr>
              <w:jc w:val="both"/>
              <w:rPr>
                <w:b/>
                <w:sz w:val="18"/>
                <w:szCs w:val="18"/>
              </w:rPr>
            </w:pPr>
            <w:r>
              <w:rPr>
                <w:b/>
                <w:sz w:val="18"/>
              </w:rPr>
              <w:t>Informationsnivå*</w:t>
            </w:r>
          </w:p>
        </w:tc>
        <w:tc>
          <w:tcPr>
            <w:tcW w:w="1839" w:type="dxa"/>
            <w:shd w:val="clear" w:color="auto" w:fill="auto"/>
          </w:tcPr>
          <w:p w:rsidR="000215C5" w:rsidRDefault="00703023">
            <w:pPr>
              <w:jc w:val="both"/>
              <w:rPr>
                <w:b/>
                <w:sz w:val="18"/>
                <w:szCs w:val="18"/>
              </w:rPr>
            </w:pPr>
            <w:r>
              <w:rPr>
                <w:b/>
                <w:sz w:val="18"/>
              </w:rPr>
              <w:t>Detaljerad information visas</w:t>
            </w:r>
          </w:p>
        </w:tc>
        <w:tc>
          <w:tcPr>
            <w:tcW w:w="1908" w:type="dxa"/>
            <w:shd w:val="clear" w:color="auto" w:fill="auto"/>
          </w:tcPr>
          <w:p w:rsidR="000215C5" w:rsidRDefault="00703023">
            <w:pPr>
              <w:jc w:val="both"/>
              <w:rPr>
                <w:b/>
                <w:sz w:val="18"/>
                <w:szCs w:val="18"/>
              </w:rPr>
            </w:pPr>
            <w:r>
              <w:rPr>
                <w:b/>
                <w:sz w:val="18"/>
              </w:rPr>
              <w:t>Källa till detaljerad information samt aggregationsregeln</w:t>
            </w:r>
          </w:p>
        </w:tc>
        <w:tc>
          <w:tcPr>
            <w:tcW w:w="1625" w:type="dxa"/>
            <w:shd w:val="clear" w:color="auto" w:fill="auto"/>
          </w:tcPr>
          <w:p w:rsidR="000215C5" w:rsidRDefault="00703023">
            <w:pPr>
              <w:jc w:val="both"/>
              <w:rPr>
                <w:b/>
                <w:sz w:val="18"/>
                <w:szCs w:val="18"/>
              </w:rPr>
            </w:pPr>
            <w:r>
              <w:rPr>
                <w:b/>
                <w:sz w:val="18"/>
              </w:rPr>
              <w:t>Har informationen använts i rapporterna för 2012?*</w:t>
            </w:r>
          </w:p>
        </w:tc>
      </w:tr>
      <w:tr w:rsidR="000215C5" w:rsidTr="009C1A7E">
        <w:trPr>
          <w:cantSplit/>
          <w:tblHeader/>
        </w:trPr>
        <w:tc>
          <w:tcPr>
            <w:tcW w:w="453" w:type="dxa"/>
            <w:shd w:val="clear" w:color="auto" w:fill="auto"/>
          </w:tcPr>
          <w:p w:rsidR="000215C5" w:rsidRDefault="00703023">
            <w:pPr>
              <w:jc w:val="both"/>
              <w:rPr>
                <w:sz w:val="18"/>
                <w:szCs w:val="18"/>
              </w:rPr>
            </w:pPr>
            <w:r>
              <w:rPr>
                <w:sz w:val="18"/>
              </w:rPr>
              <w:t>1</w:t>
            </w:r>
          </w:p>
        </w:tc>
        <w:tc>
          <w:tcPr>
            <w:tcW w:w="1545" w:type="dxa"/>
            <w:shd w:val="clear" w:color="auto" w:fill="auto"/>
          </w:tcPr>
          <w:p w:rsidR="000215C5" w:rsidRDefault="00703023">
            <w:pPr>
              <w:jc w:val="both"/>
              <w:rPr>
                <w:sz w:val="18"/>
                <w:szCs w:val="18"/>
              </w:rPr>
            </w:pPr>
            <w:r>
              <w:rPr>
                <w:sz w:val="18"/>
              </w:rPr>
              <w:t>Grad av samordning av åtgärds</w:t>
            </w:r>
            <w:r w:rsidR="00CB7B77">
              <w:rPr>
                <w:sz w:val="18"/>
              </w:rPr>
              <w:t>-</w:t>
            </w:r>
            <w:r>
              <w:rPr>
                <w:sz w:val="18"/>
              </w:rPr>
              <w:t>programmen i internationella avrinningsdistrikt.</w:t>
            </w:r>
          </w:p>
        </w:tc>
        <w:tc>
          <w:tcPr>
            <w:tcW w:w="1080" w:type="dxa"/>
            <w:shd w:val="clear" w:color="auto" w:fill="auto"/>
          </w:tcPr>
          <w:p w:rsidR="000215C5" w:rsidRDefault="00703023">
            <w:pPr>
              <w:jc w:val="both"/>
              <w:rPr>
                <w:sz w:val="18"/>
                <w:szCs w:val="18"/>
              </w:rPr>
            </w:pPr>
            <w:r>
              <w:rPr>
                <w:sz w:val="18"/>
              </w:rPr>
              <w:t>Diagram, tabell eller karta</w:t>
            </w:r>
          </w:p>
        </w:tc>
        <w:tc>
          <w:tcPr>
            <w:tcW w:w="1440" w:type="dxa"/>
            <w:shd w:val="clear" w:color="auto" w:fill="auto"/>
          </w:tcPr>
          <w:p w:rsidR="000215C5" w:rsidRDefault="00703023">
            <w:pPr>
              <w:jc w:val="both"/>
              <w:rPr>
                <w:sz w:val="18"/>
                <w:szCs w:val="18"/>
              </w:rPr>
            </w:pPr>
            <w:r>
              <w:rPr>
                <w:sz w:val="18"/>
              </w:rPr>
              <w:t>EU/MS/RBD/</w:t>
            </w:r>
            <w:r w:rsidR="00CB7B77">
              <w:rPr>
                <w:sz w:val="18"/>
              </w:rPr>
              <w:t xml:space="preserve"> </w:t>
            </w:r>
            <w:r>
              <w:rPr>
                <w:sz w:val="18"/>
              </w:rPr>
              <w:t>IRBD</w:t>
            </w:r>
          </w:p>
        </w:tc>
        <w:tc>
          <w:tcPr>
            <w:tcW w:w="1839" w:type="dxa"/>
            <w:shd w:val="clear" w:color="auto" w:fill="auto"/>
          </w:tcPr>
          <w:p w:rsidR="000215C5" w:rsidRDefault="000215C5">
            <w:pPr>
              <w:jc w:val="both"/>
              <w:rPr>
                <w:sz w:val="18"/>
                <w:szCs w:val="18"/>
              </w:rPr>
            </w:pPr>
          </w:p>
        </w:tc>
        <w:tc>
          <w:tcPr>
            <w:tcW w:w="1908" w:type="dxa"/>
            <w:shd w:val="clear" w:color="auto" w:fill="auto"/>
          </w:tcPr>
          <w:p w:rsidR="000215C5" w:rsidRPr="001B279E" w:rsidRDefault="00703023">
            <w:pPr>
              <w:jc w:val="both"/>
              <w:rPr>
                <w:sz w:val="18"/>
                <w:szCs w:val="18"/>
              </w:rPr>
            </w:pPr>
            <w:r w:rsidRPr="001B279E">
              <w:rPr>
                <w:sz w:val="18"/>
              </w:rPr>
              <w:t>Information rapporterad på nivån för avrinnings</w:t>
            </w:r>
            <w:r w:rsidR="001B279E" w:rsidRPr="001B279E">
              <w:rPr>
                <w:sz w:val="18"/>
              </w:rPr>
              <w:t>-</w:t>
            </w:r>
            <w:r w:rsidRPr="001B279E">
              <w:rPr>
                <w:sz w:val="18"/>
              </w:rPr>
              <w:t>distrikt/internationellt avrinningsdistrikt.</w:t>
            </w:r>
          </w:p>
        </w:tc>
        <w:tc>
          <w:tcPr>
            <w:tcW w:w="1625" w:type="dxa"/>
            <w:shd w:val="clear" w:color="auto" w:fill="auto"/>
          </w:tcPr>
          <w:p w:rsidR="000215C5" w:rsidRDefault="00703023">
            <w:pPr>
              <w:jc w:val="both"/>
              <w:rPr>
                <w:sz w:val="18"/>
                <w:szCs w:val="18"/>
              </w:rPr>
            </w:pPr>
            <w:r>
              <w:rPr>
                <w:sz w:val="18"/>
              </w:rPr>
              <w:t>Ja</w:t>
            </w:r>
          </w:p>
        </w:tc>
      </w:tr>
      <w:tr w:rsidR="000215C5" w:rsidTr="009C1A7E">
        <w:trPr>
          <w:cantSplit/>
          <w:tblHeader/>
        </w:trPr>
        <w:tc>
          <w:tcPr>
            <w:tcW w:w="453" w:type="dxa"/>
            <w:shd w:val="clear" w:color="auto" w:fill="auto"/>
          </w:tcPr>
          <w:p w:rsidR="000215C5" w:rsidRDefault="00703023">
            <w:pPr>
              <w:jc w:val="both"/>
              <w:rPr>
                <w:sz w:val="18"/>
                <w:szCs w:val="18"/>
              </w:rPr>
            </w:pPr>
            <w:r>
              <w:rPr>
                <w:sz w:val="18"/>
              </w:rPr>
              <w:t>2</w:t>
            </w:r>
          </w:p>
        </w:tc>
        <w:tc>
          <w:tcPr>
            <w:tcW w:w="1545" w:type="dxa"/>
            <w:shd w:val="clear" w:color="auto" w:fill="auto"/>
          </w:tcPr>
          <w:p w:rsidR="000215C5" w:rsidRDefault="00703023">
            <w:pPr>
              <w:jc w:val="both"/>
              <w:rPr>
                <w:sz w:val="18"/>
                <w:szCs w:val="18"/>
              </w:rPr>
            </w:pPr>
            <w:r>
              <w:rPr>
                <w:sz w:val="18"/>
              </w:rPr>
              <w:t>Antal samordnade åtgärder för att hantera floders kontinuitet samt minskning av föroreningar av näringsämnen och kemiska ämnen i varje internationellt avrinningsdistrikt.</w:t>
            </w:r>
          </w:p>
        </w:tc>
        <w:tc>
          <w:tcPr>
            <w:tcW w:w="1080" w:type="dxa"/>
            <w:shd w:val="clear" w:color="auto" w:fill="auto"/>
          </w:tcPr>
          <w:p w:rsidR="000215C5" w:rsidRDefault="00703023">
            <w:pPr>
              <w:jc w:val="both"/>
              <w:rPr>
                <w:sz w:val="18"/>
                <w:szCs w:val="18"/>
              </w:rPr>
            </w:pPr>
            <w:r>
              <w:rPr>
                <w:sz w:val="18"/>
              </w:rPr>
              <w:t>Diagram eller tabell</w:t>
            </w:r>
          </w:p>
        </w:tc>
        <w:tc>
          <w:tcPr>
            <w:tcW w:w="1440" w:type="dxa"/>
            <w:shd w:val="clear" w:color="auto" w:fill="auto"/>
          </w:tcPr>
          <w:p w:rsidR="000215C5" w:rsidRDefault="00703023">
            <w:pPr>
              <w:jc w:val="both"/>
              <w:rPr>
                <w:sz w:val="18"/>
                <w:szCs w:val="18"/>
              </w:rPr>
            </w:pPr>
            <w:r>
              <w:rPr>
                <w:sz w:val="18"/>
              </w:rPr>
              <w:t>EU/MS/RBD/</w:t>
            </w:r>
            <w:r w:rsidR="00CB7B77">
              <w:rPr>
                <w:sz w:val="18"/>
              </w:rPr>
              <w:t xml:space="preserve"> </w:t>
            </w:r>
            <w:r>
              <w:rPr>
                <w:sz w:val="18"/>
              </w:rPr>
              <w:t>IRBD</w:t>
            </w:r>
          </w:p>
        </w:tc>
        <w:tc>
          <w:tcPr>
            <w:tcW w:w="1839" w:type="dxa"/>
            <w:shd w:val="clear" w:color="auto" w:fill="auto"/>
          </w:tcPr>
          <w:p w:rsidR="000215C5" w:rsidRDefault="000215C5">
            <w:pPr>
              <w:jc w:val="both"/>
              <w:rPr>
                <w:sz w:val="18"/>
                <w:szCs w:val="18"/>
              </w:rPr>
            </w:pPr>
          </w:p>
        </w:tc>
        <w:tc>
          <w:tcPr>
            <w:tcW w:w="1908" w:type="dxa"/>
            <w:shd w:val="clear" w:color="auto" w:fill="auto"/>
          </w:tcPr>
          <w:p w:rsidR="000215C5" w:rsidRPr="001B279E" w:rsidRDefault="00703023">
            <w:pPr>
              <w:jc w:val="both"/>
              <w:rPr>
                <w:sz w:val="18"/>
              </w:rPr>
            </w:pPr>
            <w:r w:rsidRPr="001B279E">
              <w:rPr>
                <w:sz w:val="18"/>
              </w:rPr>
              <w:t>Information rapporterad på nivån för avrinnings</w:t>
            </w:r>
            <w:r w:rsidR="001B279E" w:rsidRPr="001B279E">
              <w:rPr>
                <w:sz w:val="18"/>
              </w:rPr>
              <w:t>-</w:t>
            </w:r>
            <w:r w:rsidRPr="001B279E">
              <w:rPr>
                <w:sz w:val="18"/>
              </w:rPr>
              <w:t>distrikt/internationellt avrinningsdistrikt.</w:t>
            </w:r>
          </w:p>
        </w:tc>
        <w:tc>
          <w:tcPr>
            <w:tcW w:w="1625" w:type="dxa"/>
            <w:shd w:val="clear" w:color="auto" w:fill="auto"/>
          </w:tcPr>
          <w:p w:rsidR="000215C5" w:rsidRDefault="00703023">
            <w:pPr>
              <w:jc w:val="both"/>
              <w:rPr>
                <w:sz w:val="18"/>
                <w:szCs w:val="18"/>
              </w:rPr>
            </w:pPr>
            <w:r>
              <w:rPr>
                <w:sz w:val="18"/>
              </w:rPr>
              <w:t>Nej</w:t>
            </w:r>
          </w:p>
        </w:tc>
      </w:tr>
      <w:tr w:rsidR="000215C5" w:rsidTr="009C1A7E">
        <w:trPr>
          <w:cantSplit/>
          <w:tblHeader/>
        </w:trPr>
        <w:tc>
          <w:tcPr>
            <w:tcW w:w="453" w:type="dxa"/>
            <w:shd w:val="clear" w:color="auto" w:fill="auto"/>
          </w:tcPr>
          <w:p w:rsidR="000215C5" w:rsidRDefault="00703023">
            <w:pPr>
              <w:jc w:val="both"/>
              <w:rPr>
                <w:sz w:val="18"/>
                <w:szCs w:val="18"/>
              </w:rPr>
            </w:pPr>
            <w:r>
              <w:rPr>
                <w:sz w:val="18"/>
              </w:rPr>
              <w:t>3</w:t>
            </w:r>
          </w:p>
        </w:tc>
        <w:tc>
          <w:tcPr>
            <w:tcW w:w="1545" w:type="dxa"/>
            <w:shd w:val="clear" w:color="auto" w:fill="auto"/>
          </w:tcPr>
          <w:p w:rsidR="000215C5" w:rsidRDefault="00703023">
            <w:pPr>
              <w:jc w:val="both"/>
              <w:rPr>
                <w:sz w:val="18"/>
                <w:szCs w:val="18"/>
              </w:rPr>
            </w:pPr>
            <w:r>
              <w:rPr>
                <w:sz w:val="18"/>
              </w:rPr>
              <w:t>Antal specifika centrala verksamheter som samordnats, delvis samordnats, inte samordnats eller inte anges i varje internationellt avrinningsdistrikt.</w:t>
            </w:r>
          </w:p>
        </w:tc>
        <w:tc>
          <w:tcPr>
            <w:tcW w:w="1080" w:type="dxa"/>
            <w:shd w:val="clear" w:color="auto" w:fill="auto"/>
          </w:tcPr>
          <w:p w:rsidR="000215C5" w:rsidRDefault="00703023">
            <w:pPr>
              <w:jc w:val="both"/>
              <w:rPr>
                <w:sz w:val="18"/>
                <w:szCs w:val="18"/>
              </w:rPr>
            </w:pPr>
            <w:r>
              <w:rPr>
                <w:sz w:val="18"/>
              </w:rPr>
              <w:t>Diagram eller tabell</w:t>
            </w:r>
          </w:p>
        </w:tc>
        <w:tc>
          <w:tcPr>
            <w:tcW w:w="1440" w:type="dxa"/>
            <w:shd w:val="clear" w:color="auto" w:fill="auto"/>
          </w:tcPr>
          <w:p w:rsidR="000215C5" w:rsidRDefault="00703023">
            <w:pPr>
              <w:jc w:val="both"/>
              <w:rPr>
                <w:sz w:val="18"/>
                <w:szCs w:val="18"/>
              </w:rPr>
            </w:pPr>
            <w:r>
              <w:rPr>
                <w:sz w:val="18"/>
              </w:rPr>
              <w:t>Diagram eller tabell</w:t>
            </w:r>
          </w:p>
        </w:tc>
        <w:tc>
          <w:tcPr>
            <w:tcW w:w="1839" w:type="dxa"/>
            <w:shd w:val="clear" w:color="auto" w:fill="auto"/>
          </w:tcPr>
          <w:p w:rsidR="000215C5" w:rsidRDefault="000215C5">
            <w:pPr>
              <w:jc w:val="both"/>
              <w:rPr>
                <w:sz w:val="18"/>
                <w:szCs w:val="18"/>
              </w:rPr>
            </w:pPr>
          </w:p>
        </w:tc>
        <w:tc>
          <w:tcPr>
            <w:tcW w:w="1908" w:type="dxa"/>
            <w:shd w:val="clear" w:color="auto" w:fill="auto"/>
          </w:tcPr>
          <w:p w:rsidR="000215C5" w:rsidRDefault="00703023">
            <w:pPr>
              <w:jc w:val="both"/>
              <w:rPr>
                <w:sz w:val="18"/>
                <w:szCs w:val="18"/>
              </w:rPr>
            </w:pPr>
            <w:r>
              <w:rPr>
                <w:sz w:val="18"/>
              </w:rPr>
              <w:t xml:space="preserve">Information rapporterad på nivån för </w:t>
            </w:r>
            <w:r w:rsidRPr="001B279E">
              <w:rPr>
                <w:sz w:val="18"/>
              </w:rPr>
              <w:t>avrinnings</w:t>
            </w:r>
            <w:r w:rsidR="001B279E" w:rsidRPr="001B279E">
              <w:rPr>
                <w:sz w:val="18"/>
              </w:rPr>
              <w:t>-</w:t>
            </w:r>
            <w:r w:rsidRPr="001B279E">
              <w:rPr>
                <w:sz w:val="18"/>
              </w:rPr>
              <w:t>distrikt/internationellt avrinningsdistrikt</w:t>
            </w:r>
            <w:r>
              <w:rPr>
                <w:sz w:val="18"/>
              </w:rPr>
              <w:t>.</w:t>
            </w:r>
          </w:p>
        </w:tc>
        <w:tc>
          <w:tcPr>
            <w:tcW w:w="1625" w:type="dxa"/>
            <w:shd w:val="clear" w:color="auto" w:fill="auto"/>
          </w:tcPr>
          <w:p w:rsidR="000215C5" w:rsidRDefault="00703023">
            <w:pPr>
              <w:jc w:val="both"/>
              <w:rPr>
                <w:sz w:val="18"/>
                <w:szCs w:val="18"/>
              </w:rPr>
            </w:pPr>
            <w:r>
              <w:rPr>
                <w:sz w:val="18"/>
              </w:rPr>
              <w:t>Nej</w:t>
            </w:r>
          </w:p>
        </w:tc>
      </w:tr>
    </w:tbl>
    <w:p w:rsidR="000215C5" w:rsidRDefault="000215C5">
      <w:pPr>
        <w:jc w:val="both"/>
        <w:rPr>
          <w:b/>
          <w:bCs/>
        </w:rPr>
      </w:pPr>
    </w:p>
    <w:p w:rsidR="000215C5" w:rsidRDefault="00703023">
      <w:pPr>
        <w:pStyle w:val="Rubrik3"/>
      </w:pPr>
      <w:bookmarkStart w:id="788" w:name="_Toc388280370"/>
      <w:r>
        <w:t>Innehåll i rapporteringen 2016</w:t>
      </w:r>
      <w:bookmarkEnd w:id="788"/>
    </w:p>
    <w:p w:rsidR="000215C5" w:rsidRDefault="00703023">
      <w:pPr>
        <w:pStyle w:val="Rubrik4"/>
      </w:pPr>
      <w:r>
        <w:t>Skiss över mallarna</w:t>
      </w:r>
    </w:p>
    <w:p w:rsidR="000215C5" w:rsidRDefault="00703023">
      <w:pPr>
        <w:jc w:val="both"/>
      </w:pPr>
      <w:r>
        <w:t>Se bilaga 10.7.</w:t>
      </w:r>
    </w:p>
    <w:p w:rsidR="000215C5" w:rsidRDefault="00703023">
      <w:pPr>
        <w:pStyle w:val="Rubrik4"/>
      </w:pPr>
      <w:r>
        <w:t>Information och uppgifter som ska rapporteras med hjälp av mallarna</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4"/>
      </w:tblGrid>
      <w:tr w:rsidR="000215C5">
        <w:tc>
          <w:tcPr>
            <w:tcW w:w="9874" w:type="dxa"/>
            <w:shd w:val="clear" w:color="auto" w:fill="auto"/>
          </w:tcPr>
          <w:p w:rsidR="000215C5" w:rsidRDefault="00703023">
            <w:pPr>
              <w:spacing w:after="120"/>
              <w:jc w:val="both"/>
              <w:rPr>
                <w:b/>
                <w:szCs w:val="24"/>
              </w:rPr>
            </w:pPr>
            <w:r>
              <w:rPr>
                <w:b/>
              </w:rPr>
              <w:t>Mall: RBMPPoM (fortsättning)</w:t>
            </w:r>
          </w:p>
        </w:tc>
      </w:tr>
      <w:tr w:rsidR="000215C5">
        <w:tc>
          <w:tcPr>
            <w:tcW w:w="9874" w:type="dxa"/>
            <w:shd w:val="clear" w:color="auto" w:fill="auto"/>
          </w:tcPr>
          <w:p w:rsidR="000215C5" w:rsidRDefault="00703023">
            <w:pPr>
              <w:spacing w:after="120"/>
              <w:jc w:val="both"/>
              <w:rPr>
                <w:b/>
                <w:i/>
                <w:szCs w:val="24"/>
              </w:rPr>
            </w:pPr>
            <w:r>
              <w:rPr>
                <w:b/>
                <w:i/>
              </w:rPr>
              <w:t>Klass: CoOrd</w:t>
            </w:r>
          </w:p>
          <w:p w:rsidR="000215C5" w:rsidRDefault="00703023">
            <w:pPr>
              <w:spacing w:after="120"/>
              <w:jc w:val="both"/>
              <w:rPr>
                <w:i/>
                <w:szCs w:val="24"/>
              </w:rPr>
            </w:pPr>
            <w:r>
              <w:rPr>
                <w:b/>
                <w:i/>
              </w:rPr>
              <w:t xml:space="preserve">Egenskaper: </w:t>
            </w:r>
            <w:r>
              <w:rPr>
                <w:i/>
              </w:rPr>
              <w:t>maxOccurs = 1 minOccurs = 1</w:t>
            </w:r>
          </w:p>
        </w:tc>
      </w:tr>
      <w:tr w:rsidR="000215C5">
        <w:tc>
          <w:tcPr>
            <w:tcW w:w="9874" w:type="dxa"/>
            <w:shd w:val="clear" w:color="auto" w:fill="auto"/>
          </w:tcPr>
          <w:p w:rsidR="000215C5" w:rsidRDefault="00703023">
            <w:pPr>
              <w:spacing w:after="120"/>
              <w:jc w:val="both"/>
              <w:rPr>
                <w:szCs w:val="24"/>
              </w:rPr>
            </w:pPr>
            <w:r>
              <w:rPr>
                <w:b/>
              </w:rPr>
              <w:t>Mallpost</w:t>
            </w:r>
            <w:r>
              <w:t>:</w:t>
            </w:r>
            <w:r>
              <w:rPr>
                <w:b/>
              </w:rPr>
              <w:t xml:space="preserve"> </w:t>
            </w:r>
            <w:r>
              <w:t>pomInternationalRBD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om avrinningsdistriktet ingår i ett internationellt avrinningsdistrikt.</w:t>
            </w:r>
          </w:p>
        </w:tc>
      </w:tr>
      <w:tr w:rsidR="000215C5">
        <w:tc>
          <w:tcPr>
            <w:tcW w:w="9874"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pomCoOrdinationJointVision</w:t>
            </w:r>
          </w:p>
          <w:p w:rsidR="000215C5" w:rsidRPr="008D6A99" w:rsidRDefault="00703023">
            <w:pPr>
              <w:spacing w:after="120"/>
              <w:jc w:val="both"/>
              <w:rPr>
                <w:lang w:val="en-GB"/>
              </w:rPr>
            </w:pPr>
            <w:r w:rsidRPr="008D6A99">
              <w:rPr>
                <w:b/>
                <w:lang w:val="en-GB"/>
              </w:rPr>
              <w:t xml:space="preserve">Fälttyp/alternativ: </w:t>
            </w:r>
            <w:r w:rsidRPr="008D6A99">
              <w:rPr>
                <w:lang w:val="en-GB"/>
              </w:rPr>
              <w:t>Coord_Enum: Yes with other MS, Yes with non-MS, Yes with both other MS and non-MS, None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Har gemensamma visioner och förvaltningsmål fastställts för samordningen av åtgärdsprogrammet?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Pr="002E450A" w:rsidRDefault="00703023">
            <w:pPr>
              <w:spacing w:after="120"/>
              <w:jc w:val="both"/>
              <w:rPr>
                <w:b/>
                <w:szCs w:val="24"/>
                <w:lang w:val="en-US"/>
              </w:rPr>
            </w:pPr>
            <w:r w:rsidRPr="002E450A">
              <w:rPr>
                <w:b/>
                <w:lang w:val="en-US"/>
              </w:rPr>
              <w:t>Mallpost</w:t>
            </w:r>
            <w:r w:rsidRPr="002E450A">
              <w:rPr>
                <w:lang w:val="en-US"/>
              </w:rPr>
              <w:t>:</w:t>
            </w:r>
            <w:r w:rsidRPr="002E450A">
              <w:rPr>
                <w:b/>
                <w:lang w:val="en-US"/>
              </w:rPr>
              <w:t xml:space="preserve"> </w:t>
            </w:r>
            <w:r w:rsidRPr="002E450A">
              <w:rPr>
                <w:lang w:val="en-US"/>
              </w:rPr>
              <w:t>pomCoOrdinationArt5SWMI</w:t>
            </w:r>
          </w:p>
          <w:p w:rsidR="000215C5" w:rsidRPr="002E450A" w:rsidRDefault="00703023">
            <w:pPr>
              <w:spacing w:after="120"/>
              <w:jc w:val="both"/>
              <w:rPr>
                <w:b/>
                <w:szCs w:val="24"/>
                <w:lang w:val="en-US"/>
              </w:rPr>
            </w:pPr>
            <w:r w:rsidRPr="002E450A">
              <w:rPr>
                <w:b/>
                <w:lang w:val="en-US"/>
              </w:rPr>
              <w:t xml:space="preserve">Fälttyp/alternativ: </w:t>
            </w:r>
            <w:r w:rsidRPr="002E450A">
              <w:rPr>
                <w:lang w:val="en-US"/>
              </w:rPr>
              <w:t>Coord_Enum: Yes with other MS, Yes with non-MS, Yes with both other MS and non-MS, None</w:t>
            </w:r>
            <w:r w:rsidRPr="002E450A">
              <w:rPr>
                <w:b/>
                <w:lang w:val="en-US"/>
              </w:rPr>
              <w:t xml:space="preserv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Har artikel 5-analysen och identifieringen av viktiga vattenförvaltningsfrågor samordnats inom ramen för utarbetandet av åtgärdsprogrammet?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Pr="002E450A" w:rsidRDefault="00703023">
            <w:pPr>
              <w:spacing w:after="120"/>
              <w:jc w:val="both"/>
              <w:rPr>
                <w:b/>
                <w:szCs w:val="24"/>
                <w:lang w:val="en-US"/>
              </w:rPr>
            </w:pPr>
            <w:r w:rsidRPr="002E450A">
              <w:rPr>
                <w:b/>
                <w:lang w:val="en-US"/>
              </w:rPr>
              <w:t>Mallpost</w:t>
            </w:r>
            <w:r w:rsidRPr="002E450A">
              <w:rPr>
                <w:lang w:val="en-US"/>
              </w:rPr>
              <w:t>:</w:t>
            </w:r>
            <w:r w:rsidRPr="002E450A">
              <w:rPr>
                <w:b/>
                <w:lang w:val="en-US"/>
              </w:rPr>
              <w:t xml:space="preserve"> </w:t>
            </w:r>
            <w:r w:rsidRPr="002E450A">
              <w:rPr>
                <w:lang w:val="en-US"/>
              </w:rPr>
              <w:t>pomCoOrdinationIRBMPPoM</w:t>
            </w:r>
          </w:p>
          <w:p w:rsidR="000215C5" w:rsidRPr="002E450A" w:rsidRDefault="00703023">
            <w:pPr>
              <w:jc w:val="both"/>
              <w:rPr>
                <w:lang w:val="en-US"/>
              </w:rPr>
            </w:pPr>
            <w:r w:rsidRPr="002E450A">
              <w:rPr>
                <w:b/>
                <w:lang w:val="en-US"/>
              </w:rPr>
              <w:t xml:space="preserve">Fälttyp/alternativ: </w:t>
            </w:r>
            <w:r w:rsidRPr="002E450A">
              <w:rPr>
                <w:lang w:val="en-US"/>
              </w:rPr>
              <w:t>Coord_Enum: Yes with other MS, Yes with non-MS, Yes with both other MS and non-MS, None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Har förvaltningsplaner och åtgärdsprogram för internationella avrinningsdistrikt som omfattar alla medlemsstater utarbetats för den andra cykeln?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pomCoOrdinationRoofReport</w:t>
            </w:r>
          </w:p>
          <w:p w:rsidR="000215C5" w:rsidRPr="008D6A99" w:rsidRDefault="00703023">
            <w:pPr>
              <w:jc w:val="both"/>
              <w:rPr>
                <w:lang w:val="en-GB"/>
              </w:rPr>
            </w:pPr>
            <w:r w:rsidRPr="008D6A99">
              <w:rPr>
                <w:b/>
                <w:lang w:val="en-GB"/>
              </w:rPr>
              <w:t xml:space="preserve">Fälttyp/alternativ: </w:t>
            </w:r>
            <w:r w:rsidRPr="008D6A99">
              <w:rPr>
                <w:lang w:val="en-GB"/>
              </w:rPr>
              <w:t>Coord_Enum: Yes with other MS, Yes with non-MS, Yes with both other MS and non-MS, None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Har en inter</w:t>
            </w:r>
            <w:r w:rsidR="00D66790">
              <w:t>nationell Roof-rapport (eller A</w:t>
            </w:r>
            <w:r w:rsidR="00D66790">
              <w:noBreakHyphen/>
            </w:r>
            <w:r>
              <w:t xml:space="preserve">plan) som omfattar alla medlemsstater och baseras på de nationella förvaltningsplanerna för avrinningsdistrikt (eller B-planer) utarbetats?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pomCoOrdinationLinks</w:t>
            </w:r>
          </w:p>
          <w:p w:rsidR="000215C5" w:rsidRPr="008D6A99" w:rsidRDefault="00703023">
            <w:pPr>
              <w:jc w:val="both"/>
              <w:rPr>
                <w:lang w:val="en-GB"/>
              </w:rPr>
            </w:pPr>
            <w:r w:rsidRPr="008D6A99">
              <w:rPr>
                <w:b/>
                <w:lang w:val="en-GB"/>
              </w:rPr>
              <w:t xml:space="preserve">Fälttyp/alternativ: </w:t>
            </w:r>
            <w:r w:rsidRPr="008D6A99">
              <w:rPr>
                <w:lang w:val="en-GB"/>
              </w:rPr>
              <w:t>Coord_Enum: Yes with other MS, Yes with non-MS, Yes with both other MS and non-MS, None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Har uttryckliga kopplingar med nationella förvaltningsplaner skapats inom det internationella avrinningsdistriktet?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pomCoOrdinationSectors</w:t>
            </w:r>
          </w:p>
          <w:p w:rsidR="000215C5" w:rsidRPr="008D6A99" w:rsidRDefault="00703023">
            <w:pPr>
              <w:jc w:val="both"/>
              <w:rPr>
                <w:lang w:val="en-GB"/>
              </w:rPr>
            </w:pPr>
            <w:r w:rsidRPr="008D6A99">
              <w:rPr>
                <w:b/>
                <w:lang w:val="en-GB"/>
              </w:rPr>
              <w:t xml:space="preserve">Fälttyp/alternativ: </w:t>
            </w:r>
            <w:r w:rsidRPr="008D6A99">
              <w:rPr>
                <w:lang w:val="en-GB"/>
              </w:rPr>
              <w:t>Coord_Enum: Yes with other MS, Yes with non-MS, Yes with both other MS and non-MS, None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Har olika sektorer eller intressenter deltagit i de internationella samordningsmekanismerna?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pomCoOrdinationTransparency</w:t>
            </w:r>
          </w:p>
          <w:p w:rsidR="000215C5" w:rsidRPr="008D6A99" w:rsidRDefault="00703023">
            <w:pPr>
              <w:jc w:val="both"/>
              <w:rPr>
                <w:lang w:val="en-GB"/>
              </w:rPr>
            </w:pPr>
            <w:r w:rsidRPr="008D6A99">
              <w:rPr>
                <w:b/>
                <w:lang w:val="en-GB"/>
              </w:rPr>
              <w:t xml:space="preserve">Fälttyp/alternativ: </w:t>
            </w:r>
            <w:r w:rsidRPr="008D6A99">
              <w:rPr>
                <w:lang w:val="en-GB"/>
              </w:rPr>
              <w:t>Coord_Enum: Yes with other MS, Yes with non-MS, Yes with both other MS and non-MS, None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Har intressenter och andra insyn i den internationella samordningen?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pomCoOrdinationFinancial</w:t>
            </w:r>
          </w:p>
          <w:p w:rsidR="000215C5" w:rsidRPr="008D6A99" w:rsidRDefault="00703023">
            <w:pPr>
              <w:spacing w:after="120"/>
              <w:jc w:val="both"/>
              <w:rPr>
                <w:lang w:val="en-GB"/>
              </w:rPr>
            </w:pPr>
            <w:r w:rsidRPr="008D6A99">
              <w:rPr>
                <w:b/>
                <w:lang w:val="en-GB"/>
              </w:rPr>
              <w:t xml:space="preserve">Fälttyp/alternativ: </w:t>
            </w:r>
            <w:r w:rsidRPr="008D6A99">
              <w:rPr>
                <w:lang w:val="en-GB"/>
              </w:rPr>
              <w:t>Coord_Enum: Yes with other MS, Yes with non-MS, Yes with both other MS and non-MS, None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Har ekonomiska resurser tillhandahållits för gemensam samordning?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Default="00703023">
            <w:pPr>
              <w:spacing w:after="120"/>
              <w:jc w:val="both"/>
              <w:rPr>
                <w:b/>
                <w:szCs w:val="24"/>
              </w:rPr>
            </w:pPr>
            <w:r>
              <w:rPr>
                <w:b/>
              </w:rPr>
              <w:t>Mallpost</w:t>
            </w:r>
            <w:r>
              <w:t>:</w:t>
            </w:r>
            <w:r>
              <w:rPr>
                <w:b/>
              </w:rPr>
              <w:t xml:space="preserve"> </w:t>
            </w:r>
            <w:r>
              <w:t>iRBMPIssuesNutrient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Hanteras förorening av näringsämnen inom det internationella avrinningsdistriktet?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Default="00703023">
            <w:pPr>
              <w:spacing w:after="120"/>
              <w:jc w:val="both"/>
              <w:rPr>
                <w:b/>
                <w:szCs w:val="24"/>
              </w:rPr>
            </w:pPr>
            <w:r>
              <w:rPr>
                <w:b/>
              </w:rPr>
              <w:t>Mallpost</w:t>
            </w:r>
            <w:r>
              <w:t>:</w:t>
            </w:r>
            <w:r>
              <w:rPr>
                <w:b/>
              </w:rPr>
              <w:t xml:space="preserve"> </w:t>
            </w:r>
            <w:r>
              <w:t>iRBMPIssuesSediment</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Hanteras förorening av sediment inom det internationella avrinningsdistriktet?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Default="00703023">
            <w:pPr>
              <w:spacing w:after="120"/>
              <w:jc w:val="both"/>
              <w:rPr>
                <w:b/>
                <w:szCs w:val="24"/>
              </w:rPr>
            </w:pPr>
            <w:r>
              <w:rPr>
                <w:b/>
              </w:rPr>
              <w:t>Mallpost</w:t>
            </w:r>
            <w:r>
              <w:t>:</w:t>
            </w:r>
            <w:r>
              <w:rPr>
                <w:b/>
              </w:rPr>
              <w:t xml:space="preserve"> </w:t>
            </w:r>
            <w:r>
              <w:t>iRBMPIssuesChemical</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Hanteras kemiska föroreningar inom det internationella avrinningsdistriktet?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Default="00703023">
            <w:pPr>
              <w:spacing w:after="120"/>
              <w:jc w:val="both"/>
              <w:rPr>
                <w:b/>
                <w:szCs w:val="24"/>
              </w:rPr>
            </w:pPr>
            <w:r>
              <w:rPr>
                <w:b/>
              </w:rPr>
              <w:t>Mallpost</w:t>
            </w:r>
            <w:r>
              <w:t>:</w:t>
            </w:r>
            <w:r>
              <w:rPr>
                <w:b/>
              </w:rPr>
              <w:t xml:space="preserve"> </w:t>
            </w:r>
            <w:r>
              <w:t>iRBMPIssuesRiverContinuity</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Hanteras floders kontinuitet inom det internationella avrinningsdistriktet?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Default="00703023">
            <w:pPr>
              <w:spacing w:after="120"/>
              <w:jc w:val="both"/>
              <w:rPr>
                <w:b/>
                <w:szCs w:val="24"/>
              </w:rPr>
            </w:pPr>
            <w:r>
              <w:rPr>
                <w:b/>
              </w:rPr>
              <w:t>Mallpost</w:t>
            </w:r>
            <w:r>
              <w:t>:</w:t>
            </w:r>
            <w:r>
              <w:rPr>
                <w:b/>
              </w:rPr>
              <w:t xml:space="preserve"> </w:t>
            </w:r>
            <w:r>
              <w:t>iRBMPIssuesOtherHydromorphological</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Hanteras andra hydromorfologiska åtgärder inom det internationella avrinningsdistriktet?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Default="00703023">
            <w:pPr>
              <w:spacing w:after="120"/>
              <w:jc w:val="both"/>
              <w:rPr>
                <w:b/>
                <w:szCs w:val="24"/>
              </w:rPr>
            </w:pPr>
            <w:r>
              <w:rPr>
                <w:b/>
              </w:rPr>
              <w:t>Mallpost</w:t>
            </w:r>
            <w:r>
              <w:t>:</w:t>
            </w:r>
            <w:r>
              <w:rPr>
                <w:b/>
              </w:rPr>
              <w:t xml:space="preserve"> </w:t>
            </w:r>
            <w:r>
              <w:t>iRBMPIssuesOther</w:t>
            </w:r>
          </w:p>
          <w:p w:rsidR="000215C5" w:rsidRDefault="00703023">
            <w:pPr>
              <w:spacing w:after="120"/>
              <w:jc w:val="both"/>
              <w:rPr>
                <w:szCs w:val="24"/>
              </w:rPr>
            </w:pPr>
            <w:r>
              <w:rPr>
                <w:b/>
              </w:rPr>
              <w:t xml:space="preserve">Fälttyp/alternativ: </w:t>
            </w:r>
            <w:r>
              <w:t>String100Type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Ange om det finns andra frågor som hanteras av det internationella avrinningsdistriktet som inte tas upp i de föregående frågorna. Om inga andra frågor finns, rapportera ”None”. </w:t>
            </w:r>
          </w:p>
          <w:p w:rsidR="000215C5" w:rsidRDefault="00703023">
            <w:pPr>
              <w:spacing w:after="120"/>
              <w:jc w:val="both"/>
              <w:rPr>
                <w:b/>
                <w:szCs w:val="24"/>
              </w:rPr>
            </w:pPr>
            <w:r>
              <w:rPr>
                <w:b/>
              </w:rPr>
              <w:t>Kvalitetskontroller</w:t>
            </w:r>
            <w:r>
              <w:t>: Villkorlig kontroll: Rapportera om pomInternationalRBD är ”Yes”.</w:t>
            </w:r>
          </w:p>
        </w:tc>
      </w:tr>
      <w:tr w:rsidR="000215C5">
        <w:tc>
          <w:tcPr>
            <w:tcW w:w="9874" w:type="dxa"/>
            <w:shd w:val="clear" w:color="auto" w:fill="auto"/>
          </w:tcPr>
          <w:p w:rsidR="000215C5" w:rsidRPr="008D6A99" w:rsidRDefault="00703023">
            <w:pPr>
              <w:spacing w:after="120"/>
              <w:jc w:val="both"/>
              <w:rPr>
                <w:b/>
                <w:szCs w:val="24"/>
                <w:lang w:val="da-DK"/>
              </w:rPr>
            </w:pPr>
            <w:r w:rsidRPr="008D6A99">
              <w:rPr>
                <w:b/>
                <w:lang w:val="da-DK"/>
              </w:rPr>
              <w:t>Mallpost</w:t>
            </w:r>
            <w:r w:rsidRPr="008D6A99">
              <w:rPr>
                <w:lang w:val="da-DK"/>
              </w:rPr>
              <w:t>:</w:t>
            </w:r>
            <w:r w:rsidRPr="008D6A99">
              <w:rPr>
                <w:b/>
                <w:lang w:val="da-DK"/>
              </w:rPr>
              <w:t xml:space="preserve"> </w:t>
            </w:r>
            <w:r w:rsidRPr="008D6A99">
              <w:rPr>
                <w:lang w:val="da-DK"/>
              </w:rPr>
              <w:t>iRBMPReference</w:t>
            </w:r>
          </w:p>
          <w:p w:rsidR="000215C5" w:rsidRPr="008D6A99" w:rsidRDefault="00703023">
            <w:pPr>
              <w:spacing w:after="120"/>
              <w:jc w:val="both"/>
              <w:rPr>
                <w:szCs w:val="24"/>
                <w:lang w:val="da-DK"/>
              </w:rPr>
            </w:pPr>
            <w:r w:rsidRPr="008D6A99">
              <w:rPr>
                <w:b/>
                <w:lang w:val="da-DK"/>
              </w:rPr>
              <w:t xml:space="preserve">Fälttyp/alternativ: </w:t>
            </w:r>
            <w:r w:rsidRPr="008D6A99">
              <w:rPr>
                <w:lang w:val="da-DK"/>
              </w:rP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Ange en hänvisning eller hyperlänk till det internationella avrinningsdistriktet. </w:t>
            </w:r>
          </w:p>
          <w:p w:rsidR="000215C5" w:rsidRDefault="00703023">
            <w:pPr>
              <w:spacing w:after="120"/>
              <w:jc w:val="both"/>
              <w:rPr>
                <w:szCs w:val="24"/>
              </w:rPr>
            </w:pPr>
            <w:r>
              <w:rPr>
                <w:b/>
              </w:rPr>
              <w:t>Kvalitetskontroller</w:t>
            </w:r>
            <w:r>
              <w:t>:</w:t>
            </w:r>
            <w:r>
              <w:rPr>
                <w:b/>
              </w:rPr>
              <w:t xml:space="preserve"> </w:t>
            </w:r>
            <w:r>
              <w:t>Villkorlig kontroll:</w:t>
            </w:r>
            <w:r>
              <w:rPr>
                <w:b/>
              </w:rPr>
              <w:t xml:space="preserve"> </w:t>
            </w:r>
            <w:r>
              <w:t>Rapportera om pomInternationalRBD är ”Yes”.</w:t>
            </w:r>
          </w:p>
        </w:tc>
      </w:tr>
    </w:tbl>
    <w:p w:rsidR="000215C5" w:rsidRDefault="000215C5">
      <w:pPr>
        <w:jc w:val="both"/>
      </w:pPr>
    </w:p>
    <w:p w:rsidR="000215C5" w:rsidRDefault="00703023">
      <w:pPr>
        <w:pStyle w:val="Rubrik2"/>
        <w:jc w:val="both"/>
      </w:pPr>
      <w:bookmarkStart w:id="789" w:name="_Toc381689464"/>
      <w:bookmarkStart w:id="790" w:name="_Toc386464259"/>
      <w:bookmarkStart w:id="791" w:name="_Toc388280371"/>
      <w:bookmarkStart w:id="792" w:name="_Toc425522086"/>
      <w:bookmarkStart w:id="793" w:name="_Toc432666098"/>
      <w:bookmarkStart w:id="794" w:name="_Toc437520294"/>
      <w:r>
        <w:t>Framsteg med och resultat av åtgärdsprogrammet för den första planeringscykeln</w:t>
      </w:r>
      <w:bookmarkEnd w:id="789"/>
      <w:bookmarkEnd w:id="790"/>
      <w:bookmarkEnd w:id="791"/>
      <w:bookmarkEnd w:id="792"/>
      <w:bookmarkEnd w:id="793"/>
      <w:bookmarkEnd w:id="794"/>
      <w:r>
        <w:t xml:space="preserve"> </w:t>
      </w:r>
    </w:p>
    <w:p w:rsidR="000215C5" w:rsidRDefault="00703023">
      <w:pPr>
        <w:pStyle w:val="Rubrik3"/>
      </w:pPr>
      <w:bookmarkStart w:id="795" w:name="_Toc381689465"/>
      <w:bookmarkStart w:id="796" w:name="_Toc388280372"/>
      <w:r>
        <w:t>Inledning</w:t>
      </w:r>
      <w:bookmarkEnd w:id="795"/>
      <w:bookmarkEnd w:id="796"/>
    </w:p>
    <w:p w:rsidR="000215C5" w:rsidRDefault="00703023">
      <w:pPr>
        <w:jc w:val="both"/>
      </w:pPr>
      <w:r>
        <w:t>Under 2012 lämnade medlemsstaterna information om framstegen med genomförandet av åtgärdsplanerna enligt vattendirektivet, inklusive läget för genomförandet av grundläggande åtgärder, kompletterande åtgärder och centrala åtgärdstyper (Key Types of Measure (KTM)). De lämnade även information om övergripande framsteg och eventuella hinder för genomförandet av åtgärderna.</w:t>
      </w:r>
    </w:p>
    <w:p w:rsidR="000215C5" w:rsidRDefault="00703023">
      <w:pPr>
        <w:jc w:val="both"/>
      </w:pPr>
      <w:r>
        <w:t xml:space="preserve">Under 2016 kommer uppgifterna och informationen att röra </w:t>
      </w:r>
      <w:r>
        <w:rPr>
          <w:u w:val="single"/>
        </w:rPr>
        <w:t>planerade</w:t>
      </w:r>
      <w:r>
        <w:t xml:space="preserve"> åtgärder för den andra cykeln i vattendirektivets genomförande, vilket innebär att de kanske inte ger uttrycklig information om de faktiska framstegen, framgångarna och resultaten av de första åtgärdsplanerna. Tanken med detta är att medlemsstaterna ska lämna en uppdatering av framstegen för att avspegla den faktiska och förväntade situationen vid inledningen av den andra planeringscykeln.</w:t>
      </w:r>
    </w:p>
    <w:p w:rsidR="000215C5" w:rsidRDefault="00703023">
      <w:pPr>
        <w:pStyle w:val="Rubrik3"/>
      </w:pPr>
      <w:bookmarkStart w:id="797" w:name="_Toc388280373"/>
      <w:r>
        <w:t>Hur kommer kommissionen och Europeiska miljöbyrån att använda den rapporterade informationen</w:t>
      </w:r>
      <w:bookmarkEnd w:id="797"/>
      <w:r>
        <w:t>?</w:t>
      </w:r>
    </w:p>
    <w:p w:rsidR="000215C5" w:rsidRDefault="00703023">
      <w:pPr>
        <w:jc w:val="both"/>
      </w:pPr>
      <w:r>
        <w:t>Kommissionen kommer att använda den information som rapporteras av medlemsstaterna för att bedöma om genomförandet av de första förvaltningsplanerna och åtgärdsplanerna har varit effektivt. Syftet med bedömningen är att utvärdera och rapportera om vattendirektivets övergripande bidrag till en förbättrad vattenkvalitet på EU-nivå.</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3"/>
      </w:pPr>
      <w:bookmarkStart w:id="798" w:name="_Toc388280374"/>
      <w:r>
        <w:t>Innehåll i rapporteringen 2016</w:t>
      </w:r>
      <w:bookmarkEnd w:id="798"/>
    </w:p>
    <w:p w:rsidR="000215C5" w:rsidRDefault="00703023">
      <w:pPr>
        <w:pStyle w:val="Rubrik4"/>
      </w:pPr>
      <w:r>
        <w:t>Skiss över mallarna</w:t>
      </w:r>
    </w:p>
    <w:p w:rsidR="000215C5" w:rsidRDefault="00703023">
      <w:pPr>
        <w:jc w:val="both"/>
      </w:pPr>
      <w:r>
        <w:t>Se bilaga 10.7.</w:t>
      </w:r>
    </w:p>
    <w:p w:rsidR="000215C5" w:rsidRDefault="00703023">
      <w:pPr>
        <w:pStyle w:val="Rubrik4"/>
      </w:pPr>
      <w:r>
        <w:t>Information och uppgifter som ska rapporteras med hjälp av mallarna</w:t>
      </w:r>
    </w:p>
    <w:p w:rsidR="000215C5" w:rsidRDefault="00703023">
      <w:pPr>
        <w:jc w:val="both"/>
      </w:pPr>
      <w:r>
        <w:t>Lämna följande uppgifter för varje avrinningsområde: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RBMPPoM (fortsättning)</w:t>
            </w:r>
          </w:p>
        </w:tc>
      </w:tr>
      <w:tr w:rsidR="000215C5">
        <w:tc>
          <w:tcPr>
            <w:tcW w:w="9853" w:type="dxa"/>
            <w:shd w:val="clear" w:color="auto" w:fill="auto"/>
          </w:tcPr>
          <w:p w:rsidR="000215C5" w:rsidRDefault="00703023">
            <w:pPr>
              <w:spacing w:after="120"/>
              <w:jc w:val="both"/>
              <w:rPr>
                <w:b/>
                <w:i/>
                <w:szCs w:val="24"/>
              </w:rPr>
            </w:pPr>
            <w:r>
              <w:rPr>
                <w:b/>
                <w:i/>
              </w:rPr>
              <w:t xml:space="preserve">Klass: Framsteg </w:t>
            </w:r>
          </w:p>
          <w:p w:rsidR="000215C5" w:rsidRDefault="00703023">
            <w:pPr>
              <w:spacing w:after="120"/>
              <w:jc w:val="both"/>
              <w:rPr>
                <w:i/>
                <w:szCs w:val="24"/>
              </w:rPr>
            </w:pPr>
            <w:r>
              <w:rPr>
                <w:b/>
                <w:i/>
              </w:rPr>
              <w:t xml:space="preserve">Egenskaper: </w:t>
            </w:r>
            <w:r>
              <w:rPr>
                <w:i/>
              </w:rPr>
              <w:t>maxOccurs = 1 minOccurs = 1</w:t>
            </w:r>
          </w:p>
        </w:tc>
      </w:tr>
      <w:tr w:rsidR="000215C5">
        <w:tc>
          <w:tcPr>
            <w:tcW w:w="9853" w:type="dxa"/>
            <w:tcBorders>
              <w:top w:val="single" w:sz="4" w:space="0" w:color="auto"/>
              <w:left w:val="single" w:sz="4" w:space="0" w:color="auto"/>
              <w:bottom w:val="single" w:sz="4" w:space="0" w:color="auto"/>
              <w:right w:val="single" w:sz="4" w:space="0" w:color="auto"/>
            </w:tcBorders>
            <w:shd w:val="clear" w:color="auto" w:fill="auto"/>
          </w:tcPr>
          <w:p w:rsidR="000215C5" w:rsidRDefault="00703023">
            <w:pPr>
              <w:spacing w:after="120"/>
              <w:jc w:val="both"/>
              <w:rPr>
                <w:szCs w:val="24"/>
              </w:rPr>
            </w:pPr>
            <w:r>
              <w:rPr>
                <w:b/>
              </w:rPr>
              <w:t>Mallpost</w:t>
            </w:r>
            <w:r>
              <w:t>: rbmpGeneralProgress</w:t>
            </w:r>
          </w:p>
          <w:p w:rsidR="000215C5" w:rsidRDefault="00703023">
            <w:pPr>
              <w:spacing w:after="120"/>
              <w:jc w:val="both"/>
              <w:rPr>
                <w:szCs w:val="24"/>
              </w:rPr>
            </w:pPr>
            <w:r>
              <w:rPr>
                <w:b/>
              </w:rPr>
              <w:t xml:space="preserve">Fälttyp/alternativ: </w:t>
            </w:r>
            <w:r>
              <w:t>String4000Type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 xml:space="preserve">Vägledning om hur man fyller i mallposten: </w:t>
            </w:r>
            <w:r>
              <w:t xml:space="preserve">Frivilligt. Lämna en kortfattad beskrivning av framstegen sedan den första förvaltningsplanen, särskilt om minskad påverkan och vidtagna åtgärder.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financeSecured</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ett tydligt ekonomiskt åtagande (t.ex. en budget eller en finansieringsmekanism har godkänts av parlamentet, finansministeriet eller en annan ansvarig myndighet) har säkrats för genomförandet av åtgärdsplanerna.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financeSecuredAgriculture</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Har ett tydligt ekonomiskt åtagande säkrats för genomförandet av åtgärdsplanerna inom jordbruket? Om åtgärderna för denna sektor inte är relevanta för avrinningsdistriktet, rapportera ”Not applicable”. </w:t>
            </w:r>
          </w:p>
        </w:tc>
      </w:tr>
      <w:tr w:rsidR="000215C5">
        <w:tc>
          <w:tcPr>
            <w:tcW w:w="9853"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financeSecuredIndustry</w:t>
            </w:r>
          </w:p>
          <w:p w:rsidR="000215C5" w:rsidRPr="008D6A99" w:rsidRDefault="00703023">
            <w:pPr>
              <w:spacing w:after="120"/>
              <w:jc w:val="both"/>
              <w:rPr>
                <w:szCs w:val="24"/>
                <w:lang w:val="en-GB"/>
              </w:rPr>
            </w:pPr>
            <w:r w:rsidRPr="008D6A99">
              <w:rPr>
                <w:b/>
                <w:lang w:val="en-GB"/>
              </w:rPr>
              <w:t xml:space="preserve">Fälttyp/alternativ: </w:t>
            </w:r>
            <w:r w:rsidRPr="008D6A99">
              <w:rPr>
                <w:lang w:val="en-GB"/>
              </w:rP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Har ett tydligt ekonomiskt åtagande säkrats för genomförandet av åtgärdsplanerna inom industrin? Om åtgärderna för denna sektor inte är relevanta för avrinningsdistriktet, rapportera ”Not applicable”.</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financeSecuredUrban</w:t>
            </w:r>
          </w:p>
          <w:p w:rsidR="000215C5" w:rsidRPr="00D95552" w:rsidRDefault="00703023">
            <w:pPr>
              <w:spacing w:after="120"/>
              <w:jc w:val="both"/>
              <w:rPr>
                <w:szCs w:val="24"/>
              </w:rPr>
            </w:pPr>
            <w:r w:rsidRPr="00D95552">
              <w:rPr>
                <w:b/>
              </w:rPr>
              <w:t xml:space="preserve">Fälttyp/alternativ: </w:t>
            </w:r>
            <w:r w:rsidRPr="00D95552">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Har ett tydligt ekonomiskt åtagande säkrats för genomförandet av åtgärdsplanerna inom stadsutveckling? Om åtgärderna för denna sektor inte är relevanta för avrinningsdistriktet, rapportera ”Not applicable”.</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financeSecuredTransport</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Har ett tydligt ekonomiskt åtagande säkrats för genomförandet av åtgärdsplanerna inom transport? Om åtgärderna för denna sektor inte är relevanta för avrinningsdistriktet, rapportera ”Not applicable”.</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financeSecuredHydropower</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Har ett tydligt ekonomiskt åtagande säkrats för genomförandet av åtgärdsplanerna inom vattenkraft? Om åtgärderna för denna sektor inte är relevanta för avrinningsdistriktet, rapportera ”Not applicable”.</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financeSecuredEnergy</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Har ett tydligt ekonomiskt åtagande säkrats för genomförandet av åtgärdsplanerna inom energi (annat än vattenkraft)? Om åtgärderna för denna sektor inte är relevanta för avrinningsdistriktet, rapportera ”Not applicable”.</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financeSecuredAquaculture</w:t>
            </w:r>
          </w:p>
          <w:p w:rsidR="000215C5" w:rsidRDefault="00703023">
            <w:pPr>
              <w:spacing w:after="120"/>
              <w:jc w:val="both"/>
              <w:rPr>
                <w:szCs w:val="24"/>
              </w:rPr>
            </w:pPr>
            <w:r>
              <w:rPr>
                <w:b/>
              </w:rPr>
              <w:t xml:space="preserve">Fälttyp/alternativ: </w:t>
            </w:r>
            <w:r>
              <w:t>YesNoNotApplicable_Union_Enum: Yes, No, Not applicable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Har ett tydligt ekonomiskt åtagande säkrats för genomförandet av åtgärdsplanerna inom vattenbruket? Om åtgärderna för denna sektor inte är relevanta för avrinningsdistriktet, rapportera ”Not applicable”.</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financeSecuredRecreation</w:t>
            </w:r>
          </w:p>
          <w:p w:rsidR="000215C5" w:rsidRPr="00D95552" w:rsidRDefault="00703023">
            <w:pPr>
              <w:spacing w:after="120"/>
              <w:jc w:val="both"/>
              <w:rPr>
                <w:szCs w:val="24"/>
              </w:rPr>
            </w:pPr>
            <w:r w:rsidRPr="00D95552">
              <w:rPr>
                <w:b/>
              </w:rPr>
              <w:t xml:space="preserve">Fälttyp/alternativ: </w:t>
            </w:r>
            <w:r w:rsidRPr="00D95552">
              <w:t xml:space="preserve">YesNoNotApplicable_Union_Enum: Yes, No, Not applicable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Har ett tydligt ekonomiskt åtagande säkrats för genomförandet av åtgärdsplanerna inom rekreation? Om åtgärderna för denna sektor inte är relevanta för avrinningsdistriktet, rapportera ”Not applicable”.</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financeSecuredFloodProtection</w:t>
            </w:r>
          </w:p>
          <w:p w:rsidR="000215C5" w:rsidRDefault="00703023">
            <w:pPr>
              <w:spacing w:after="120"/>
              <w:jc w:val="both"/>
              <w:rPr>
                <w:szCs w:val="24"/>
              </w:rPr>
            </w:pPr>
            <w:r>
              <w:rPr>
                <w:b/>
              </w:rPr>
              <w:t xml:space="preserve">Fälttyp/alternativ: </w:t>
            </w:r>
            <w:r>
              <w:t xml:space="preserve">YesNoNotApplicable_Union_Enum: Yes, No, Not applicable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 Har ett tydligt ekonomiskt åtagande säkrats för genomförandet av åtgärdsplanerna inom översvämningsskydd? Om åtgärderna för denna sektor inte är relevanta för avrinningsdistriktet, rapportera ”Not applicable”.</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newRegulation</w:t>
            </w:r>
          </w:p>
          <w:p w:rsidR="000215C5" w:rsidRPr="00D95552" w:rsidRDefault="00703023">
            <w:pPr>
              <w:spacing w:after="120"/>
              <w:jc w:val="both"/>
              <w:rPr>
                <w:szCs w:val="24"/>
              </w:rPr>
            </w:pPr>
            <w:r w:rsidRPr="00D95552">
              <w:rPr>
                <w:b/>
              </w:rPr>
              <w:t xml:space="preserve">Fälttyp/alternativ: </w:t>
            </w:r>
            <w:r w:rsidRPr="00D95552">
              <w:t xml:space="preserve">NewRegulation_Enum: </w:t>
            </w:r>
          </w:p>
          <w:p w:rsidR="000215C5" w:rsidRPr="008D6A99" w:rsidRDefault="00703023">
            <w:pPr>
              <w:jc w:val="both"/>
              <w:rPr>
                <w:lang w:val="en-GB"/>
              </w:rPr>
            </w:pPr>
            <w:r w:rsidRPr="008D6A99">
              <w:rPr>
                <w:lang w:val="en-GB"/>
              </w:rPr>
              <w:t>Yes, already adopted</w:t>
            </w:r>
          </w:p>
          <w:p w:rsidR="000215C5" w:rsidRPr="008D6A99" w:rsidRDefault="00703023">
            <w:pPr>
              <w:jc w:val="both"/>
              <w:rPr>
                <w:lang w:val="en-GB"/>
              </w:rPr>
            </w:pPr>
            <w:r w:rsidRPr="008D6A99">
              <w:rPr>
                <w:lang w:val="en-GB"/>
              </w:rPr>
              <w:t>Yes, in progress</w:t>
            </w:r>
          </w:p>
          <w:p w:rsidR="000215C5" w:rsidRPr="008D6A99" w:rsidRDefault="00703023">
            <w:pPr>
              <w:jc w:val="both"/>
              <w:rPr>
                <w:lang w:val="en-GB"/>
              </w:rPr>
            </w:pPr>
            <w:r w:rsidRPr="008D6A99">
              <w:rPr>
                <w:lang w:val="en-GB"/>
              </w:rPr>
              <w:t>Yes, but not started</w:t>
            </w:r>
          </w:p>
          <w:p w:rsidR="000215C5" w:rsidRPr="008D6A99" w:rsidRDefault="00703023">
            <w:pPr>
              <w:jc w:val="both"/>
              <w:rPr>
                <w:lang w:val="en-GB"/>
              </w:rPr>
            </w:pPr>
            <w:r w:rsidRPr="008D6A99">
              <w:rPr>
                <w:lang w:val="en-GB"/>
              </w:rPr>
              <w:t>No</w:t>
            </w:r>
          </w:p>
          <w:p w:rsidR="000215C5" w:rsidRPr="008D6A99" w:rsidRDefault="00703023">
            <w:pPr>
              <w:spacing w:after="120"/>
              <w:jc w:val="both"/>
              <w:rPr>
                <w:szCs w:val="24"/>
                <w:lang w:val="en-GB"/>
              </w:rPr>
            </w:pPr>
            <w:r w:rsidRPr="008D6A99">
              <w:rPr>
                <w:b/>
                <w:lang w:val="en-GB"/>
              </w:rPr>
              <w:t xml:space="preserve">Egenskaper: </w:t>
            </w:r>
            <w:r w:rsidRPr="008D6A99">
              <w:rPr>
                <w:lang w:val="en-GB"/>
              </w:rPr>
              <w:t>maxOccurs = 1 minOccurs = 1</w:t>
            </w:r>
          </w:p>
          <w:p w:rsidR="000215C5" w:rsidRDefault="00703023">
            <w:pPr>
              <w:spacing w:after="120"/>
              <w:jc w:val="both"/>
              <w:rPr>
                <w:szCs w:val="24"/>
              </w:rPr>
            </w:pPr>
            <w:r>
              <w:rPr>
                <w:b/>
              </w:rPr>
              <w:t>Vägledning om hur man fyller i mallposten</w:t>
            </w:r>
            <w:r>
              <w:t>: Krävs. Ange om ny lagstiftning eller nya föreskrifter krävdes för att genomföra åtgärdsplanerna under den första cykeln.</w:t>
            </w:r>
          </w:p>
        </w:tc>
      </w:tr>
      <w:tr w:rsidR="000215C5">
        <w:trPr>
          <w:cantSplit/>
        </w:trPr>
        <w:tc>
          <w:tcPr>
            <w:tcW w:w="9853" w:type="dxa"/>
            <w:shd w:val="clear" w:color="auto" w:fill="auto"/>
          </w:tcPr>
          <w:p w:rsidR="000215C5" w:rsidRDefault="00703023">
            <w:pPr>
              <w:spacing w:after="120"/>
              <w:jc w:val="both"/>
              <w:rPr>
                <w:b/>
                <w:szCs w:val="24"/>
              </w:rPr>
            </w:pPr>
            <w:r>
              <w:rPr>
                <w:b/>
              </w:rPr>
              <w:t>Mallpost</w:t>
            </w:r>
            <w:r>
              <w:t>:</w:t>
            </w:r>
            <w:r>
              <w:rPr>
                <w:b/>
              </w:rPr>
              <w:t xml:space="preserve"> </w:t>
            </w:r>
            <w:r>
              <w:t>statusImplementationPoM</w:t>
            </w:r>
          </w:p>
          <w:p w:rsidR="000215C5" w:rsidRDefault="00703023">
            <w:pPr>
              <w:spacing w:after="120"/>
              <w:jc w:val="both"/>
              <w:rPr>
                <w:szCs w:val="24"/>
              </w:rPr>
            </w:pPr>
            <w:r>
              <w:rPr>
                <w:b/>
              </w:rPr>
              <w:t xml:space="preserve">Fälttyp/alternativ: </w:t>
            </w:r>
            <w:r>
              <w:t>StatusImplementationPoM_Enum:</w:t>
            </w:r>
          </w:p>
          <w:p w:rsidR="000215C5" w:rsidRDefault="00703023">
            <w:pPr>
              <w:spacing w:after="120"/>
              <w:jc w:val="both"/>
              <w:rPr>
                <w:szCs w:val="24"/>
              </w:rPr>
            </w:pPr>
            <w:r>
              <w:t>All planned measures started</w:t>
            </w:r>
          </w:p>
          <w:p w:rsidR="000215C5" w:rsidRPr="008D6A99" w:rsidRDefault="00703023">
            <w:pPr>
              <w:spacing w:after="120"/>
              <w:jc w:val="both"/>
              <w:rPr>
                <w:szCs w:val="24"/>
                <w:lang w:val="en-GB"/>
              </w:rPr>
            </w:pPr>
            <w:r w:rsidRPr="008D6A99">
              <w:rPr>
                <w:lang w:val="en-GB"/>
              </w:rPr>
              <w:t>Some planned measures started</w:t>
            </w:r>
          </w:p>
          <w:p w:rsidR="000215C5" w:rsidRPr="008D6A99" w:rsidRDefault="00703023">
            <w:pPr>
              <w:spacing w:after="120"/>
              <w:jc w:val="both"/>
              <w:rPr>
                <w:szCs w:val="24"/>
                <w:lang w:val="en-GB"/>
              </w:rPr>
            </w:pPr>
            <w:r w:rsidRPr="008D6A99">
              <w:rPr>
                <w:lang w:val="en-GB"/>
              </w:rPr>
              <w:t>Some measures completed</w:t>
            </w:r>
          </w:p>
          <w:p w:rsidR="000215C5" w:rsidRPr="008D6A99" w:rsidRDefault="00703023">
            <w:pPr>
              <w:spacing w:after="120"/>
              <w:jc w:val="both"/>
              <w:rPr>
                <w:szCs w:val="24"/>
                <w:lang w:val="en-GB"/>
              </w:rPr>
            </w:pPr>
            <w:r w:rsidRPr="008D6A99">
              <w:rPr>
                <w:lang w:val="en-GB"/>
              </w:rPr>
              <w:t>All measures completed</w:t>
            </w:r>
          </w:p>
          <w:p w:rsidR="000215C5" w:rsidRPr="008D6A99" w:rsidRDefault="00703023">
            <w:pPr>
              <w:spacing w:after="120"/>
              <w:jc w:val="both"/>
              <w:rPr>
                <w:szCs w:val="24"/>
                <w:lang w:val="en-GB"/>
              </w:rPr>
            </w:pPr>
            <w:r w:rsidRPr="008D6A99">
              <w:rPr>
                <w:lang w:val="en-GB"/>
              </w:rPr>
              <w:t>No measures started</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Välj den beskrivning från uppräkningslistan som bäst motsvarar genomförandenivån för åtgärdsplanerna för den första cykeln i avrinningsdistriktet.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improvementInStatusGeneral</w:t>
            </w:r>
          </w:p>
          <w:p w:rsidR="000215C5" w:rsidRDefault="00703023">
            <w:pPr>
              <w:spacing w:after="120"/>
              <w:jc w:val="both"/>
              <w:rPr>
                <w:szCs w:val="24"/>
              </w:rPr>
            </w:pPr>
            <w:r>
              <w:rPr>
                <w:b/>
              </w:rPr>
              <w:t xml:space="preserve">Fälttyp/alternativ: </w:t>
            </w:r>
            <w:r>
              <w:t>ImprovementInStatusGeneral_Enum:</w:t>
            </w:r>
          </w:p>
          <w:p w:rsidR="000215C5" w:rsidRDefault="00703023">
            <w:pPr>
              <w:spacing w:after="120"/>
              <w:jc w:val="both"/>
              <w:rPr>
                <w:szCs w:val="24"/>
              </w:rPr>
            </w:pPr>
            <w:r>
              <w:t>As described in the RBMP</w:t>
            </w:r>
          </w:p>
          <w:p w:rsidR="000215C5" w:rsidRPr="008D6A99" w:rsidRDefault="00703023">
            <w:pPr>
              <w:spacing w:after="120"/>
              <w:jc w:val="both"/>
              <w:rPr>
                <w:szCs w:val="24"/>
                <w:lang w:val="en-GB"/>
              </w:rPr>
            </w:pPr>
            <w:r w:rsidRPr="008D6A99">
              <w:rPr>
                <w:lang w:val="en-GB"/>
              </w:rPr>
              <w:t>Less than described in the RBMP</w:t>
            </w:r>
          </w:p>
          <w:p w:rsidR="000215C5" w:rsidRPr="008D6A99" w:rsidRDefault="00703023">
            <w:pPr>
              <w:spacing w:after="120"/>
              <w:jc w:val="both"/>
              <w:rPr>
                <w:szCs w:val="24"/>
                <w:lang w:val="en-GB"/>
              </w:rPr>
            </w:pPr>
            <w:r w:rsidRPr="008D6A99">
              <w:rPr>
                <w:lang w:val="en-GB"/>
              </w:rPr>
              <w:t>Greater than expected in the RBMP</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den förväntade eller faktiska förbättringen av vattenförekomsternas övergripande status generellt sett i slutet av den första planeringscykeln från uppräkningslistan.</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improvementsInStatusEcologicalSWB</w:t>
            </w:r>
          </w:p>
          <w:p w:rsidR="000215C5" w:rsidRDefault="00703023">
            <w:pPr>
              <w:spacing w:after="120"/>
              <w:jc w:val="both"/>
              <w:rPr>
                <w:szCs w:val="24"/>
              </w:rPr>
            </w:pPr>
            <w:r>
              <w:rPr>
                <w:b/>
              </w:rPr>
              <w:t xml:space="preserve">Fälttyp/alternativ: </w:t>
            </w:r>
            <w:r>
              <w:t>ImprovementInStatusGeneral_Enum:</w:t>
            </w:r>
          </w:p>
          <w:p w:rsidR="000215C5" w:rsidRDefault="00703023">
            <w:pPr>
              <w:spacing w:after="120"/>
              <w:jc w:val="both"/>
              <w:rPr>
                <w:szCs w:val="24"/>
              </w:rPr>
            </w:pPr>
            <w:r>
              <w:t>As described in the RBMP</w:t>
            </w:r>
          </w:p>
          <w:p w:rsidR="000215C5" w:rsidRPr="008D6A99" w:rsidRDefault="00703023">
            <w:pPr>
              <w:spacing w:after="120"/>
              <w:jc w:val="both"/>
              <w:rPr>
                <w:szCs w:val="24"/>
                <w:lang w:val="en-GB"/>
              </w:rPr>
            </w:pPr>
            <w:r w:rsidRPr="008D6A99">
              <w:rPr>
                <w:lang w:val="en-GB"/>
              </w:rPr>
              <w:t>Less than described in the RBMP</w:t>
            </w:r>
          </w:p>
          <w:p w:rsidR="000215C5" w:rsidRPr="008D6A99" w:rsidRDefault="00703023">
            <w:pPr>
              <w:spacing w:after="120"/>
              <w:jc w:val="both"/>
              <w:rPr>
                <w:szCs w:val="24"/>
                <w:lang w:val="en-GB"/>
              </w:rPr>
            </w:pPr>
            <w:r w:rsidRPr="008D6A99">
              <w:rPr>
                <w:lang w:val="en-GB"/>
              </w:rPr>
              <w:t>Greater than expected in the RBMP</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den förväntade eller faktiska förbättringen av ytvattenförekomsternas ekologiska status eller potential i slutet av den första planeringscykeln från uppräkningslistan.</w:t>
            </w:r>
          </w:p>
        </w:tc>
      </w:tr>
      <w:tr w:rsidR="000215C5">
        <w:tc>
          <w:tcPr>
            <w:tcW w:w="9853" w:type="dxa"/>
            <w:shd w:val="clear" w:color="auto" w:fill="auto"/>
          </w:tcPr>
          <w:p w:rsidR="000215C5" w:rsidRDefault="00703023">
            <w:pPr>
              <w:spacing w:after="120"/>
              <w:jc w:val="both"/>
              <w:rPr>
                <w:b/>
                <w:szCs w:val="24"/>
              </w:rPr>
            </w:pPr>
            <w:r>
              <w:rPr>
                <w:b/>
              </w:rPr>
              <w:t xml:space="preserve">Mallpost: </w:t>
            </w:r>
            <w:r>
              <w:t>improvementsInStatusChemicalSWB</w:t>
            </w:r>
          </w:p>
          <w:p w:rsidR="000215C5" w:rsidRDefault="00703023">
            <w:pPr>
              <w:spacing w:after="120"/>
              <w:jc w:val="both"/>
              <w:rPr>
                <w:szCs w:val="24"/>
              </w:rPr>
            </w:pPr>
            <w:r>
              <w:rPr>
                <w:b/>
              </w:rPr>
              <w:t xml:space="preserve">Fälttyp/alternativ: </w:t>
            </w:r>
            <w:r>
              <w:t>ImprovementInStatusGeneral_Enum:</w:t>
            </w:r>
          </w:p>
          <w:p w:rsidR="000215C5" w:rsidRDefault="00703023">
            <w:pPr>
              <w:spacing w:after="120"/>
              <w:jc w:val="both"/>
              <w:rPr>
                <w:szCs w:val="24"/>
              </w:rPr>
            </w:pPr>
            <w:r>
              <w:t>As described in the RBMP</w:t>
            </w:r>
          </w:p>
          <w:p w:rsidR="000215C5" w:rsidRPr="008D6A99" w:rsidRDefault="00703023">
            <w:pPr>
              <w:spacing w:after="120"/>
              <w:jc w:val="both"/>
              <w:rPr>
                <w:szCs w:val="24"/>
                <w:lang w:val="en-GB"/>
              </w:rPr>
            </w:pPr>
            <w:r w:rsidRPr="008D6A99">
              <w:rPr>
                <w:lang w:val="en-GB"/>
              </w:rPr>
              <w:t>Less than described in the RBMP</w:t>
            </w:r>
          </w:p>
          <w:p w:rsidR="000215C5" w:rsidRPr="008D6A99" w:rsidRDefault="00703023">
            <w:pPr>
              <w:spacing w:after="120"/>
              <w:jc w:val="both"/>
              <w:rPr>
                <w:szCs w:val="24"/>
                <w:lang w:val="en-GB"/>
              </w:rPr>
            </w:pPr>
            <w:r w:rsidRPr="008D6A99">
              <w:rPr>
                <w:lang w:val="en-GB"/>
              </w:rPr>
              <w:t>Greater than expected in the RBMP</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den förväntade eller faktiska förbättringen av ytvattenförekomsternas kemiska status i slutet av den första planeringscykeln från uppräkningslistan.</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improvementsInStatusQuantitativeGWB</w:t>
            </w:r>
          </w:p>
          <w:p w:rsidR="000215C5" w:rsidRDefault="00703023">
            <w:pPr>
              <w:spacing w:after="120"/>
              <w:jc w:val="both"/>
              <w:rPr>
                <w:szCs w:val="24"/>
              </w:rPr>
            </w:pPr>
            <w:r>
              <w:rPr>
                <w:b/>
              </w:rPr>
              <w:t xml:space="preserve">Fälttyp/alternativ: </w:t>
            </w:r>
            <w:r>
              <w:t>ImprovementInStatusGeneral_Enum:</w:t>
            </w:r>
          </w:p>
          <w:p w:rsidR="000215C5" w:rsidRPr="002E450A" w:rsidRDefault="00703023">
            <w:pPr>
              <w:spacing w:after="120"/>
              <w:jc w:val="both"/>
              <w:rPr>
                <w:szCs w:val="24"/>
                <w:lang w:val="en-US"/>
              </w:rPr>
            </w:pPr>
            <w:r w:rsidRPr="002E450A">
              <w:rPr>
                <w:lang w:val="en-US"/>
              </w:rPr>
              <w:t>As described in the RBMP</w:t>
            </w:r>
          </w:p>
          <w:p w:rsidR="000215C5" w:rsidRPr="008D6A99" w:rsidRDefault="00703023">
            <w:pPr>
              <w:spacing w:after="120"/>
              <w:jc w:val="both"/>
              <w:rPr>
                <w:szCs w:val="24"/>
                <w:lang w:val="en-GB"/>
              </w:rPr>
            </w:pPr>
            <w:r w:rsidRPr="008D6A99">
              <w:rPr>
                <w:lang w:val="en-GB"/>
              </w:rPr>
              <w:t>Less than described in the RBMP</w:t>
            </w:r>
          </w:p>
          <w:p w:rsidR="000215C5" w:rsidRPr="008D6A99" w:rsidRDefault="00703023">
            <w:pPr>
              <w:spacing w:after="120"/>
              <w:jc w:val="both"/>
              <w:rPr>
                <w:szCs w:val="24"/>
                <w:lang w:val="en-GB"/>
              </w:rPr>
            </w:pPr>
            <w:r w:rsidRPr="008D6A99">
              <w:rPr>
                <w:lang w:val="en-GB"/>
              </w:rPr>
              <w:t>Greater than expected in the RBMP</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den förväntade eller faktiska förbättringen av grundvattenförekomsternas kvantitativa status i slutet av den första planeringscykeln från uppräkningslistan.</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improvementsInStatusChemicalGWB</w:t>
            </w:r>
          </w:p>
          <w:p w:rsidR="000215C5" w:rsidRDefault="00703023">
            <w:pPr>
              <w:spacing w:after="120"/>
              <w:jc w:val="both"/>
              <w:rPr>
                <w:szCs w:val="24"/>
              </w:rPr>
            </w:pPr>
            <w:r>
              <w:rPr>
                <w:b/>
              </w:rPr>
              <w:t xml:space="preserve">Fälttyp/alternativ: </w:t>
            </w:r>
            <w:r>
              <w:t>ImprovementInStatusGeneral_Enum:</w:t>
            </w:r>
          </w:p>
          <w:p w:rsidR="000215C5" w:rsidRDefault="00703023">
            <w:pPr>
              <w:spacing w:after="120"/>
              <w:jc w:val="both"/>
              <w:rPr>
                <w:szCs w:val="24"/>
              </w:rPr>
            </w:pPr>
            <w:r>
              <w:t>As described in the RBMP</w:t>
            </w:r>
          </w:p>
          <w:p w:rsidR="000215C5" w:rsidRPr="008D6A99" w:rsidRDefault="00703023">
            <w:pPr>
              <w:spacing w:after="120"/>
              <w:jc w:val="both"/>
              <w:rPr>
                <w:szCs w:val="24"/>
                <w:lang w:val="en-GB"/>
              </w:rPr>
            </w:pPr>
            <w:r w:rsidRPr="008D6A99">
              <w:rPr>
                <w:lang w:val="en-GB"/>
              </w:rPr>
              <w:t>Less than described in the RBMP</w:t>
            </w:r>
          </w:p>
          <w:p w:rsidR="000215C5" w:rsidRPr="008D6A99" w:rsidRDefault="00703023">
            <w:pPr>
              <w:spacing w:after="120"/>
              <w:jc w:val="both"/>
              <w:rPr>
                <w:szCs w:val="24"/>
                <w:lang w:val="en-GB"/>
              </w:rPr>
            </w:pPr>
            <w:r w:rsidRPr="008D6A99">
              <w:rPr>
                <w:lang w:val="en-GB"/>
              </w:rPr>
              <w:t>Greater than expected in the RBMP</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den förväntade eller faktiska förbättringen av grundvattenförekomsternas kemiska status i slutet av den första planeringscykeln från uppräkningslistan.</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obstaclesGovernance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ledningsproblem utgjort ett hinder för genomförandet av åtgärdsplanerna?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obstaclesDelays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oväntade förseningar i planeringen utgjort ett hinder för genomförandet av åtgärdsplanerna?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obstaclesLackOfFinance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brist på finansiering utgjort ett hinder för genomförandet av åtgärdsplanerna?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obstaclesLackOfMechanism</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bristen på en mekanism för att genomföra åtgärderna (t.ex. att nationella föreskrifter inte antagits ännu) utgjort ett hinder för genomförandet av åtgärdsplanerna?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obstaclesLackOfMeasures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bristen på effektiva åtgärder utgjort ett hinder för genomförandet av åtgärdsplanerna?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obstaclesNotCostEffective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vissa planerade åtgärder som inte längre anses vara kostnadseffektiva utgjort ett hinder för genomförandet av åtgärdsplanerna?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obstaclesExtremeEvents</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Har några oväntade extrema händelser utgjort ett hinder för genomförandet av åtgärdsplanerna?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obstaclesOther</w:t>
            </w:r>
          </w:p>
          <w:p w:rsidR="000215C5" w:rsidRDefault="00703023">
            <w:pPr>
              <w:spacing w:after="120"/>
              <w:jc w:val="both"/>
              <w:rPr>
                <w:b/>
                <w:szCs w:val="24"/>
              </w:rPr>
            </w:pPr>
            <w:r>
              <w:rPr>
                <w:b/>
              </w:rPr>
              <w:t xml:space="preserve">Fälttyp/alternativ: </w:t>
            </w:r>
            <w:r>
              <w:t>String100Type</w:t>
            </w:r>
          </w:p>
          <w:p w:rsidR="000215C5" w:rsidRDefault="00703023">
            <w:pPr>
              <w:spacing w:after="120"/>
              <w:jc w:val="both"/>
              <w:rPr>
                <w:b/>
                <w:szCs w:val="24"/>
              </w:rPr>
            </w:pPr>
            <w:r>
              <w:rPr>
                <w:b/>
              </w:rPr>
              <w:t xml:space="preserve">Egenskaper: </w:t>
            </w:r>
            <w:r>
              <w:t>maxOccurs = 1 minOccurs = 0</w:t>
            </w:r>
          </w:p>
          <w:p w:rsidR="000215C5" w:rsidRDefault="00703023">
            <w:pPr>
              <w:spacing w:after="120"/>
              <w:jc w:val="both"/>
              <w:rPr>
                <w:szCs w:val="24"/>
              </w:rPr>
            </w:pPr>
            <w:r>
              <w:rPr>
                <w:b/>
              </w:rPr>
              <w:t xml:space="preserve">Vägledning om hur man fyller i mallposten: </w:t>
            </w:r>
            <w:r>
              <w:t>Frivilligt. Ange om andra faktorer har hindrat genomförandet av åtgärdsplanerna. Fler än en hindrade faktor får rapporteras i samma sträng.</w:t>
            </w:r>
          </w:p>
        </w:tc>
      </w:tr>
      <w:tr w:rsidR="000215C5">
        <w:tc>
          <w:tcPr>
            <w:tcW w:w="9853" w:type="dxa"/>
            <w:shd w:val="clear" w:color="auto" w:fill="auto"/>
          </w:tcPr>
          <w:p w:rsidR="000215C5" w:rsidRDefault="00703023">
            <w:pPr>
              <w:spacing w:after="120"/>
              <w:jc w:val="both"/>
              <w:rPr>
                <w:b/>
                <w:szCs w:val="24"/>
              </w:rPr>
            </w:pPr>
            <w:r>
              <w:rPr>
                <w:b/>
              </w:rPr>
              <w:t>Mallpost</w:t>
            </w:r>
            <w:r>
              <w:t>: measuresFromFirstProgrammeReference</w:t>
            </w:r>
          </w:p>
          <w:p w:rsidR="000215C5" w:rsidRDefault="00703023">
            <w:pPr>
              <w:spacing w:after="120"/>
              <w:jc w:val="both"/>
              <w:rPr>
                <w:b/>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w:t>
            </w:r>
            <w:r>
              <w:rPr>
                <w:b/>
              </w:rPr>
              <w:t xml:space="preserve"> </w:t>
            </w:r>
            <w:r>
              <w:t xml:space="preserve">Krävs. Ange hänvisningar eller hyperlänkar till dokument och avsnitt som innehåller mer information om framstegen med och resultaten av åtgärdsprogrammet för den första planeringscykeln. Vägledning om vilka uppgifter som bör ingå i detta dokument ges i avsnitt </w:t>
            </w:r>
            <w:r>
              <w:fldChar w:fldCharType="begin"/>
            </w:r>
            <w:r>
              <w:instrText xml:space="preserve"> REF _Ref389057915 \r \h  \* MERGEFORMAT </w:instrText>
            </w:r>
            <w:r>
              <w:fldChar w:fldCharType="separate"/>
            </w:r>
            <w:r>
              <w:rPr>
                <w:szCs w:val="24"/>
              </w:rPr>
              <w:t>10.5.3.3</w:t>
            </w:r>
            <w:r>
              <w:fldChar w:fldCharType="end"/>
            </w:r>
            <w:r>
              <w:t>.</w:t>
            </w:r>
          </w:p>
        </w:tc>
      </w:tr>
    </w:tbl>
    <w:p w:rsidR="000215C5" w:rsidRDefault="000215C5">
      <w:pPr>
        <w:jc w:val="both"/>
      </w:pPr>
    </w:p>
    <w:p w:rsidR="000215C5" w:rsidRDefault="00703023">
      <w:pPr>
        <w:pStyle w:val="Rubrik4"/>
      </w:pPr>
      <w:bookmarkStart w:id="799" w:name="_Ref389057915"/>
      <w:r>
        <w:t>Vägledning om innehållet i förvaltningsplanerna för avrinningsdistrikt eller i bakgrundsdokument</w:t>
      </w:r>
      <w:bookmarkEnd w:id="799"/>
    </w:p>
    <w:p w:rsidR="000215C5" w:rsidRDefault="00703023">
      <w:pPr>
        <w:jc w:val="both"/>
      </w:pPr>
      <w:r>
        <w:t>Nedan ges vägledning om de uppgifter som kommissionen förväntar sig att medlemsstaterna lämnar i de relevanta kapitlen om framsteg i genomförandet av åtgärdsplanerna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pPr>
      <w:r>
        <w:t>De faktiska och förväntade resultaten av den första förvaltningsplanen och åtgärdsplanen ska anges. En förklaring ska lämnas om hur dessa resultat har påverkat eller kan påverka planeringen för den andra cykeln (se bilaga VII del B i vattendirektivet). Denna information kan lämnas i separata dokument som har tagits fram särskilt av medlemsstaten eller tas med separat som ett kapitel eller en bilaga i den andra förvaltningsplanen.</w:t>
      </w:r>
    </w:p>
    <w:p w:rsidR="000215C5" w:rsidRDefault="00703023">
      <w:pPr>
        <w:jc w:val="both"/>
      </w:pPr>
      <w:r>
        <w:t>Särskild information krävs om följande aspekter:</w:t>
      </w:r>
    </w:p>
    <w:p w:rsidR="000215C5" w:rsidRDefault="00703023">
      <w:pPr>
        <w:numPr>
          <w:ilvl w:val="0"/>
          <w:numId w:val="42"/>
        </w:numPr>
        <w:jc w:val="both"/>
      </w:pPr>
      <w:r>
        <w:t>Hur har ett ekonomiskt åtagande säkrats för de planerade åtgärdsplanerna? Saknas finansiering för åtgärder för särskilda sektorer? Vilka var de främsta finansieringskällorna för de genomförda åtgärderna?</w:t>
      </w:r>
    </w:p>
    <w:p w:rsidR="000215C5" w:rsidRDefault="00703023">
      <w:pPr>
        <w:numPr>
          <w:ilvl w:val="0"/>
          <w:numId w:val="42"/>
        </w:numPr>
        <w:jc w:val="both"/>
      </w:pPr>
      <w:r>
        <w:t>Har framsteg gjorts i genomförandet av eventuell ny lagstiftning eller nya föreskrifter som krävs för genomförandet av de planerade åtgärderna? Vilka sektorer krävde främst ny lagstiftning eller nya föreskrifter, och hur var läget för genomförandet av eventuell ny nödvändig lagstiftning eller nya föreskrifter i slutet av den första planeringsperioden?</w:t>
      </w:r>
    </w:p>
    <w:p w:rsidR="000215C5" w:rsidRDefault="00703023">
      <w:pPr>
        <w:numPr>
          <w:ilvl w:val="0"/>
          <w:numId w:val="42"/>
        </w:numPr>
        <w:jc w:val="both"/>
      </w:pPr>
      <w:r>
        <w:t>Vilken är den förväntade statusen för de planerade åtgärderna i slutet av den första planeringscykeln? Om alla åtgärder inte har blivit operativa under planeringsperioden, vilka sektorer och åtgärder berördes främst av detta?</w:t>
      </w:r>
    </w:p>
    <w:p w:rsidR="000215C5" w:rsidRDefault="00703023">
      <w:pPr>
        <w:numPr>
          <w:ilvl w:val="0"/>
          <w:numId w:val="42"/>
        </w:numPr>
        <w:jc w:val="both"/>
      </w:pPr>
      <w:r>
        <w:t>Vilka erfarenheter har vunnits under den första planeringscykeln när det gäller åtgärdernas effektivitet för att förbättra vattenförekomsternas status? Riktades åtgärderna effektivt mot betydande påverkan, och vilka skillnader fanns det i åtgärdernas effektivitet mellan olika sektorer och vattenkategorier?</w:t>
      </w:r>
    </w:p>
    <w:p w:rsidR="000215C5" w:rsidRDefault="00703023">
      <w:pPr>
        <w:numPr>
          <w:ilvl w:val="0"/>
          <w:numId w:val="42"/>
        </w:numPr>
        <w:jc w:val="both"/>
      </w:pPr>
      <w:r>
        <w:t>Vilka hinder uppstod under genomförandet av åtgärdsplanerna?</w:t>
      </w:r>
    </w:p>
    <w:p w:rsidR="000215C5" w:rsidRDefault="00703023">
      <w:pPr>
        <w:numPr>
          <w:ilvl w:val="0"/>
          <w:numId w:val="42"/>
        </w:numPr>
        <w:jc w:val="both"/>
      </w:pPr>
      <w:r>
        <w:t>Vilka var de viktigaste resultaten och de största misslyckandena under den första planeringscykeln, t.ex. när det gällde att uppnå eller överskrida målen för den första förvaltningsplanen samt uppnå förbättringar av vattenförekomsternas status?</w:t>
      </w:r>
    </w:p>
    <w:p w:rsidR="000215C5" w:rsidRDefault="00703023">
      <w:pPr>
        <w:numPr>
          <w:ilvl w:val="0"/>
          <w:numId w:val="42"/>
        </w:numPr>
        <w:jc w:val="both"/>
      </w:pPr>
      <w:r>
        <w:t>Hur har de åtgärder som planerades för 2009–2015 men som inte genomfördes fullständigt eller inte blev operativa överförts till åtgärdsplanen 2015–2021 i förhållande till centrala åtgärder och/eller berörda sektorer? Vilka är de viktigaste faktorerna bakom denna situation?</w:t>
      </w:r>
    </w:p>
    <w:p w:rsidR="000215C5" w:rsidRDefault="00703023">
      <w:pPr>
        <w:pStyle w:val="Rubrik1"/>
        <w:jc w:val="both"/>
      </w:pPr>
      <w:bookmarkStart w:id="800" w:name="_Toc375220134"/>
      <w:bookmarkStart w:id="801" w:name="_Toc375294188"/>
      <w:bookmarkStart w:id="802" w:name="_Toc386464260"/>
      <w:bookmarkStart w:id="803" w:name="_Toc388280375"/>
      <w:bookmarkStart w:id="804" w:name="_Ref425264505"/>
      <w:bookmarkStart w:id="805" w:name="_Toc425522087"/>
      <w:bookmarkStart w:id="806" w:name="_Toc432666099"/>
      <w:bookmarkStart w:id="807" w:name="_Toc437520295"/>
      <w:r>
        <w:t>Rapportering på nivån för avrinningsdistrikt/delavrinningsdistrikt för ekonomisk analys och kostnadstäckning (mallen RBMPPoM)</w:t>
      </w:r>
      <w:bookmarkEnd w:id="800"/>
      <w:bookmarkEnd w:id="801"/>
      <w:bookmarkEnd w:id="802"/>
      <w:bookmarkEnd w:id="803"/>
      <w:bookmarkEnd w:id="804"/>
      <w:bookmarkEnd w:id="805"/>
      <w:bookmarkEnd w:id="806"/>
      <w:bookmarkEnd w:id="807"/>
    </w:p>
    <w:p w:rsidR="000215C5" w:rsidRDefault="00703023">
      <w:pPr>
        <w:pStyle w:val="Rubrik2"/>
        <w:jc w:val="both"/>
      </w:pPr>
      <w:bookmarkStart w:id="808" w:name="_Toc386464261"/>
      <w:bookmarkStart w:id="809" w:name="_Toc388280376"/>
      <w:bookmarkStart w:id="810" w:name="_Toc425522088"/>
      <w:bookmarkStart w:id="811" w:name="_Toc432666100"/>
      <w:bookmarkStart w:id="812" w:name="_Toc437520296"/>
      <w:r>
        <w:t>Inledning</w:t>
      </w:r>
      <w:bookmarkEnd w:id="808"/>
      <w:bookmarkEnd w:id="809"/>
      <w:bookmarkEnd w:id="810"/>
      <w:bookmarkEnd w:id="811"/>
      <w:bookmarkEnd w:id="812"/>
    </w:p>
    <w:p w:rsidR="000215C5" w:rsidRDefault="00703023">
      <w:pPr>
        <w:jc w:val="both"/>
      </w:pPr>
      <w:r>
        <w:t xml:space="preserve">Enligt artikel 5 i vattendirektivet ska medlemsstaterna utföra en ekonomisk analys av vattenanvändningen enligt anvisningarna i bilaga III. Enligt artikel 13 och bilaga VII skulle medlemsstaterna lämna sammanfattande rapporter av de analyser som krävs enligt artikel 5 och bilaga II som ett led i de första förvaltningsplanerna. </w:t>
      </w:r>
    </w:p>
    <w:p w:rsidR="000215C5" w:rsidRDefault="00703023">
      <w:pPr>
        <w:jc w:val="both"/>
      </w:pPr>
      <w:r>
        <w:t>I bilaga III till vattendirektivet anges att den ekonomiska analysen ska innehålla tillräcklig och tillräckligt detaljerad information (med beaktande av kostnaden för att samla in de relevanta uppgifterna) för att det ska vara möjligt att göra</w:t>
      </w:r>
    </w:p>
    <w:p w:rsidR="000215C5" w:rsidRDefault="00703023">
      <w:pPr>
        <w:numPr>
          <w:ilvl w:val="0"/>
          <w:numId w:val="35"/>
        </w:numPr>
        <w:jc w:val="both"/>
      </w:pPr>
      <w:r>
        <w:t xml:space="preserve">de relevanta beräkningarna för att i enlighet med artikel 9 beakta principen om täckning av kostnaderna för vattentjänster med hänsyn till långsiktiga försörjnings- och behovsprognoser avseende vattnet i avrinningsdistriktet och, om nödvändigt </w:t>
      </w:r>
    </w:p>
    <w:p w:rsidR="000215C5" w:rsidRDefault="00703023">
      <w:pPr>
        <w:numPr>
          <w:ilvl w:val="1"/>
          <w:numId w:val="35"/>
        </w:numPr>
        <w:jc w:val="both"/>
      </w:pPr>
      <w:r>
        <w:t>uppskattningar av de volymer, priser och kostnader som är förenade med vattentjänster, och</w:t>
      </w:r>
    </w:p>
    <w:p w:rsidR="000215C5" w:rsidRDefault="00703023">
      <w:pPr>
        <w:numPr>
          <w:ilvl w:val="1"/>
          <w:numId w:val="35"/>
        </w:numPr>
        <w:jc w:val="both"/>
      </w:pPr>
      <w:r>
        <w:t>uppskattningar av relevanta investeringar, däri inbegripet prognoser för sådana investeringar,</w:t>
      </w:r>
    </w:p>
    <w:p w:rsidR="000215C5" w:rsidRDefault="00703023">
      <w:pPr>
        <w:numPr>
          <w:ilvl w:val="0"/>
          <w:numId w:val="35"/>
        </w:numPr>
        <w:jc w:val="both"/>
      </w:pPr>
      <w:r>
        <w:t>bedömningar av den mest kostnadseffektiva kombination av åtgärder när det gäller vattenanvändningen som ska ingå i det åtgärdsprogram som avses i artikel 11, på grundval av uppskattningar av de potentiella kostnaderna för sådana åtgärder.</w:t>
      </w:r>
    </w:p>
    <w:p w:rsidR="000215C5" w:rsidRDefault="00703023">
      <w:pPr>
        <w:jc w:val="both"/>
      </w:pPr>
      <w:r>
        <w:t>Vattendirektivet är det första av EU:s miljöpolitiska verktyg som uttryckligen integrerar ekonomiska principer (t.ex. principen om att förorenaren betalar), ekonomiska verktyg och metoder (t.ex. kostnadseffektivitetsanalys) och ekonomiska instrument (t.ex. miljöavgifter och miljöskatter) i en EU-vattenrättsakt. Detta bygger på insikten att ekonomiska principer och instrument kan vara viktiga verktyg för att hantera de faktorer som påverkar Europas vatten.</w:t>
      </w:r>
    </w:p>
    <w:p w:rsidR="000215C5" w:rsidRDefault="00703023">
      <w:pPr>
        <w:jc w:val="both"/>
      </w:pPr>
      <w:r>
        <w:t>I artikel 9 i vattendirektivet</w:t>
      </w:r>
      <w:r>
        <w:rPr>
          <w:vertAlign w:val="superscript"/>
        </w:rPr>
        <w:footnoteReference w:id="132"/>
      </w:r>
      <w:r>
        <w:t xml:space="preserve"> anges tre allmänna principer som är nära förknippade med varandra men inte identiska, eftersom varje princip medför särskilda krav på ekonomi i allmänhet och vattenprissättning i synnerhet:</w:t>
      </w:r>
    </w:p>
    <w:p w:rsidR="000215C5" w:rsidRDefault="00703023">
      <w:pPr>
        <w:numPr>
          <w:ilvl w:val="0"/>
          <w:numId w:val="36"/>
        </w:numPr>
        <w:jc w:val="both"/>
      </w:pPr>
      <w:r>
        <w:t>Incitament i prissättningen handlar om hur vattenanvändarna betalar för vattenanvändningen och om rätt prissignaler förmedlas, dvs. hur vattenanvändarna betalar för vattnet och hur vattenpriset påverkar deras beteende.</w:t>
      </w:r>
    </w:p>
    <w:p w:rsidR="000215C5" w:rsidRDefault="00703023">
      <w:pPr>
        <w:numPr>
          <w:ilvl w:val="0"/>
          <w:numId w:val="36"/>
        </w:numPr>
        <w:jc w:val="both"/>
      </w:pPr>
      <w:r>
        <w:t>Principen om att förorenaren betalar fastställer hur miljökostnaderna bör täckas bland de ekonomiska aktörerna, dvs. om bidragen från olika aktörer är lämpliga baserat på hur de medverkar till att kostnaderna uppstår.</w:t>
      </w:r>
    </w:p>
    <w:p w:rsidR="000215C5" w:rsidRDefault="00703023">
      <w:pPr>
        <w:numPr>
          <w:ilvl w:val="0"/>
          <w:numId w:val="36"/>
        </w:numPr>
        <w:jc w:val="both"/>
      </w:pPr>
      <w:r>
        <w:t>Kostnadstäckning utgör det totala belopp som användarna betalar för vattentjänsterna. Vattendirektivet föreskriver en adekvat kostnadstäckning, inte bara av de ekonomiska kostnaderna för tillhandahållandet av vattentjänsten, utan även av kostnaderna för de relaterade negativa miljöeffekterna (miljökostnader) samt uteblivna möjligheter till alternativa vattenanvändningar (resurskostnader).</w:t>
      </w:r>
    </w:p>
    <w:p w:rsidR="000215C5" w:rsidRDefault="00703023">
      <w:pPr>
        <w:jc w:val="both"/>
      </w:pPr>
      <w:r>
        <w:t>Tillämpningsområdet för definitionen av vattentjänster har inte fastställts, men avspeglar de verksamheter som ger upphov till betydande påverkan på vattenförekomster i medlemsstaterna.</w:t>
      </w:r>
      <w:r>
        <w:rPr>
          <w:rStyle w:val="Fotnotsreferens"/>
        </w:rPr>
        <w:footnoteReference w:id="133"/>
      </w:r>
      <w:r>
        <w:t xml:space="preserve"> När det gäller rapporteringen bör det klargöras att medlemsstaterna förväntas rapportera utifrån dessa förutsättningar. För de verksamheter som inte är föremål för kostnadstäckning ska en motivering lämnas på grundval av artikel 9.4. Detta överensstämmer även med unionens allmänna öppenhetsprincip, som genomförs i direktivet via bestämmelserna om information till och samråd med allmänheten (artikel 14) och kravet att motivera undantag från de allmänna reglerna, samtidigt som medlemsstaterna ges handlingsfrihet när det gäller fastställandet av åtgärdsprogrammen enligt artikel 11. </w:t>
      </w:r>
    </w:p>
    <w:p w:rsidR="000215C5" w:rsidRDefault="00703023">
      <w:pPr>
        <w:pStyle w:val="Rubrik3"/>
      </w:pPr>
      <w:bookmarkStart w:id="813" w:name="_Toc388280377"/>
      <w:r>
        <w:t>Hur kommer kommissionen och Europeiska miljöbyrån att använda den rapporterade informationen</w:t>
      </w:r>
      <w:bookmarkEnd w:id="813"/>
      <w:r>
        <w:t>?</w:t>
      </w:r>
    </w:p>
    <w:p w:rsidR="000215C5" w:rsidRDefault="00703023">
      <w:pPr>
        <w:jc w:val="both"/>
      </w:pPr>
      <w:r>
        <w:t>Kommissionen kommer att använda denna information för att försäkra sig om att medlemsstaterna har utfört en ekonomisk analys enligt kraven i artikel 5 och bilaga III till vattendirektivet, och att bestämmelserna i artikel 9 i direktivet har tillämpats på ett lämpligt och konsekvent sätt. En kontrollbedömning kommer att utföras på grundval av de tre viktigaste aspekterna av artikel 9: i)</w:t>
      </w:r>
      <w:r w:rsidR="00133520">
        <w:t xml:space="preserve">  </w:t>
      </w:r>
      <w:r>
        <w:t>incitament i prissättningen, ii) lämplig kostnadstäckning och iii) principen om att förorenaren betalar.</w:t>
      </w:r>
    </w:p>
    <w:p w:rsidR="000215C5" w:rsidRDefault="00703023">
      <w:pPr>
        <w:jc w:val="both"/>
      </w:pPr>
      <w:r>
        <w:t>Dessutom kommer de luckor i informationen som har identifierats av medlemsstaterna att hjälpa kommissionen att vidta ytterligare åtgärder för att stärka kunskapsbasen och därmed stödja medlemsstaterna i deras framtida genomförande av artikel 9.</w:t>
      </w:r>
    </w:p>
    <w:p w:rsidR="000215C5" w:rsidRDefault="00703023">
      <w:pPr>
        <w:jc w:val="both"/>
      </w:pPr>
      <w:r>
        <w:t>På EU-nivå kommer statistik och information att lämnas till Europaparlamentet. Allmänheten kommer att få tillgång till informationen via Wise.</w:t>
      </w:r>
    </w:p>
    <w:p w:rsidR="000215C5" w:rsidRDefault="00703023">
      <w:pPr>
        <w:pStyle w:val="Rubrik2"/>
        <w:jc w:val="both"/>
      </w:pPr>
      <w:bookmarkStart w:id="814" w:name="_Toc386464262"/>
      <w:bookmarkStart w:id="815" w:name="_Toc388280378"/>
      <w:bookmarkStart w:id="816" w:name="_Toc425522089"/>
      <w:bookmarkStart w:id="817" w:name="_Toc432666101"/>
      <w:bookmarkStart w:id="818" w:name="_Toc437520297"/>
      <w:r>
        <w:t>Innehåll i rapporteringen 2016</w:t>
      </w:r>
      <w:bookmarkEnd w:id="814"/>
      <w:bookmarkEnd w:id="815"/>
      <w:bookmarkEnd w:id="816"/>
      <w:bookmarkEnd w:id="817"/>
      <w:bookmarkEnd w:id="818"/>
    </w:p>
    <w:p w:rsidR="000215C5" w:rsidRDefault="00703023">
      <w:pPr>
        <w:pStyle w:val="Rubrik3"/>
      </w:pPr>
      <w:bookmarkStart w:id="819" w:name="_Toc388280379"/>
      <w:r>
        <w:t>Skiss över mallarna</w:t>
      </w:r>
      <w:bookmarkEnd w:id="819"/>
    </w:p>
    <w:p w:rsidR="000215C5" w:rsidRDefault="00703023">
      <w:pPr>
        <w:jc w:val="both"/>
      </w:pPr>
      <w:r>
        <w:t>Se bilaga 10.7.</w:t>
      </w:r>
    </w:p>
    <w:p w:rsidR="000215C5" w:rsidRDefault="00703023">
      <w:pPr>
        <w:pStyle w:val="Rubrik3"/>
      </w:pPr>
      <w:bookmarkStart w:id="820" w:name="_Toc388280380"/>
      <w:r>
        <w:t>Information och uppgifter som ska rapporteras med hjälp av mallarna</w:t>
      </w:r>
      <w:bookmarkEnd w:id="8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rPr>
            </w:pPr>
            <w:r>
              <w:rPr>
                <w:b/>
              </w:rPr>
              <w:t>Mall: RBMPPoM (fortsättning)</w:t>
            </w:r>
          </w:p>
        </w:tc>
      </w:tr>
      <w:tr w:rsidR="000215C5">
        <w:tc>
          <w:tcPr>
            <w:tcW w:w="9853" w:type="dxa"/>
            <w:shd w:val="clear" w:color="auto" w:fill="auto"/>
          </w:tcPr>
          <w:p w:rsidR="000215C5" w:rsidRDefault="00703023">
            <w:pPr>
              <w:spacing w:after="120"/>
              <w:jc w:val="both"/>
              <w:rPr>
                <w:b/>
                <w:i/>
              </w:rPr>
            </w:pPr>
            <w:r>
              <w:rPr>
                <w:b/>
                <w:i/>
              </w:rPr>
              <w:t>Klass: EconomicAnalysis</w:t>
            </w:r>
          </w:p>
          <w:p w:rsidR="000215C5" w:rsidRDefault="00703023">
            <w:pPr>
              <w:spacing w:after="120"/>
              <w:jc w:val="both"/>
              <w:rPr>
                <w:i/>
              </w:rPr>
            </w:pPr>
            <w:r>
              <w:rPr>
                <w:b/>
                <w:i/>
              </w:rPr>
              <w:t xml:space="preserve">Egenskaper: </w:t>
            </w:r>
            <w:r>
              <w:rPr>
                <w:i/>
              </w:rPr>
              <w:t>maxOccurs = 1 minOccurs = 1</w:t>
            </w:r>
          </w:p>
        </w:tc>
      </w:tr>
      <w:tr w:rsidR="000215C5">
        <w:tc>
          <w:tcPr>
            <w:tcW w:w="9853" w:type="dxa"/>
            <w:shd w:val="clear" w:color="auto" w:fill="auto"/>
          </w:tcPr>
          <w:p w:rsidR="000215C5" w:rsidRDefault="00703023">
            <w:pPr>
              <w:spacing w:after="120"/>
              <w:jc w:val="both"/>
              <w:rPr>
                <w:b/>
              </w:rPr>
            </w:pPr>
            <w:r>
              <w:rPr>
                <w:b/>
              </w:rPr>
              <w:t>Mallpost</w:t>
            </w:r>
            <w:r>
              <w:t>:</w:t>
            </w:r>
            <w:r>
              <w:rPr>
                <w:b/>
              </w:rPr>
              <w:t xml:space="preserve"> </w:t>
            </w:r>
            <w:r>
              <w:t>updatedEconomicAnalysis</w:t>
            </w:r>
          </w:p>
          <w:p w:rsidR="000215C5" w:rsidRDefault="00703023">
            <w:pPr>
              <w:spacing w:after="120"/>
              <w:jc w:val="both"/>
            </w:pPr>
            <w:r>
              <w:rPr>
                <w:b/>
              </w:rPr>
              <w:t xml:space="preserve">Fälttyp/alternativ: </w:t>
            </w:r>
            <w:r>
              <w:t>YesNoPartially_Union_Enum:</w:t>
            </w:r>
          </w:p>
          <w:p w:rsidR="000215C5" w:rsidRPr="008D6A99" w:rsidRDefault="00703023">
            <w:pPr>
              <w:spacing w:after="120"/>
              <w:jc w:val="both"/>
              <w:rPr>
                <w:lang w:val="en-GB"/>
              </w:rPr>
            </w:pPr>
            <w:r w:rsidRPr="008D6A99">
              <w:rPr>
                <w:lang w:val="en-GB"/>
              </w:rPr>
              <w:t>Yes</w:t>
            </w:r>
          </w:p>
          <w:p w:rsidR="000215C5" w:rsidRPr="008D6A99" w:rsidRDefault="00703023">
            <w:pPr>
              <w:spacing w:after="120"/>
              <w:jc w:val="both"/>
              <w:rPr>
                <w:lang w:val="en-GB"/>
              </w:rPr>
            </w:pPr>
            <w:r w:rsidRPr="008D6A99">
              <w:rPr>
                <w:lang w:val="en-GB"/>
              </w:rPr>
              <w:t>No</w:t>
            </w:r>
          </w:p>
          <w:p w:rsidR="000215C5" w:rsidRPr="008D6A99" w:rsidRDefault="00703023">
            <w:pPr>
              <w:spacing w:after="120"/>
              <w:jc w:val="both"/>
              <w:rPr>
                <w:lang w:val="en-GB"/>
              </w:rPr>
            </w:pPr>
            <w:r w:rsidRPr="008D6A99">
              <w:rPr>
                <w:lang w:val="en-GB"/>
              </w:rPr>
              <w:t>Partially</w:t>
            </w:r>
          </w:p>
          <w:p w:rsidR="000215C5" w:rsidRPr="008D6A99" w:rsidRDefault="00703023">
            <w:pPr>
              <w:spacing w:after="120"/>
              <w:jc w:val="both"/>
              <w:rPr>
                <w:lang w:val="en-GB"/>
              </w:rPr>
            </w:pPr>
            <w:r w:rsidRPr="008D6A99">
              <w:rPr>
                <w:b/>
                <w:lang w:val="en-GB"/>
              </w:rPr>
              <w:t xml:space="preserve">Egenskaper: </w:t>
            </w:r>
            <w:r w:rsidRPr="008D6A99">
              <w:rPr>
                <w:lang w:val="en-GB"/>
              </w:rPr>
              <w:t xml:space="preserve">maxOccurs = 1 minOccurs = 1 </w:t>
            </w:r>
          </w:p>
          <w:p w:rsidR="000215C5" w:rsidRDefault="00703023">
            <w:pPr>
              <w:spacing w:after="120"/>
              <w:jc w:val="both"/>
            </w:pPr>
            <w:r>
              <w:rPr>
                <w:b/>
              </w:rPr>
              <w:t>Vägledning om hur man fyller i mallposten</w:t>
            </w:r>
            <w:r>
              <w:t xml:space="preserve">: Krävs. Ange om 2005 års ekonomiska analys av vattenanvändning har uppdaterats. </w:t>
            </w:r>
          </w:p>
        </w:tc>
      </w:tr>
      <w:tr w:rsidR="000215C5">
        <w:tc>
          <w:tcPr>
            <w:tcW w:w="9853" w:type="dxa"/>
            <w:shd w:val="clear" w:color="auto" w:fill="auto"/>
          </w:tcPr>
          <w:p w:rsidR="000215C5" w:rsidRDefault="00703023">
            <w:pPr>
              <w:spacing w:after="120"/>
              <w:jc w:val="both"/>
              <w:rPr>
                <w:b/>
              </w:rPr>
            </w:pPr>
            <w:r>
              <w:rPr>
                <w:b/>
              </w:rPr>
              <w:t xml:space="preserve">Mallpost: </w:t>
            </w:r>
            <w:r>
              <w:t>economicAnalysisReference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pPr>
            <w:r>
              <w:rPr>
                <w:b/>
              </w:rPr>
              <w:t xml:space="preserve">Egenskaper: </w:t>
            </w:r>
            <w:r>
              <w:t xml:space="preserve">maxOccurs = unbounded minOccurs = 0 </w:t>
            </w:r>
          </w:p>
          <w:p w:rsidR="000215C5" w:rsidRDefault="00703023">
            <w:pPr>
              <w:spacing w:after="120"/>
              <w:jc w:val="both"/>
              <w:rPr>
                <w:b/>
              </w:rPr>
            </w:pPr>
            <w:r>
              <w:rPr>
                <w:b/>
              </w:rPr>
              <w:t xml:space="preserve">Vägledning om hur man fyller i mallposten: </w:t>
            </w:r>
            <w:r>
              <w:t>Villkorlig. Ange hänvisningar eller hyperlänkar till de dokument och avsnitt som innehåller relevant information om den uppdaterade ekonomiska analysen.</w:t>
            </w:r>
            <w:r>
              <w:rPr>
                <w:b/>
              </w:rPr>
              <w:t xml:space="preserve"> </w:t>
            </w:r>
            <w:r>
              <w:t xml:space="preserve">Vägledning om vilka uppgifter som bör ingå i detta dokument ges i avsnitt </w:t>
            </w:r>
            <w:r>
              <w:fldChar w:fldCharType="begin"/>
            </w:r>
            <w:r>
              <w:instrText xml:space="preserve"> REF _Ref382903350 \r \h  \* MERGEFORMAT </w:instrText>
            </w:r>
            <w:r>
              <w:fldChar w:fldCharType="separate"/>
            </w:r>
            <w:r>
              <w:rPr>
                <w:szCs w:val="24"/>
              </w:rPr>
              <w:t>11.2.3</w:t>
            </w:r>
            <w:r>
              <w:fldChar w:fldCharType="end"/>
            </w:r>
            <w:r>
              <w:t xml:space="preserve">. </w:t>
            </w:r>
          </w:p>
          <w:p w:rsidR="000215C5" w:rsidRDefault="00703023">
            <w:pPr>
              <w:spacing w:after="120"/>
              <w:jc w:val="both"/>
            </w:pPr>
            <w:r>
              <w:rPr>
                <w:b/>
              </w:rPr>
              <w:t xml:space="preserve">Kvalitetskontroller: </w:t>
            </w:r>
            <w:r>
              <w:t>Villkorlig kontroll: Rapportera om updatedEconomicAnalysis är ”Yes” eller ”To a certain extent”.</w:t>
            </w:r>
          </w:p>
        </w:tc>
      </w:tr>
      <w:tr w:rsidR="000215C5">
        <w:tc>
          <w:tcPr>
            <w:tcW w:w="9853" w:type="dxa"/>
            <w:shd w:val="clear" w:color="auto" w:fill="auto"/>
          </w:tcPr>
          <w:p w:rsidR="000215C5" w:rsidRPr="008D6A99" w:rsidRDefault="00703023">
            <w:pPr>
              <w:spacing w:after="120"/>
              <w:jc w:val="both"/>
              <w:rPr>
                <w:b/>
                <w:lang w:val="en-GB"/>
              </w:rPr>
            </w:pPr>
            <w:r w:rsidRPr="008D6A99">
              <w:rPr>
                <w:b/>
                <w:lang w:val="en-GB"/>
              </w:rPr>
              <w:t>Mallpost</w:t>
            </w:r>
            <w:r w:rsidRPr="008D6A99">
              <w:rPr>
                <w:lang w:val="en-GB"/>
              </w:rPr>
              <w:t>:</w:t>
            </w:r>
            <w:r w:rsidRPr="008D6A99">
              <w:rPr>
                <w:b/>
                <w:lang w:val="en-GB"/>
              </w:rPr>
              <w:t xml:space="preserve"> </w:t>
            </w:r>
            <w:r w:rsidRPr="008D6A99">
              <w:rPr>
                <w:lang w:val="en-GB"/>
              </w:rPr>
              <w:t>costEffectiveness</w:t>
            </w:r>
          </w:p>
          <w:p w:rsidR="000215C5" w:rsidRPr="008D6A99" w:rsidRDefault="00703023">
            <w:pPr>
              <w:spacing w:after="120"/>
              <w:jc w:val="both"/>
              <w:rPr>
                <w:lang w:val="en-GB"/>
              </w:rPr>
            </w:pPr>
            <w:r w:rsidRPr="008D6A99">
              <w:rPr>
                <w:b/>
                <w:lang w:val="en-GB"/>
              </w:rPr>
              <w:t xml:space="preserve">Fälttyp/alternativ: </w:t>
            </w:r>
            <w:r w:rsidRPr="008D6A99">
              <w:rPr>
                <w:lang w:val="en-GB"/>
              </w:rPr>
              <w:t>CostEffectiveness_Enum:</w:t>
            </w:r>
          </w:p>
          <w:p w:rsidR="000215C5" w:rsidRPr="00D95552" w:rsidRDefault="00703023">
            <w:pPr>
              <w:spacing w:after="120"/>
              <w:jc w:val="both"/>
              <w:rPr>
                <w:lang w:val="en-GB"/>
              </w:rPr>
            </w:pPr>
            <w:r w:rsidRPr="00D95552">
              <w:rPr>
                <w:lang w:val="en-GB"/>
              </w:rPr>
              <w:t>No</w:t>
            </w:r>
          </w:p>
          <w:p w:rsidR="000215C5" w:rsidRPr="00D95552" w:rsidRDefault="00703023">
            <w:pPr>
              <w:spacing w:after="120"/>
              <w:jc w:val="both"/>
              <w:rPr>
                <w:lang w:val="en-GB"/>
              </w:rPr>
            </w:pPr>
            <w:r w:rsidRPr="00D95552">
              <w:rPr>
                <w:lang w:val="en-GB"/>
              </w:rPr>
              <w:t>Quantitative</w:t>
            </w:r>
          </w:p>
          <w:p w:rsidR="000215C5" w:rsidRPr="00D95552" w:rsidRDefault="00703023">
            <w:pPr>
              <w:spacing w:after="120"/>
              <w:jc w:val="both"/>
              <w:rPr>
                <w:lang w:val="en-GB"/>
              </w:rPr>
            </w:pPr>
            <w:r w:rsidRPr="00D95552">
              <w:rPr>
                <w:lang w:val="en-GB"/>
              </w:rPr>
              <w:t>Qualitative</w:t>
            </w:r>
          </w:p>
          <w:p w:rsidR="000215C5" w:rsidRPr="00D95552" w:rsidRDefault="00703023">
            <w:pPr>
              <w:spacing w:after="120"/>
              <w:jc w:val="both"/>
              <w:rPr>
                <w:lang w:val="en-GB"/>
              </w:rPr>
            </w:pPr>
            <w:r w:rsidRPr="00D95552">
              <w:rPr>
                <w:lang w:val="en-GB"/>
              </w:rPr>
              <w:t>Combination</w:t>
            </w:r>
          </w:p>
          <w:p w:rsidR="000215C5" w:rsidRPr="00D95552" w:rsidRDefault="00703023">
            <w:pPr>
              <w:spacing w:after="120"/>
              <w:jc w:val="both"/>
              <w:rPr>
                <w:lang w:val="en-GB"/>
              </w:rPr>
            </w:pPr>
            <w:r w:rsidRPr="00D95552">
              <w:rPr>
                <w:b/>
                <w:lang w:val="en-GB"/>
              </w:rPr>
              <w:t xml:space="preserve">Egenskaper: </w:t>
            </w:r>
            <w:r w:rsidRPr="00D95552">
              <w:rPr>
                <w:lang w:val="en-GB"/>
              </w:rPr>
              <w:t xml:space="preserve">maxOccurs = 1 minOccurs = 1 </w:t>
            </w:r>
          </w:p>
          <w:p w:rsidR="000215C5" w:rsidRDefault="00703023">
            <w:pPr>
              <w:spacing w:after="120"/>
              <w:jc w:val="both"/>
            </w:pPr>
            <w:r w:rsidRPr="00D95552">
              <w:rPr>
                <w:b/>
                <w:lang w:val="en-GB"/>
              </w:rPr>
              <w:t>Vägledning om hur man fyller i mallposten</w:t>
            </w:r>
            <w:r w:rsidRPr="00D95552">
              <w:rPr>
                <w:lang w:val="en-GB"/>
              </w:rPr>
              <w:t xml:space="preserve">: Krävs. </w:t>
            </w:r>
            <w:r>
              <w:t xml:space="preserve">Ange om en kostnadseffektivitetsanalys har utförts för att stödja valet av åtgärder som föreslås för åtgärdsplanen 2015–2021 samt den allmänna bedömning som utförts.    </w:t>
            </w:r>
          </w:p>
        </w:tc>
      </w:tr>
      <w:tr w:rsidR="000215C5">
        <w:tc>
          <w:tcPr>
            <w:tcW w:w="9853" w:type="dxa"/>
            <w:shd w:val="clear" w:color="auto" w:fill="auto"/>
          </w:tcPr>
          <w:p w:rsidR="000215C5" w:rsidRDefault="00703023">
            <w:pPr>
              <w:spacing w:after="120"/>
              <w:jc w:val="both"/>
              <w:rPr>
                <w:b/>
              </w:rPr>
            </w:pPr>
            <w:r>
              <w:rPr>
                <w:b/>
              </w:rPr>
              <w:t xml:space="preserve">Mallpost: </w:t>
            </w:r>
            <w:r>
              <w:t>costEffectivenessReference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pPr>
            <w:r>
              <w:rPr>
                <w:b/>
              </w:rPr>
              <w:t xml:space="preserve">Egenskaper: </w:t>
            </w:r>
            <w:r>
              <w:t>maxOccurs = unbounded minOccurs = 0</w:t>
            </w:r>
          </w:p>
          <w:p w:rsidR="000215C5" w:rsidRDefault="00703023">
            <w:pPr>
              <w:spacing w:after="120"/>
              <w:jc w:val="both"/>
              <w:rPr>
                <w:szCs w:val="24"/>
              </w:rPr>
            </w:pPr>
            <w:r>
              <w:rPr>
                <w:b/>
              </w:rPr>
              <w:t xml:space="preserve">Vägledning om hur man fyller i mallposten: </w:t>
            </w:r>
            <w:r>
              <w:t>Villkorlig. Ange hänvisningar eller hyperlänkar till de dokument och avsnitt som innehåller relevant information om kostnadseffektivitet.</w:t>
            </w:r>
            <w:r>
              <w:rPr>
                <w:b/>
              </w:rPr>
              <w:t xml:space="preserve"> </w:t>
            </w:r>
            <w:r>
              <w:t xml:space="preserve">Vägledning om vilka uppgifter som bör ingå i detta dokument ges i avsnitt </w:t>
            </w:r>
            <w:r>
              <w:fldChar w:fldCharType="begin"/>
            </w:r>
            <w:r>
              <w:instrText xml:space="preserve"> REF _Ref382903350 \r \h  \* MERGEFORMAT </w:instrText>
            </w:r>
            <w:r>
              <w:fldChar w:fldCharType="separate"/>
            </w:r>
            <w:r>
              <w:rPr>
                <w:szCs w:val="24"/>
              </w:rPr>
              <w:t>11.2.3</w:t>
            </w:r>
            <w:r>
              <w:fldChar w:fldCharType="end"/>
            </w:r>
            <w:r>
              <w:t>.</w:t>
            </w:r>
          </w:p>
          <w:p w:rsidR="000215C5" w:rsidRDefault="00703023">
            <w:pPr>
              <w:spacing w:after="120"/>
              <w:jc w:val="both"/>
            </w:pPr>
            <w:r>
              <w:rPr>
                <w:b/>
              </w:rPr>
              <w:t xml:space="preserve">Kvalitetskontroller: </w:t>
            </w:r>
            <w:r>
              <w:t>Villkorlig kontroll: Rapportera om costEffectiveness är ”Quantitative”, ”Qualitative” eller ”Combination”.</w:t>
            </w:r>
          </w:p>
        </w:tc>
      </w:tr>
      <w:tr w:rsidR="000215C5">
        <w:tc>
          <w:tcPr>
            <w:tcW w:w="9853" w:type="dxa"/>
            <w:shd w:val="clear" w:color="auto" w:fill="auto"/>
          </w:tcPr>
          <w:p w:rsidR="000215C5" w:rsidRDefault="00703023">
            <w:pPr>
              <w:jc w:val="both"/>
              <w:rPr>
                <w:b/>
              </w:rPr>
            </w:pPr>
            <w:r>
              <w:rPr>
                <w:b/>
              </w:rPr>
              <w:t xml:space="preserve">Mallpost: </w:t>
            </w:r>
            <w:r>
              <w:t>serviceArticle94DrinkingWater</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jc w:val="both"/>
            </w:pPr>
            <w:r>
              <w:rPr>
                <w:b/>
              </w:rPr>
              <w:t>Vägledning om hur man fyller i mallposten</w:t>
            </w:r>
            <w:r>
              <w:t>: Krävs.</w:t>
            </w:r>
            <w:r>
              <w:rPr>
                <w:b/>
              </w:rPr>
              <w:t xml:space="preserve"> </w:t>
            </w:r>
            <w:r>
              <w:t xml:space="preserve">Har artikel 9.4 i vattendirektivet tillämpats på uttag för dricksvattenförsörjning (yt- och/eller grundvatten) samt rening och distribution? </w:t>
            </w:r>
          </w:p>
        </w:tc>
      </w:tr>
      <w:tr w:rsidR="000215C5">
        <w:tc>
          <w:tcPr>
            <w:tcW w:w="9853" w:type="dxa"/>
            <w:shd w:val="clear" w:color="auto" w:fill="auto"/>
          </w:tcPr>
          <w:p w:rsidR="000215C5" w:rsidRDefault="00703023">
            <w:pPr>
              <w:jc w:val="both"/>
              <w:rPr>
                <w:b/>
              </w:rPr>
            </w:pPr>
            <w:r>
              <w:rPr>
                <w:b/>
              </w:rPr>
              <w:t xml:space="preserve">Mallpost: </w:t>
            </w:r>
            <w:r>
              <w:t>serviceArticle94Wastewater</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w:t>
            </w:r>
            <w:r>
              <w:rPr>
                <w:b/>
              </w:rPr>
              <w:t xml:space="preserve"> </w:t>
            </w:r>
            <w:r>
              <w:t xml:space="preserve">Har artikel 9.4 i vattendirektivet tillämpats på uppsamling och rening av avloppsvatten? </w:t>
            </w:r>
          </w:p>
        </w:tc>
      </w:tr>
      <w:tr w:rsidR="000215C5">
        <w:tc>
          <w:tcPr>
            <w:tcW w:w="9853" w:type="dxa"/>
            <w:shd w:val="clear" w:color="auto" w:fill="auto"/>
          </w:tcPr>
          <w:p w:rsidR="000215C5" w:rsidRDefault="00703023">
            <w:pPr>
              <w:jc w:val="both"/>
              <w:rPr>
                <w:b/>
              </w:rPr>
            </w:pPr>
            <w:r>
              <w:rPr>
                <w:b/>
              </w:rPr>
              <w:t xml:space="preserve">Mallpost: </w:t>
            </w:r>
            <w:r>
              <w:t>serviceArticle94Irrigation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w:t>
            </w:r>
            <w:r>
              <w:rPr>
                <w:b/>
              </w:rPr>
              <w:t xml:space="preserve"> </w:t>
            </w:r>
            <w:r>
              <w:t xml:space="preserve">Har artikel 9.4 i vattendirektivet tillämpats på uttag av vatten för bevattning samt rening och distribution? </w:t>
            </w:r>
          </w:p>
        </w:tc>
      </w:tr>
      <w:tr w:rsidR="000215C5">
        <w:tc>
          <w:tcPr>
            <w:tcW w:w="9853" w:type="dxa"/>
            <w:shd w:val="clear" w:color="auto" w:fill="auto"/>
          </w:tcPr>
          <w:p w:rsidR="000215C5" w:rsidRPr="008D6A99" w:rsidRDefault="00703023">
            <w:pPr>
              <w:jc w:val="both"/>
              <w:rPr>
                <w:b/>
                <w:lang w:val="en-GB"/>
              </w:rPr>
            </w:pPr>
            <w:r w:rsidRPr="008D6A99">
              <w:rPr>
                <w:b/>
                <w:lang w:val="en-GB"/>
              </w:rPr>
              <w:t xml:space="preserve">Mallpost: </w:t>
            </w:r>
            <w:r w:rsidRPr="008D6A99">
              <w:rPr>
                <w:lang w:val="en-GB"/>
              </w:rPr>
              <w:t>serviceArticle94Selfabstraction</w:t>
            </w:r>
          </w:p>
          <w:p w:rsidR="000215C5" w:rsidRPr="008D6A99" w:rsidRDefault="00703023">
            <w:pPr>
              <w:spacing w:after="120"/>
              <w:jc w:val="both"/>
              <w:rPr>
                <w:szCs w:val="24"/>
                <w:lang w:val="en-GB"/>
              </w:rPr>
            </w:pPr>
            <w:r w:rsidRPr="008D6A99">
              <w:rPr>
                <w:b/>
                <w:lang w:val="en-GB"/>
              </w:rPr>
              <w:t xml:space="preserve">Fälttyp/alternativ: </w:t>
            </w:r>
            <w:r w:rsidRPr="008D6A99">
              <w:rPr>
                <w:lang w:val="en-GB"/>
              </w:rP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w:t>
            </w:r>
            <w:r>
              <w:rPr>
                <w:b/>
              </w:rPr>
              <w:t xml:space="preserve"> </w:t>
            </w:r>
            <w:r>
              <w:t xml:space="preserve">Har artikel 9.4 i vattendirektivet tillämpats på uttag för eget bruk? </w:t>
            </w:r>
          </w:p>
        </w:tc>
      </w:tr>
      <w:tr w:rsidR="000215C5">
        <w:tc>
          <w:tcPr>
            <w:tcW w:w="9853" w:type="dxa"/>
            <w:shd w:val="clear" w:color="auto" w:fill="auto"/>
          </w:tcPr>
          <w:p w:rsidR="000215C5" w:rsidRDefault="00703023">
            <w:pPr>
              <w:jc w:val="both"/>
              <w:rPr>
                <w:b/>
              </w:rPr>
            </w:pPr>
            <w:r>
              <w:rPr>
                <w:b/>
              </w:rPr>
              <w:t xml:space="preserve">Mallpost: </w:t>
            </w:r>
            <w:r>
              <w:t>serviceArticle94WaterStorage</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w:t>
            </w:r>
            <w:r>
              <w:rPr>
                <w:b/>
              </w:rPr>
              <w:t xml:space="preserve"> </w:t>
            </w:r>
            <w:r>
              <w:t xml:space="preserve">Har artikel 9.4 i vattendirektivet tillämpats på uppdämningar och lagring av vatten? </w:t>
            </w:r>
          </w:p>
        </w:tc>
      </w:tr>
      <w:tr w:rsidR="000215C5">
        <w:tc>
          <w:tcPr>
            <w:tcW w:w="9853" w:type="dxa"/>
            <w:shd w:val="clear" w:color="auto" w:fill="auto"/>
          </w:tcPr>
          <w:p w:rsidR="000215C5" w:rsidRDefault="00703023">
            <w:pPr>
              <w:jc w:val="both"/>
              <w:rPr>
                <w:b/>
              </w:rPr>
            </w:pPr>
            <w:r>
              <w:rPr>
                <w:b/>
              </w:rPr>
              <w:t xml:space="preserve">Mallpost: </w:t>
            </w:r>
            <w:r>
              <w:t>serviceArticle94FloodProtection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w:t>
            </w:r>
            <w:r>
              <w:rPr>
                <w:b/>
              </w:rPr>
              <w:t xml:space="preserve"> </w:t>
            </w:r>
            <w:r>
              <w:t xml:space="preserve">Har artikel 9.4 i vattendirektivet tillämpats på uppdämning för skydd mot översvämningar? </w:t>
            </w:r>
          </w:p>
        </w:tc>
      </w:tr>
      <w:tr w:rsidR="000215C5">
        <w:tc>
          <w:tcPr>
            <w:tcW w:w="9853" w:type="dxa"/>
            <w:shd w:val="clear" w:color="auto" w:fill="auto"/>
          </w:tcPr>
          <w:p w:rsidR="000215C5" w:rsidRDefault="00703023">
            <w:pPr>
              <w:jc w:val="both"/>
              <w:rPr>
                <w:b/>
              </w:rPr>
            </w:pPr>
            <w:r>
              <w:rPr>
                <w:b/>
              </w:rPr>
              <w:t xml:space="preserve">Mallpost: </w:t>
            </w:r>
            <w:r>
              <w:t>serviceArticle94Navigation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Krävs.</w:t>
            </w:r>
            <w:r>
              <w:rPr>
                <w:b/>
              </w:rPr>
              <w:t xml:space="preserve"> </w:t>
            </w:r>
            <w:r>
              <w:t>Har artikel 9.4 i vattendirektivet tillämpats på uppdämning för sjötrafik?</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serviceArticle94Other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pPr>
            <w:r>
              <w:rPr>
                <w:b/>
              </w:rPr>
              <w:t>Vägledning om hur man fyller i mallposten</w:t>
            </w:r>
            <w:r>
              <w:t>: Krävs. Rapportera om artikel 9.4 tillämpas på vattentjänster eller kombinerade vattentjänstanvändningar som inte finns med i de föregående frågorna. Fler än en annan vattentjänst eller kombinerad vattentjänstanvändning får anges i samma sträng. Om artikel 9.4 inte tillämpas på andra vattentjänster eller kombinationer av vattentjänstanvändningar, rapportera ”None”.</w:t>
            </w:r>
          </w:p>
        </w:tc>
      </w:tr>
      <w:tr w:rsidR="000215C5">
        <w:tc>
          <w:tcPr>
            <w:tcW w:w="9853" w:type="dxa"/>
            <w:shd w:val="clear" w:color="auto" w:fill="auto"/>
          </w:tcPr>
          <w:p w:rsidR="000215C5" w:rsidRDefault="00703023">
            <w:pPr>
              <w:spacing w:after="120"/>
              <w:jc w:val="both"/>
              <w:rPr>
                <w:b/>
              </w:rPr>
            </w:pPr>
            <w:r>
              <w:rPr>
                <w:b/>
              </w:rPr>
              <w:t>Mallpost</w:t>
            </w:r>
            <w:r>
              <w:t>:</w:t>
            </w:r>
            <w:r>
              <w:rPr>
                <w:b/>
              </w:rPr>
              <w:t xml:space="preserve"> </w:t>
            </w:r>
            <w:r>
              <w:t>serviceArticle94Reference</w:t>
            </w:r>
          </w:p>
          <w:p w:rsidR="000215C5" w:rsidRDefault="00703023">
            <w:pPr>
              <w:spacing w:after="120"/>
              <w:jc w:val="both"/>
            </w:pPr>
            <w:r>
              <w:rPr>
                <w:b/>
              </w:rPr>
              <w:t xml:space="preserve">Mallpost: </w:t>
            </w:r>
            <w:r>
              <w:t>ReferenceType (se bilaga 9)</w:t>
            </w:r>
          </w:p>
          <w:p w:rsidR="000215C5" w:rsidRDefault="00703023">
            <w:pPr>
              <w:spacing w:after="120"/>
              <w:jc w:val="both"/>
            </w:pPr>
            <w:r>
              <w:rPr>
                <w:b/>
              </w:rPr>
              <w:t xml:space="preserve">Egenskaper: </w:t>
            </w:r>
            <w:r>
              <w:t>maxOccurs = unbounded minOccurs = 0</w:t>
            </w:r>
          </w:p>
          <w:p w:rsidR="000215C5" w:rsidRDefault="00703023">
            <w:pPr>
              <w:spacing w:after="120"/>
              <w:jc w:val="both"/>
              <w:rPr>
                <w:b/>
              </w:rPr>
            </w:pPr>
            <w:r>
              <w:rPr>
                <w:b/>
              </w:rPr>
              <w:t xml:space="preserve">Fälttyp/alternativ: </w:t>
            </w:r>
            <w:r>
              <w:t>Reference structure (se bilaga 9) (1-∞)</w:t>
            </w:r>
          </w:p>
          <w:p w:rsidR="000215C5" w:rsidRDefault="00703023">
            <w:pPr>
              <w:spacing w:after="120"/>
              <w:jc w:val="both"/>
              <w:rPr>
                <w:b/>
              </w:rPr>
            </w:pPr>
            <w:r>
              <w:rPr>
                <w:b/>
              </w:rPr>
              <w:t xml:space="preserve">Vägledning om hur man fyller i mallposten: </w:t>
            </w:r>
            <w:r>
              <w:t>Villkorlig. Ange hänvisningar eller hyperlänkar till relevanta dokument och avsnitt som innehåller en motivering av tillämpningen av artikel 9.4.</w:t>
            </w:r>
            <w:r>
              <w:rPr>
                <w:b/>
              </w:rPr>
              <w:t xml:space="preserve"> </w:t>
            </w:r>
            <w:r>
              <w:t xml:space="preserve">Vägledning om vilka uppgifter som bör ingå i detta dokument ges i avsnitt </w:t>
            </w:r>
            <w:r>
              <w:fldChar w:fldCharType="begin"/>
            </w:r>
            <w:r>
              <w:instrText xml:space="preserve"> REF _Ref382903350 \r \h  \* MERGEFORMAT </w:instrText>
            </w:r>
            <w:r>
              <w:fldChar w:fldCharType="separate"/>
            </w:r>
            <w:r>
              <w:rPr>
                <w:szCs w:val="24"/>
              </w:rPr>
              <w:t>11.2.3</w:t>
            </w:r>
            <w:r>
              <w:fldChar w:fldCharType="end"/>
            </w:r>
            <w:r>
              <w:t>.</w:t>
            </w:r>
          </w:p>
          <w:p w:rsidR="000215C5" w:rsidRDefault="00703023">
            <w:pPr>
              <w:spacing w:after="120"/>
              <w:jc w:val="both"/>
            </w:pPr>
            <w:r>
              <w:rPr>
                <w:b/>
              </w:rPr>
              <w:t xml:space="preserve">Kvalitetskontroller: </w:t>
            </w:r>
            <w:r>
              <w:t>Villkorlig kontroll: Rapportera om någon av posterna ”serviceArticle94...”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costRecoveryReference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1</w:t>
            </w:r>
          </w:p>
          <w:p w:rsidR="000215C5" w:rsidRDefault="00703023">
            <w:pPr>
              <w:spacing w:after="120"/>
              <w:jc w:val="both"/>
              <w:rPr>
                <w:szCs w:val="24"/>
              </w:rPr>
            </w:pPr>
            <w:r>
              <w:rPr>
                <w:b/>
              </w:rPr>
              <w:t>Vägledning om hur man fyller i mallposten</w:t>
            </w:r>
            <w:r>
              <w:t xml:space="preserve">: Krävs. Ange hänvisningar eller hyperlänkar till de dokument och avsnitt som innehåller särskild information om tillämpningen av kostnadstäckning. Vägledning om vilka uppgifter som bör ingå i detta dokument ges i avsnitt </w:t>
            </w:r>
            <w:r>
              <w:fldChar w:fldCharType="begin"/>
            </w:r>
            <w:r>
              <w:instrText xml:space="preserve"> REF _Ref382903350 \r \h  \* MERGEFORMAT </w:instrText>
            </w:r>
            <w:r>
              <w:fldChar w:fldCharType="separate"/>
            </w:r>
            <w:r>
              <w:rPr>
                <w:szCs w:val="24"/>
              </w:rPr>
              <w:t>11.2.3</w:t>
            </w:r>
            <w:r>
              <w:fldChar w:fldCharType="end"/>
            </w:r>
            <w:r>
              <w:t xml:space="preserve">. </w:t>
            </w:r>
          </w:p>
        </w:tc>
      </w:tr>
    </w:tbl>
    <w:p w:rsidR="000215C5" w:rsidRDefault="000215C5">
      <w:pPr>
        <w:jc w:val="both"/>
        <w:rPr>
          <w:b/>
        </w:rPr>
      </w:pPr>
    </w:p>
    <w:p w:rsidR="000215C5" w:rsidRDefault="00703023">
      <w:pPr>
        <w:jc w:val="both"/>
      </w:pPr>
      <w:r>
        <w:t>Följande klass används för att rapportera information om varje vattentjänst (som artikel 9.4 inte tillämpas på).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215C5">
        <w:tc>
          <w:tcPr>
            <w:tcW w:w="9853" w:type="dxa"/>
            <w:shd w:val="clear" w:color="auto" w:fill="auto"/>
          </w:tcPr>
          <w:p w:rsidR="000215C5" w:rsidRDefault="00703023">
            <w:pPr>
              <w:spacing w:after="120"/>
              <w:jc w:val="both"/>
              <w:rPr>
                <w:b/>
                <w:szCs w:val="24"/>
              </w:rPr>
            </w:pPr>
            <w:r>
              <w:rPr>
                <w:b/>
              </w:rPr>
              <w:t>Mall: RBMPPoM (fortsättning)</w:t>
            </w:r>
          </w:p>
        </w:tc>
      </w:tr>
      <w:tr w:rsidR="000215C5">
        <w:tc>
          <w:tcPr>
            <w:tcW w:w="9853" w:type="dxa"/>
            <w:shd w:val="clear" w:color="auto" w:fill="auto"/>
          </w:tcPr>
          <w:p w:rsidR="000215C5" w:rsidRDefault="00703023">
            <w:pPr>
              <w:spacing w:after="120"/>
              <w:jc w:val="both"/>
              <w:rPr>
                <w:b/>
                <w:i/>
                <w:szCs w:val="24"/>
              </w:rPr>
            </w:pPr>
            <w:r>
              <w:rPr>
                <w:b/>
                <w:i/>
              </w:rPr>
              <w:t>Klass: Service</w:t>
            </w:r>
          </w:p>
          <w:p w:rsidR="000215C5" w:rsidRDefault="00703023">
            <w:pPr>
              <w:spacing w:after="120"/>
              <w:jc w:val="both"/>
              <w:rPr>
                <w:i/>
                <w:szCs w:val="24"/>
              </w:rPr>
            </w:pPr>
            <w:r>
              <w:rPr>
                <w:b/>
                <w:i/>
              </w:rPr>
              <w:t xml:space="preserve">Egenskaper: </w:t>
            </w:r>
            <w:r>
              <w:rPr>
                <w:i/>
              </w:rPr>
              <w:t>maxOccurs = unbounded minOccurs = 1</w:t>
            </w:r>
          </w:p>
        </w:tc>
      </w:tr>
      <w:tr w:rsidR="000215C5">
        <w:tc>
          <w:tcPr>
            <w:tcW w:w="9853"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service</w:t>
            </w:r>
          </w:p>
          <w:p w:rsidR="000215C5" w:rsidRPr="008D6A99" w:rsidRDefault="00703023">
            <w:pPr>
              <w:spacing w:after="120"/>
              <w:jc w:val="both"/>
              <w:rPr>
                <w:szCs w:val="24"/>
                <w:lang w:val="en-GB"/>
              </w:rPr>
            </w:pPr>
            <w:r w:rsidRPr="008D6A99">
              <w:rPr>
                <w:b/>
                <w:lang w:val="en-GB"/>
              </w:rPr>
              <w:t xml:space="preserve">Fälttyp/alternativ: </w:t>
            </w:r>
            <w:r w:rsidRPr="008D6A99">
              <w:rPr>
                <w:lang w:val="en-GB"/>
              </w:rPr>
              <w:t>ServiceType_Enum:</w:t>
            </w:r>
          </w:p>
          <w:p w:rsidR="000215C5" w:rsidRPr="008D6A99" w:rsidRDefault="00703023">
            <w:pPr>
              <w:spacing w:after="120"/>
              <w:jc w:val="both"/>
              <w:rPr>
                <w:szCs w:val="24"/>
                <w:lang w:val="en-GB"/>
              </w:rPr>
            </w:pPr>
            <w:r w:rsidRPr="008D6A99">
              <w:rPr>
                <w:lang w:val="en-GB"/>
              </w:rPr>
              <w:t>Drinking water abstraction (surface and/or groundwater), treatment and distribution</w:t>
            </w:r>
          </w:p>
          <w:p w:rsidR="000215C5" w:rsidRPr="008D6A99" w:rsidRDefault="00703023">
            <w:pPr>
              <w:spacing w:after="120"/>
              <w:jc w:val="both"/>
              <w:rPr>
                <w:szCs w:val="24"/>
                <w:lang w:val="en-GB"/>
              </w:rPr>
            </w:pPr>
            <w:r w:rsidRPr="008D6A99">
              <w:rPr>
                <w:lang w:val="en-GB"/>
              </w:rPr>
              <w:t>Sewage collection and wastewater treatment</w:t>
            </w:r>
          </w:p>
          <w:p w:rsidR="000215C5" w:rsidRPr="008D6A99" w:rsidRDefault="00703023">
            <w:pPr>
              <w:spacing w:after="120"/>
              <w:jc w:val="both"/>
              <w:rPr>
                <w:szCs w:val="24"/>
                <w:lang w:val="en-GB"/>
              </w:rPr>
            </w:pPr>
            <w:r w:rsidRPr="008D6A99">
              <w:rPr>
                <w:lang w:val="en-GB"/>
              </w:rPr>
              <w:t>Drinking water abstraction (surface and/or groundwater), treatment and distribution AND sewage collection and wastewater treatment (when considered together)</w:t>
            </w:r>
          </w:p>
          <w:p w:rsidR="000215C5" w:rsidRPr="008D6A99" w:rsidRDefault="00703023">
            <w:pPr>
              <w:spacing w:after="120"/>
              <w:jc w:val="both"/>
              <w:rPr>
                <w:szCs w:val="24"/>
                <w:lang w:val="en-GB"/>
              </w:rPr>
            </w:pPr>
            <w:r w:rsidRPr="008D6A99">
              <w:rPr>
                <w:lang w:val="en-GB"/>
              </w:rPr>
              <w:t>Irrigation water abstraction, treatment and distribution</w:t>
            </w:r>
          </w:p>
          <w:p w:rsidR="000215C5" w:rsidRPr="008D6A99" w:rsidRDefault="00703023">
            <w:pPr>
              <w:spacing w:after="120"/>
              <w:jc w:val="both"/>
              <w:rPr>
                <w:szCs w:val="24"/>
                <w:lang w:val="en-GB"/>
              </w:rPr>
            </w:pPr>
            <w:r w:rsidRPr="008D6A99">
              <w:rPr>
                <w:lang w:val="en-GB"/>
              </w:rPr>
              <w:t>Self-abstraction</w:t>
            </w:r>
          </w:p>
          <w:p w:rsidR="000215C5" w:rsidRPr="008D6A99" w:rsidRDefault="00703023">
            <w:pPr>
              <w:spacing w:after="120"/>
              <w:jc w:val="both"/>
              <w:rPr>
                <w:szCs w:val="24"/>
                <w:lang w:val="en-GB"/>
              </w:rPr>
            </w:pPr>
            <w:r w:rsidRPr="008D6A99">
              <w:rPr>
                <w:lang w:val="en-GB"/>
              </w:rPr>
              <w:t>Impoundment and storage of water</w:t>
            </w:r>
          </w:p>
          <w:p w:rsidR="000215C5" w:rsidRPr="008D6A99" w:rsidRDefault="00703023">
            <w:pPr>
              <w:spacing w:after="120"/>
              <w:jc w:val="both"/>
              <w:rPr>
                <w:szCs w:val="24"/>
                <w:lang w:val="en-GB"/>
              </w:rPr>
            </w:pPr>
            <w:r w:rsidRPr="008D6A99">
              <w:rPr>
                <w:lang w:val="en-GB"/>
              </w:rPr>
              <w:t>Impoundment for flood protection</w:t>
            </w:r>
          </w:p>
          <w:p w:rsidR="000215C5" w:rsidRPr="008D6A99" w:rsidRDefault="00703023">
            <w:pPr>
              <w:spacing w:after="120"/>
              <w:jc w:val="both"/>
              <w:rPr>
                <w:szCs w:val="24"/>
                <w:lang w:val="en-GB"/>
              </w:rPr>
            </w:pPr>
            <w:r w:rsidRPr="008D6A99">
              <w:rPr>
                <w:lang w:val="en-GB"/>
              </w:rPr>
              <w:t>Impoundment for navigation</w:t>
            </w:r>
          </w:p>
          <w:p w:rsidR="000215C5" w:rsidRDefault="00703023">
            <w:pPr>
              <w:spacing w:after="120"/>
              <w:jc w:val="both"/>
              <w:rPr>
                <w:szCs w:val="24"/>
              </w:rPr>
            </w:pPr>
            <w:r>
              <w:t>Other</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Välj de vattentjänster som finns och är allmänt etablerade i medlemsstaterna från uppräkningslistan. Fler än en vattentjänst kan väljas.</w:t>
            </w:r>
          </w:p>
          <w:p w:rsidR="000215C5" w:rsidRDefault="00703023">
            <w:pPr>
              <w:spacing w:after="120"/>
              <w:jc w:val="both"/>
              <w:rPr>
                <w:szCs w:val="24"/>
              </w:rPr>
            </w:pPr>
            <w:r>
              <w:t>Välj ”Other” för vattentjänster som inte finns med i uppräkningslistan eller som medlemsstaten föredrar att rapportera som kombinationer av vattentjänstanvändning. En beskrivning av vattentjänsten eller den kombinerade vattentjänstanvändningen ska lämnas i serviceOther. De återstående mallposterna ska rapporteras för varje vattentjänst.</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serviceOther</w:t>
            </w:r>
          </w:p>
          <w:p w:rsidR="000215C5" w:rsidRDefault="00703023">
            <w:pPr>
              <w:spacing w:after="120"/>
              <w:jc w:val="both"/>
              <w:rPr>
                <w:szCs w:val="24"/>
              </w:rPr>
            </w:pPr>
            <w:r>
              <w:rPr>
                <w:b/>
              </w:rPr>
              <w:t xml:space="preserve">Fälttyp/alternativ: </w:t>
            </w:r>
            <w:r>
              <w:t>String1000Type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”Other” väljs från uppräkningslistan i Service, beskriv vattentjänsten eller den kombinerade vattentjänstanvändningen. Fler än en annan vattentjänst eller kombinerad vattentjänstanvändning får rapporteras. </w:t>
            </w:r>
          </w:p>
          <w:p w:rsidR="000215C5" w:rsidRDefault="00703023">
            <w:pPr>
              <w:spacing w:after="120"/>
              <w:jc w:val="both"/>
              <w:rPr>
                <w:szCs w:val="24"/>
              </w:rPr>
            </w:pPr>
            <w:r>
              <w:t>De återstående posterna ska rapporteras för varje vattentjänst eller varje kombinerad vattentjänstanvändning.</w:t>
            </w:r>
          </w:p>
          <w:p w:rsidR="000215C5" w:rsidRDefault="00703023">
            <w:pPr>
              <w:spacing w:after="120"/>
              <w:jc w:val="both"/>
              <w:rPr>
                <w:b/>
                <w:szCs w:val="24"/>
              </w:rPr>
            </w:pPr>
            <w:r>
              <w:rPr>
                <w:b/>
              </w:rPr>
              <w:t>Kvalitetskontroller</w:t>
            </w:r>
            <w:r>
              <w:t>: Villkorlig kontroll: Rapportera om service är ”Other”.</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w:t>
            </w:r>
            <w:r w:rsidRPr="00D95552">
              <w:rPr>
                <w:b/>
              </w:rPr>
              <w:t xml:space="preserve"> </w:t>
            </w:r>
            <w:r w:rsidRPr="00D95552">
              <w:t>serviceCostInstrument</w:t>
            </w:r>
          </w:p>
          <w:p w:rsidR="000215C5" w:rsidRPr="00D95552" w:rsidRDefault="00703023">
            <w:pPr>
              <w:spacing w:after="120"/>
              <w:jc w:val="both"/>
              <w:rPr>
                <w:szCs w:val="24"/>
              </w:rPr>
            </w:pPr>
            <w:r w:rsidRPr="00D95552">
              <w:rPr>
                <w:b/>
              </w:rPr>
              <w:t xml:space="preserve">Fälttyp/alternativ: </w:t>
            </w:r>
            <w:r w:rsidRPr="00D95552">
              <w:t>YesNoPartially_Union_Enum: Yes, No, Partially</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det finns rättsliga instrument eller regleringsinstrument enligt vilka kostnadstäckning krävs för denna vattentjänst.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serviceCostInstrumentReference</w:t>
            </w:r>
          </w:p>
          <w:p w:rsidR="000215C5" w:rsidRDefault="00703023">
            <w:pPr>
              <w:spacing w:after="120"/>
              <w:jc w:val="both"/>
              <w:rPr>
                <w:szCs w:val="24"/>
              </w:rPr>
            </w:pPr>
            <w:r>
              <w:rPr>
                <w:b/>
              </w:rPr>
              <w:t xml:space="preserve">Fälttyp/alternativ: </w:t>
            </w:r>
            <w:r>
              <w:t>ReferenceType (se bilaga 9)</w:t>
            </w:r>
          </w:p>
          <w:p w:rsidR="000215C5" w:rsidRDefault="00703023">
            <w:pPr>
              <w:spacing w:after="120"/>
              <w:jc w:val="both"/>
              <w:rPr>
                <w:szCs w:val="24"/>
              </w:rPr>
            </w:pPr>
            <w:r>
              <w:rPr>
                <w:b/>
              </w:rPr>
              <w:t xml:space="preserve">Egenskaper: </w:t>
            </w:r>
            <w:r>
              <w:t>maxOccurs = unbounded minOccurs = 0</w:t>
            </w:r>
          </w:p>
          <w:p w:rsidR="000215C5" w:rsidRDefault="00703023">
            <w:pPr>
              <w:spacing w:after="120"/>
              <w:jc w:val="both"/>
              <w:rPr>
                <w:szCs w:val="24"/>
              </w:rPr>
            </w:pPr>
            <w:r>
              <w:rPr>
                <w:b/>
              </w:rPr>
              <w:t>Vägledning om hur man fyller i mallposten</w:t>
            </w:r>
            <w:r>
              <w:t xml:space="preserve">: Villkorlig. Ange hänvisningar eller hyperlänkar till de dokument och avsnitt som innehåller relevant information om rättsliga instrument för genomförandet av kostnadstäckning för denna vattentjänst. Vägledning om vilka uppgifter som bör ingå i detta dokument ges i avsnitt </w:t>
            </w:r>
            <w:r>
              <w:fldChar w:fldCharType="begin"/>
            </w:r>
            <w:r>
              <w:instrText xml:space="preserve"> REF _Ref382903350 \r \h  \* MERGEFORMAT </w:instrText>
            </w:r>
            <w:r>
              <w:fldChar w:fldCharType="separate"/>
            </w:r>
            <w:r>
              <w:rPr>
                <w:szCs w:val="24"/>
              </w:rPr>
              <w:t>11.2.3</w:t>
            </w:r>
            <w:r>
              <w:fldChar w:fldCharType="end"/>
            </w:r>
            <w:r>
              <w:t xml:space="preserve">. </w:t>
            </w:r>
          </w:p>
          <w:p w:rsidR="000215C5" w:rsidRDefault="00703023">
            <w:pPr>
              <w:spacing w:after="120"/>
              <w:jc w:val="both"/>
              <w:rPr>
                <w:szCs w:val="24"/>
              </w:rPr>
            </w:pPr>
            <w:r>
              <w:rPr>
                <w:b/>
              </w:rPr>
              <w:t>Kvalitetskontroller</w:t>
            </w:r>
            <w:r>
              <w:t>:</w:t>
            </w:r>
            <w:r>
              <w:rPr>
                <w:b/>
              </w:rPr>
              <w:t xml:space="preserve"> </w:t>
            </w:r>
            <w:r>
              <w:t>Villkorlig kontroll: Rapportera om serviceCostInstrument är ”Yes” eller ”Partly”.</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serviceVolumetricCharges</w:t>
            </w:r>
          </w:p>
          <w:p w:rsidR="000215C5" w:rsidRDefault="00703023">
            <w:pPr>
              <w:spacing w:after="120"/>
              <w:jc w:val="both"/>
              <w:rPr>
                <w:szCs w:val="24"/>
              </w:rPr>
            </w:pPr>
            <w:r>
              <w:rPr>
                <w:b/>
              </w:rPr>
              <w:t xml:space="preserve">Fälttyp/alternativ: </w:t>
            </w:r>
            <w:r>
              <w:t>YesNoPartially_Union_Enum: Yes, No, Partially</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b/>
                <w:szCs w:val="24"/>
              </w:rPr>
            </w:pPr>
            <w:r>
              <w:rPr>
                <w:b/>
              </w:rPr>
              <w:t>Vägledning om hur man fyller i mallposten</w:t>
            </w:r>
            <w:r>
              <w:t xml:space="preserve">: Krävs. Ange om kostnadstäckningen för denna vattentjänst baseras på volymetriska avgifter (dvs. att användarna betalar i förhållande till den mätta vattenanvändningen).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servicePriceLevel</w:t>
            </w:r>
          </w:p>
          <w:p w:rsidR="000215C5" w:rsidRDefault="00703023">
            <w:pPr>
              <w:spacing w:after="120"/>
              <w:jc w:val="both"/>
              <w:rPr>
                <w:szCs w:val="24"/>
              </w:rPr>
            </w:pPr>
            <w:r>
              <w:rPr>
                <w:b/>
              </w:rPr>
              <w:t xml:space="preserve">Fälttyp/alternativ: </w:t>
            </w:r>
            <w:r>
              <w:t>String10Type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Vid volymetriska avgifter (serviceVolumetricCharges är ”Yes” eller ”Partially”), rapportera genomsnittet eller prisintervallet för denna vattentjänst i euro per m</w:t>
            </w:r>
            <w:r>
              <w:rPr>
                <w:vertAlign w:val="superscript"/>
              </w:rPr>
              <w:t>3</w:t>
            </w:r>
            <w:r>
              <w:t xml:space="preserve">. </w:t>
            </w:r>
          </w:p>
          <w:p w:rsidR="000215C5" w:rsidRDefault="00703023">
            <w:pPr>
              <w:spacing w:after="120"/>
              <w:jc w:val="both"/>
              <w:rPr>
                <w:szCs w:val="24"/>
              </w:rPr>
            </w:pPr>
            <w:r>
              <w:t>Om volymetriska utgifter inte har införts (serviceVolumetricCharges är ”No”), rapportera uppskattat genomsnittspris i euro per m</w:t>
            </w:r>
            <w:r>
              <w:rPr>
                <w:vertAlign w:val="superscript"/>
              </w:rPr>
              <w:t>3</w:t>
            </w:r>
            <w:r>
              <w:t xml:space="preserve"> genom att dividera den totala intäkten med levererad vattenmängd. I det fall detta är okänt, rapportera ”Not available”.</w:t>
            </w:r>
          </w:p>
        </w:tc>
      </w:tr>
      <w:tr w:rsidR="000215C5">
        <w:tc>
          <w:tcPr>
            <w:tcW w:w="9853" w:type="dxa"/>
            <w:shd w:val="clear" w:color="auto" w:fill="auto"/>
          </w:tcPr>
          <w:p w:rsidR="000215C5" w:rsidRPr="00D95552" w:rsidRDefault="00703023">
            <w:pPr>
              <w:spacing w:after="120"/>
              <w:jc w:val="both"/>
              <w:rPr>
                <w:b/>
                <w:szCs w:val="24"/>
              </w:rPr>
            </w:pPr>
            <w:r w:rsidRPr="00D95552">
              <w:rPr>
                <w:b/>
              </w:rPr>
              <w:t>Mallpost</w:t>
            </w:r>
            <w:r w:rsidRPr="00D95552">
              <w:t>: serviceFinancialCostIncluded</w:t>
            </w:r>
          </w:p>
          <w:p w:rsidR="000215C5" w:rsidRPr="00D95552" w:rsidRDefault="00703023">
            <w:pPr>
              <w:spacing w:after="120"/>
              <w:jc w:val="both"/>
              <w:rPr>
                <w:szCs w:val="24"/>
              </w:rPr>
            </w:pPr>
            <w:r w:rsidRPr="00D95552">
              <w:rPr>
                <w:b/>
              </w:rPr>
              <w:t xml:space="preserve">Fälttyp/alternativ: </w:t>
            </w:r>
            <w:r w:rsidRPr="00D95552">
              <w:t>YesNoPartially_Union_Enum: Yes, No, Partially</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ekonomiska kostnader (investeringar, drift och underhåll, andra finansiella kostnader inklusive kapitalkostnader) ingår i kostnadstäckningen för denna vattentjänst.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serviceFinancialCostCalculation</w:t>
            </w:r>
          </w:p>
          <w:p w:rsidR="000215C5" w:rsidRDefault="00703023">
            <w:pPr>
              <w:spacing w:after="120"/>
              <w:jc w:val="both"/>
              <w:rPr>
                <w:szCs w:val="24"/>
              </w:rPr>
            </w:pPr>
            <w:r>
              <w:rPr>
                <w:b/>
              </w:rPr>
              <w:t xml:space="preserve">Fälttyp/alternativ: </w:t>
            </w:r>
            <w:r>
              <w:t>YesNoPartially_Union_Enum: Yes, No, Partially</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den ekonomiska analysen omfattar en beräkning av de totala ekonomiska kostnaderna (investeringar, drift och underhåll, andra finansiella kostnader inklusive kapitalkostnader) per år.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serviceFinancialCostRecovery</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Krävs. Ange den totala täckningen av totala ekonomiska kostnader (investeringar, drift och underhåll, andra finansiella kostnader inklusive kapitalkostnader) som procentandel av de totala ekonomiska kostnaderna för vattentjänsten. Rapportera -9999 om denna information inte finns tillgänglig.</w:t>
            </w:r>
          </w:p>
          <w:p w:rsidR="000215C5" w:rsidRDefault="00703023">
            <w:pPr>
              <w:spacing w:after="120"/>
              <w:jc w:val="both"/>
              <w:rPr>
                <w:b/>
                <w:szCs w:val="24"/>
              </w:rPr>
            </w:pPr>
            <w:r>
              <w:rPr>
                <w:b/>
              </w:rPr>
              <w:t>Kvalitetskontroller</w:t>
            </w:r>
            <w:r>
              <w:t>: Kontroll av posten: Rapportera -9999 om information om kostnadstäckning inte finns tillgänglig.</w:t>
            </w:r>
          </w:p>
        </w:tc>
      </w:tr>
      <w:tr w:rsidR="000215C5">
        <w:tc>
          <w:tcPr>
            <w:tcW w:w="9853" w:type="dxa"/>
            <w:shd w:val="clear" w:color="auto" w:fill="auto"/>
          </w:tcPr>
          <w:p w:rsidR="000215C5" w:rsidRPr="008D6A99" w:rsidRDefault="00703023">
            <w:pPr>
              <w:spacing w:after="120"/>
              <w:jc w:val="both"/>
              <w:rPr>
                <w:b/>
                <w:szCs w:val="24"/>
                <w:lang w:val="en-GB"/>
              </w:rPr>
            </w:pPr>
            <w:r w:rsidRPr="008D6A99">
              <w:rPr>
                <w:b/>
                <w:lang w:val="en-GB"/>
              </w:rPr>
              <w:t>Mallpost</w:t>
            </w:r>
            <w:r w:rsidRPr="008D6A99">
              <w:rPr>
                <w:lang w:val="en-GB"/>
              </w:rPr>
              <w:t>:</w:t>
            </w:r>
            <w:r w:rsidRPr="008D6A99">
              <w:rPr>
                <w:b/>
                <w:lang w:val="en-GB"/>
              </w:rPr>
              <w:t xml:space="preserve"> </w:t>
            </w:r>
            <w:r w:rsidRPr="008D6A99">
              <w:rPr>
                <w:lang w:val="en-GB"/>
              </w:rPr>
              <w:t>serviceEnvironmentalCharge</w:t>
            </w:r>
          </w:p>
          <w:p w:rsidR="000215C5" w:rsidRPr="008D6A99" w:rsidRDefault="00703023">
            <w:pPr>
              <w:spacing w:after="120"/>
              <w:jc w:val="both"/>
              <w:rPr>
                <w:szCs w:val="24"/>
                <w:lang w:val="en-GB"/>
              </w:rPr>
            </w:pPr>
            <w:r w:rsidRPr="008D6A99">
              <w:rPr>
                <w:b/>
                <w:lang w:val="en-GB"/>
              </w:rPr>
              <w:t xml:space="preserve">Fälttyp/alternativ: </w:t>
            </w:r>
            <w:r w:rsidRPr="008D6A99">
              <w:rPr>
                <w:lang w:val="en-GB"/>
              </w:rPr>
              <w:t>YesNoCode_Enum: Yes, No</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en miljöavgift eller en miljöskatt tas ut för denna vattentjänst. </w:t>
            </w:r>
          </w:p>
        </w:tc>
      </w:tr>
      <w:tr w:rsidR="000215C5">
        <w:tc>
          <w:tcPr>
            <w:tcW w:w="9853" w:type="dxa"/>
            <w:shd w:val="clear" w:color="auto" w:fill="auto"/>
          </w:tcPr>
          <w:p w:rsidR="000215C5" w:rsidRDefault="00703023">
            <w:pPr>
              <w:spacing w:after="120"/>
              <w:jc w:val="both"/>
              <w:rPr>
                <w:b/>
                <w:szCs w:val="24"/>
              </w:rPr>
            </w:pPr>
            <w:r>
              <w:rPr>
                <w:b/>
              </w:rPr>
              <w:t>Mallpost</w:t>
            </w:r>
            <w:r>
              <w:t>: serviceEnvironmentalChargeRevenues</w:t>
            </w:r>
          </w:p>
          <w:p w:rsidR="000215C5" w:rsidRDefault="00703023">
            <w:pPr>
              <w:spacing w:after="120"/>
              <w:jc w:val="both"/>
              <w:rPr>
                <w:szCs w:val="24"/>
              </w:rPr>
            </w:pPr>
            <w:r>
              <w:rPr>
                <w:b/>
              </w:rPr>
              <w:t xml:space="preserve">Fälttyp/alternativ: </w:t>
            </w:r>
            <w:r>
              <w:t>NumberDecimalType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Om en miljöavgift eller en miljöskatt tas ut för vattentjänsten, ange de totala intäkterna från miljöavgiften eller miljöskatten (i miljoner euro eller totalt belopp i euro per år).</w:t>
            </w:r>
          </w:p>
          <w:p w:rsidR="000215C5" w:rsidRDefault="00703023">
            <w:pPr>
              <w:spacing w:after="120"/>
              <w:jc w:val="both"/>
              <w:rPr>
                <w:szCs w:val="24"/>
              </w:rPr>
            </w:pPr>
            <w:r>
              <w:t>Rapportera om den totala intäkten anges i miljoner euro eller totalt belopp i euro per år i serviceEnvironmentalChargeRevenuesUnits.</w:t>
            </w:r>
          </w:p>
          <w:p w:rsidR="000215C5" w:rsidRDefault="00703023">
            <w:pPr>
              <w:spacing w:after="120"/>
              <w:jc w:val="both"/>
              <w:rPr>
                <w:b/>
                <w:szCs w:val="24"/>
              </w:rPr>
            </w:pPr>
            <w:r>
              <w:rPr>
                <w:b/>
              </w:rPr>
              <w:t>Kvalitetskontroller</w:t>
            </w:r>
            <w:r>
              <w:t>: Villkorlig kontroll: Rapportera om serviceEnvironmentalCharge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serviceEnvironmentalChargeRevenuesUnits</w:t>
            </w:r>
          </w:p>
          <w:p w:rsidR="000215C5" w:rsidRDefault="00703023">
            <w:pPr>
              <w:spacing w:after="120"/>
              <w:jc w:val="both"/>
              <w:rPr>
                <w:szCs w:val="24"/>
              </w:rPr>
            </w:pPr>
            <w:r>
              <w:rPr>
                <w:b/>
              </w:rPr>
              <w:t xml:space="preserve">Fälttyp/alternativ: </w:t>
            </w:r>
            <w:r>
              <w:t>RevenuesUnits_Enum:</w:t>
            </w:r>
          </w:p>
          <w:p w:rsidR="000215C5" w:rsidRDefault="00703023">
            <w:pPr>
              <w:spacing w:after="120"/>
              <w:jc w:val="both"/>
              <w:rPr>
                <w:szCs w:val="24"/>
                <w:vertAlign w:val="superscript"/>
              </w:rPr>
            </w:pPr>
            <w:r>
              <w:t>millions €</w:t>
            </w:r>
          </w:p>
          <w:p w:rsidR="000215C5" w:rsidRDefault="00703023">
            <w:pPr>
              <w:spacing w:after="120"/>
              <w:jc w:val="both"/>
              <w:rPr>
                <w:szCs w:val="24"/>
              </w:rPr>
            </w:pPr>
            <w:r>
              <w:t>total € per year</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Rapportera om den totala intäkt som rapporteras i serviceEnvironmentalChargeRevenues anges i miljoner euro eller totalt belopp i euro per år.</w:t>
            </w:r>
          </w:p>
          <w:p w:rsidR="000215C5" w:rsidRDefault="00703023">
            <w:pPr>
              <w:spacing w:after="120"/>
              <w:jc w:val="both"/>
              <w:rPr>
                <w:b/>
                <w:szCs w:val="24"/>
              </w:rPr>
            </w:pPr>
            <w:r>
              <w:rPr>
                <w:b/>
              </w:rPr>
              <w:t>Kvalitetskontroller</w:t>
            </w:r>
            <w:r>
              <w:t>: Villkorlig kontroll: Rapportera om serviceEnvironmentalCharge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serviceEnvironmentalChargeRevenuesUse</w:t>
            </w:r>
          </w:p>
          <w:p w:rsidR="000215C5" w:rsidRDefault="00703023">
            <w:pPr>
              <w:spacing w:after="120"/>
              <w:jc w:val="both"/>
              <w:rPr>
                <w:szCs w:val="24"/>
              </w:rPr>
            </w:pPr>
            <w:r>
              <w:rPr>
                <w:b/>
              </w:rPr>
              <w:t xml:space="preserve">Fälttyp/alternativ: </w:t>
            </w:r>
            <w:r>
              <w:t>YesNoPartially_Union_Enum: Yes, No, Partially</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en miljöavgift eller en miljöskatt tas ut för denna vattentjänst, ange om intäkterna används för åtgärder för att uppnå vattendirektivets miljömål. </w:t>
            </w:r>
          </w:p>
          <w:p w:rsidR="000215C5" w:rsidRDefault="00703023">
            <w:pPr>
              <w:spacing w:after="120"/>
              <w:jc w:val="both"/>
              <w:rPr>
                <w:b/>
                <w:szCs w:val="24"/>
              </w:rPr>
            </w:pPr>
            <w:r>
              <w:rPr>
                <w:b/>
              </w:rPr>
              <w:t>Kvalitetskontroller</w:t>
            </w:r>
            <w:r>
              <w:t>: Villkorlig kontroll: Rapportera om serviceEnvironmentalCharge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serviceExternalEnvironmentalResourceCost</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1</w:t>
            </w:r>
          </w:p>
          <w:p w:rsidR="000215C5" w:rsidRDefault="00703023">
            <w:pPr>
              <w:spacing w:after="120"/>
              <w:jc w:val="both"/>
              <w:rPr>
                <w:szCs w:val="24"/>
              </w:rPr>
            </w:pPr>
            <w:r>
              <w:rPr>
                <w:b/>
              </w:rPr>
              <w:t>Vägledning om hur man fyller i mallposten</w:t>
            </w:r>
            <w:r>
              <w:t xml:space="preserve">: Krävs. Ange om den ekonomiska analysen omfattar en beräkning av externa miljö- och resurskostnader för denna vattentjänst.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serviceExternalEnvironmentalResourceCostSignificance</w:t>
            </w:r>
          </w:p>
          <w:p w:rsidR="000215C5" w:rsidRDefault="00703023">
            <w:pPr>
              <w:spacing w:after="120"/>
              <w:jc w:val="both"/>
              <w:rPr>
                <w:szCs w:val="24"/>
              </w:rPr>
            </w:pPr>
            <w:r>
              <w:rPr>
                <w:b/>
              </w:rPr>
              <w:t xml:space="preserve">Fälttyp/alternativ: </w:t>
            </w:r>
            <w:r>
              <w:t xml:space="preserve">YesNoCode_Enum: Yes, No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Ange om de externa miljö- och resurskostnaderna anses vara betydande för denna vattentjänst. </w:t>
            </w:r>
          </w:p>
          <w:p w:rsidR="000215C5" w:rsidRDefault="00703023">
            <w:pPr>
              <w:spacing w:after="120"/>
              <w:jc w:val="both"/>
              <w:rPr>
                <w:b/>
                <w:szCs w:val="24"/>
              </w:rPr>
            </w:pPr>
            <w:r>
              <w:rPr>
                <w:b/>
              </w:rPr>
              <w:t>Kvalitetskontroller</w:t>
            </w:r>
            <w:r>
              <w:t>: Villkorlig kontroll: Rapportera om serviceExternalEnvironmentalResourceCost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serviceExternalEnvironmentalResourceCostInternalisation</w:t>
            </w:r>
          </w:p>
          <w:p w:rsidR="000215C5" w:rsidRDefault="00703023">
            <w:pPr>
              <w:spacing w:after="120"/>
              <w:jc w:val="both"/>
              <w:rPr>
                <w:szCs w:val="24"/>
              </w:rPr>
            </w:pPr>
            <w:r>
              <w:rPr>
                <w:b/>
              </w:rPr>
              <w:t xml:space="preserve">Fälttyp/alternativ: </w:t>
            </w:r>
            <w:r>
              <w:t xml:space="preserve">YesNoPartially_Union_Enum: Yes, No, Partially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de externa miljö- och resurskostnaderna anses vara betydande för denna vattentjänst, ange om dessa kostnader redan anses ha räknats in via de tillgängliga instrumenten. </w:t>
            </w:r>
          </w:p>
          <w:p w:rsidR="000215C5" w:rsidRDefault="00703023">
            <w:pPr>
              <w:spacing w:after="120"/>
              <w:jc w:val="both"/>
              <w:rPr>
                <w:b/>
                <w:szCs w:val="24"/>
              </w:rPr>
            </w:pPr>
            <w:r>
              <w:rPr>
                <w:b/>
              </w:rPr>
              <w:t>Kvalitetskontroller</w:t>
            </w:r>
            <w:r>
              <w:t>: Villkorlig kontroll: Rapportera om serviceExternalEnvironmentalResourceCostSignificance är ”Yes”.</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serviceExternalEnvironmentalResourceCostJustification</w:t>
            </w:r>
          </w:p>
          <w:p w:rsidR="000215C5" w:rsidRDefault="00703023">
            <w:pPr>
              <w:spacing w:after="120"/>
              <w:jc w:val="both"/>
              <w:rPr>
                <w:szCs w:val="24"/>
              </w:rPr>
            </w:pPr>
            <w:r>
              <w:rPr>
                <w:b/>
              </w:rPr>
              <w:t xml:space="preserve">Fälttyp/alternativ: </w:t>
            </w:r>
            <w:r>
              <w:t>String2500Type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Villkorlig. Motivera varför miljö- och resurskostnaderna för denna vattentjänst inte anses vara betydande och/eller har räknats in.</w:t>
            </w:r>
          </w:p>
          <w:p w:rsidR="000215C5" w:rsidRDefault="00703023">
            <w:pPr>
              <w:spacing w:after="120"/>
              <w:jc w:val="both"/>
              <w:rPr>
                <w:szCs w:val="24"/>
              </w:rPr>
            </w:pPr>
            <w:r>
              <w:rPr>
                <w:b/>
              </w:rPr>
              <w:t>Kvalitetskontroller</w:t>
            </w:r>
            <w:r>
              <w:t>: Villkorlig kontroll: Rapportera om serviceExternalEnvironmentalResourceCostSignificance är ”No” eller serviceExternalEnvironmentalResourceCostInternalisation är ”No” eller ”Partially”.</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serviceWaterUseHouseholds</w:t>
            </w:r>
          </w:p>
          <w:p w:rsidR="000215C5" w:rsidRDefault="00703023">
            <w:pPr>
              <w:spacing w:after="120"/>
              <w:jc w:val="both"/>
              <w:rPr>
                <w:b/>
                <w:szCs w:val="24"/>
              </w:rPr>
            </w:pPr>
            <w:r>
              <w:rPr>
                <w:b/>
              </w:rPr>
              <w:t>Fälttyp/alternativ/förhållande</w:t>
            </w:r>
            <w:r>
              <w:t xml:space="preserve">: YesNoNotApplicable _Enum: Yes, No, Not applicable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 xml:space="preserve">Vägledning om hur man fyller i mallposten: </w:t>
            </w:r>
            <w:r>
              <w:t xml:space="preserve">Villkorlig. Kan hushållen utnyttja denna vattentjänst? </w:t>
            </w:r>
          </w:p>
          <w:p w:rsidR="000215C5" w:rsidRDefault="00703023">
            <w:pPr>
              <w:spacing w:after="120"/>
              <w:jc w:val="both"/>
              <w:rPr>
                <w:szCs w:val="24"/>
              </w:rPr>
            </w:pPr>
            <w:r>
              <w:t>Denna post behöver inte rapporteras om medlemsstaten rapporterar enligt en kombinerad vattentjänstanvändning. Detta anges genom att ”Other” rapporteras i service och ytterligare information lämnas i serviceOther.</w:t>
            </w:r>
          </w:p>
          <w:p w:rsidR="000215C5" w:rsidRDefault="00703023">
            <w:pPr>
              <w:spacing w:after="120"/>
              <w:jc w:val="both"/>
              <w:rPr>
                <w:szCs w:val="24"/>
              </w:rPr>
            </w:pPr>
            <w:r>
              <w:rPr>
                <w:b/>
              </w:rPr>
              <w:t>Kvalitetskontroller</w:t>
            </w:r>
            <w:r>
              <w:t xml:space="preserve">: Kontroll av posten: Ett giltigt alternativ måste väljas från uppräkningslistan. </w:t>
            </w:r>
          </w:p>
          <w:p w:rsidR="000215C5" w:rsidRDefault="00703023">
            <w:pPr>
              <w:spacing w:after="120"/>
              <w:jc w:val="both"/>
              <w:rPr>
                <w:szCs w:val="24"/>
              </w:rPr>
            </w:pPr>
            <w:r>
              <w:t>Villkorlig kontroll: Rapportera om service inte är ”Other” och serviceOther inte är noll.</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serviceWaterUseAgriculture</w:t>
            </w:r>
          </w:p>
          <w:p w:rsidR="000215C5" w:rsidRDefault="00703023">
            <w:pPr>
              <w:spacing w:after="120"/>
              <w:jc w:val="both"/>
              <w:rPr>
                <w:szCs w:val="24"/>
              </w:rPr>
            </w:pPr>
            <w:r>
              <w:rPr>
                <w:b/>
              </w:rPr>
              <w:t>Fälttyp/alternativ/förhållande</w:t>
            </w:r>
            <w:r>
              <w:t>: YesNoNotApplicable _Enum: Yes, No, Not applicable</w:t>
            </w:r>
            <w:r>
              <w:rPr>
                <w:b/>
              </w:rPr>
              <w:t xml:space="preserv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 xml:space="preserve">Vägledning om hur man fyller i mallposten: </w:t>
            </w:r>
            <w:r>
              <w:t>Villkorlig. Kan jordbruket utnyttja denna vattentjänst?</w:t>
            </w:r>
          </w:p>
          <w:p w:rsidR="000215C5" w:rsidRDefault="00703023">
            <w:pPr>
              <w:spacing w:after="120"/>
              <w:jc w:val="both"/>
              <w:rPr>
                <w:szCs w:val="24"/>
              </w:rPr>
            </w:pPr>
            <w:r>
              <w:t>Denna post behöver inte rapporteras om medlemsstaten rapporterar enligt en kombinerad vattentjänstanvändning. Detta anges genom att ”Other” rapporteras i service och ytterligare information lämnas i serviceOther.</w:t>
            </w:r>
          </w:p>
          <w:p w:rsidR="000215C5" w:rsidRDefault="00703023">
            <w:pPr>
              <w:spacing w:after="120"/>
              <w:jc w:val="both"/>
              <w:rPr>
                <w:szCs w:val="24"/>
              </w:rPr>
            </w:pPr>
            <w:r>
              <w:rPr>
                <w:b/>
              </w:rPr>
              <w:t>Kvalitetskontroller</w:t>
            </w:r>
            <w:r>
              <w:t xml:space="preserve">: Kontroll av posten: Ett giltigt alternativ måste väljas från uppräkningslistan. </w:t>
            </w:r>
          </w:p>
          <w:p w:rsidR="000215C5" w:rsidRDefault="00703023">
            <w:pPr>
              <w:spacing w:after="120"/>
              <w:jc w:val="both"/>
              <w:rPr>
                <w:b/>
                <w:szCs w:val="24"/>
              </w:rPr>
            </w:pPr>
            <w:r>
              <w:t>Villkorlig kontroll: Rapportera om service inte är ”Other” och serviceOther inte är noll.</w:t>
            </w:r>
          </w:p>
        </w:tc>
      </w:tr>
      <w:tr w:rsidR="000215C5">
        <w:tc>
          <w:tcPr>
            <w:tcW w:w="9853" w:type="dxa"/>
            <w:shd w:val="clear" w:color="auto" w:fill="auto"/>
          </w:tcPr>
          <w:p w:rsidR="000215C5" w:rsidRDefault="00703023">
            <w:pPr>
              <w:spacing w:after="120"/>
              <w:jc w:val="both"/>
              <w:rPr>
                <w:szCs w:val="24"/>
              </w:rPr>
            </w:pPr>
            <w:r>
              <w:rPr>
                <w:b/>
              </w:rPr>
              <w:t>Mallpost</w:t>
            </w:r>
            <w:r>
              <w:t>:</w:t>
            </w:r>
            <w:r>
              <w:rPr>
                <w:b/>
              </w:rPr>
              <w:t xml:space="preserve"> </w:t>
            </w:r>
            <w:r>
              <w:t>serviceWaterUseIndustry</w:t>
            </w:r>
          </w:p>
          <w:p w:rsidR="000215C5" w:rsidRDefault="00703023">
            <w:pPr>
              <w:spacing w:after="120"/>
              <w:jc w:val="both"/>
              <w:rPr>
                <w:szCs w:val="24"/>
              </w:rPr>
            </w:pPr>
            <w:r>
              <w:rPr>
                <w:b/>
              </w:rPr>
              <w:t>Fälttyp/alternativ/förhållande</w:t>
            </w:r>
            <w:r>
              <w:t>: YesNoNotApplicable _Enum: Yes, No, Not applicable</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 xml:space="preserve">Vägledning om hur man fyller i mallposten: </w:t>
            </w:r>
            <w:r>
              <w:t xml:space="preserve">Villkorlig. Kan industrin utnyttja denna vattentjänst? </w:t>
            </w:r>
          </w:p>
          <w:p w:rsidR="000215C5" w:rsidRDefault="00703023">
            <w:pPr>
              <w:spacing w:after="120"/>
              <w:jc w:val="both"/>
              <w:rPr>
                <w:szCs w:val="24"/>
              </w:rPr>
            </w:pPr>
            <w:r>
              <w:t>Denna post behöver inte rapporteras om medlemsstaten rapporterar enligt en kombinerad vattentjänstanvändning. Detta anges genom att ”Other” rapporteras i service och ytterligare information lämnas i serviceOther.</w:t>
            </w:r>
          </w:p>
          <w:p w:rsidR="000215C5" w:rsidRDefault="00703023">
            <w:pPr>
              <w:spacing w:after="120"/>
              <w:jc w:val="both"/>
              <w:rPr>
                <w:szCs w:val="24"/>
              </w:rPr>
            </w:pPr>
            <w:r>
              <w:rPr>
                <w:b/>
              </w:rPr>
              <w:t>Kvalitetskontroller</w:t>
            </w:r>
            <w:r>
              <w:t xml:space="preserve">: Kontroll av posten: Ett giltigt alternativ måste väljas från uppräkningslistan. </w:t>
            </w:r>
          </w:p>
          <w:p w:rsidR="000215C5" w:rsidRDefault="00703023">
            <w:pPr>
              <w:spacing w:after="120"/>
              <w:jc w:val="both"/>
              <w:rPr>
                <w:b/>
                <w:szCs w:val="24"/>
              </w:rPr>
            </w:pPr>
            <w:r>
              <w:t>Villkorlig kontroll: Rapportera om service inte är ”Other” och serviceOther inte är noll.</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serviceWaterUseOther</w:t>
            </w:r>
          </w:p>
          <w:p w:rsidR="000215C5" w:rsidRDefault="00703023">
            <w:pPr>
              <w:spacing w:after="120"/>
              <w:jc w:val="both"/>
              <w:rPr>
                <w:szCs w:val="24"/>
              </w:rPr>
            </w:pPr>
            <w:r>
              <w:rPr>
                <w:b/>
              </w:rPr>
              <w:t>Fälttyp/alternativ/förhållande</w:t>
            </w:r>
            <w:r>
              <w:t xml:space="preserve">: String1000Type </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Frivilligt. Lämna en beskrivning om andra användare än hushåll, jordbruk eller industri kan utnyttja denna vattentjänst. Fler än en vattenanvändning kan rapporteras i detta fält.</w:t>
            </w:r>
          </w:p>
          <w:p w:rsidR="000215C5" w:rsidRDefault="00703023">
            <w:pPr>
              <w:spacing w:after="120"/>
              <w:jc w:val="both"/>
              <w:rPr>
                <w:szCs w:val="24"/>
              </w:rPr>
            </w:pPr>
            <w:r>
              <w:rPr>
                <w:b/>
              </w:rPr>
              <w:t>Kvalitetskontroller</w:t>
            </w:r>
            <w:r>
              <w:t xml:space="preserve">: Kontroll av posten: Strängens längd får vara högst 1 000 tecken. </w:t>
            </w:r>
          </w:p>
        </w:tc>
      </w:tr>
      <w:tr w:rsidR="000215C5">
        <w:tc>
          <w:tcPr>
            <w:tcW w:w="9853" w:type="dxa"/>
            <w:shd w:val="clear" w:color="auto" w:fill="auto"/>
          </w:tcPr>
          <w:p w:rsidR="000215C5" w:rsidRDefault="00703023">
            <w:pPr>
              <w:spacing w:after="120"/>
              <w:jc w:val="both"/>
              <w:rPr>
                <w:b/>
                <w:szCs w:val="24"/>
              </w:rPr>
            </w:pPr>
            <w:r>
              <w:rPr>
                <w:b/>
              </w:rPr>
              <w:t>Mallpost</w:t>
            </w:r>
            <w:r>
              <w:t>:</w:t>
            </w:r>
            <w:r>
              <w:rPr>
                <w:b/>
              </w:rPr>
              <w:t xml:space="preserve"> </w:t>
            </w:r>
            <w:r>
              <w:t>serviceWaterUseContribution</w:t>
            </w:r>
          </w:p>
          <w:p w:rsidR="000215C5" w:rsidRDefault="00703023">
            <w:pPr>
              <w:spacing w:after="120"/>
              <w:jc w:val="both"/>
              <w:rPr>
                <w:szCs w:val="24"/>
              </w:rPr>
            </w:pPr>
            <w:r>
              <w:rPr>
                <w:b/>
              </w:rPr>
              <w:t xml:space="preserve">Fälttyp/alternativ: </w:t>
            </w:r>
            <w:r>
              <w:t>YesNoCode_Enum: Yes, No</w:t>
            </w:r>
          </w:p>
          <w:p w:rsidR="000215C5" w:rsidRDefault="00703023">
            <w:pPr>
              <w:spacing w:after="120"/>
              <w:jc w:val="both"/>
              <w:rPr>
                <w:szCs w:val="24"/>
              </w:rPr>
            </w:pPr>
            <w:r>
              <w:rPr>
                <w:b/>
              </w:rPr>
              <w:t xml:space="preserve">Egenskaper: </w:t>
            </w:r>
            <w:r>
              <w:t>maxOccurs = 1 minOccurs = 0</w:t>
            </w:r>
          </w:p>
          <w:p w:rsidR="000215C5" w:rsidRDefault="00703023">
            <w:pPr>
              <w:spacing w:after="120"/>
              <w:jc w:val="both"/>
              <w:rPr>
                <w:szCs w:val="24"/>
              </w:rPr>
            </w:pPr>
            <w:r>
              <w:rPr>
                <w:b/>
              </w:rPr>
              <w:t>Vägledning om hur man fyller i mallposten</w:t>
            </w:r>
            <w:r>
              <w:t xml:space="preserve">: Villkorlig. Om vattentjänsten är relevant för fler än en vattenanvändning (minimum är hushåll, jordbruk och industri), ange om den ekonomiska analysen omfattar beräkningar av bidraget från varje vattenanvändning till kostnadstäckningen för vattentjänsten. </w:t>
            </w:r>
          </w:p>
          <w:p w:rsidR="000215C5" w:rsidRDefault="00703023">
            <w:pPr>
              <w:spacing w:after="120"/>
              <w:jc w:val="both"/>
              <w:rPr>
                <w:szCs w:val="24"/>
              </w:rPr>
            </w:pPr>
            <w:r>
              <w:rPr>
                <w:b/>
              </w:rPr>
              <w:t>Kvalitetskontroller</w:t>
            </w:r>
            <w:r>
              <w:t>: Villkorlig kontroll: Rapportera om fler än en vattenanvändning rapporteras som ”Yes” i serviceWaterUseHouseholds, serviceWaterUseAgriculture, serviceWaterUseIndustry och/eller serviceWaterUseOther.</w:t>
            </w:r>
          </w:p>
        </w:tc>
      </w:tr>
    </w:tbl>
    <w:p w:rsidR="000215C5" w:rsidRDefault="000215C5">
      <w:pPr>
        <w:spacing w:after="0"/>
        <w:jc w:val="both"/>
        <w:rPr>
          <w:vanish/>
        </w:rPr>
      </w:pPr>
    </w:p>
    <w:p w:rsidR="000215C5" w:rsidRDefault="00703023">
      <w:pPr>
        <w:pStyle w:val="Rubrik3"/>
      </w:pPr>
      <w:bookmarkStart w:id="821" w:name="_Ref382903350"/>
      <w:bookmarkStart w:id="822" w:name="_Toc388280381"/>
      <w:r>
        <w:t>Vägledning om innehållet i förvaltningsplanerna för avrinningsdistrikt eller i bakgrundsdokument</w:t>
      </w:r>
      <w:bookmarkEnd w:id="821"/>
      <w:bookmarkEnd w:id="822"/>
    </w:p>
    <w:p w:rsidR="000215C5" w:rsidRDefault="00703023">
      <w:pPr>
        <w:jc w:val="both"/>
      </w:pPr>
      <w:r>
        <w:t>Nedan ges vägledning om de uppgifter som kommissionen förväntar sig att medlemsstaterna lämnar i de relevanta kapitlen om ekonomisk analys i förvaltningsplanerna eller bakgrundsdokumenten. Vägledningen är inte avsedd att vara uttömmande när det gäller vilka uppgifter som medlemsstaterna måste ta med i sina förvaltningsplaner eller bakgrundsdokument, utan anger vissa konkreta uppgifter som kommissionen förväntar sig.</w:t>
      </w:r>
    </w:p>
    <w:p w:rsidR="000215C5" w:rsidRDefault="00703023">
      <w:pPr>
        <w:jc w:val="both"/>
      </w:pPr>
      <w:r>
        <w:t xml:space="preserve">Förvaltningsplanen eller bakgrundsdokumenten måste innehålla en tydlig hänvisning till den metod som använts för den uppdaterade ekonomiska analysen av vattentjänster och vattenanvändning. Detta syftar särskilt till att stödja genomförandet av artikel 9 och kostnadstäckningsberäkningen. </w:t>
      </w:r>
      <w:r w:rsidR="00A07D35">
        <w:t>Detta ska omfatta följande:</w:t>
      </w:r>
    </w:p>
    <w:p w:rsidR="000215C5" w:rsidRDefault="00703023">
      <w:pPr>
        <w:numPr>
          <w:ilvl w:val="0"/>
          <w:numId w:val="15"/>
        </w:numPr>
        <w:ind w:left="709" w:hanging="349"/>
        <w:jc w:val="both"/>
      </w:pPr>
      <w:r>
        <w:t>De bedömningar som görs för uppdateringen av den ekonomiska analysen av vattenanvändning.</w:t>
      </w:r>
    </w:p>
    <w:p w:rsidR="000215C5" w:rsidRDefault="00703023">
      <w:pPr>
        <w:numPr>
          <w:ilvl w:val="0"/>
          <w:numId w:val="15"/>
        </w:numPr>
        <w:ind w:left="709" w:hanging="349"/>
        <w:jc w:val="both"/>
      </w:pPr>
      <w:r>
        <w:t>De metoder som tillämpas för att utföra kostnadseffektivitetsanalysen för att stödja valet av åtgärder.</w:t>
      </w:r>
    </w:p>
    <w:p w:rsidR="000215C5" w:rsidRDefault="00703023">
      <w:pPr>
        <w:numPr>
          <w:ilvl w:val="0"/>
          <w:numId w:val="15"/>
        </w:numPr>
        <w:ind w:left="709" w:hanging="349"/>
        <w:jc w:val="both"/>
      </w:pPr>
      <w:r>
        <w:t>Valda vattentjänster och motiveringar till urvalet.</w:t>
      </w:r>
    </w:p>
    <w:p w:rsidR="000215C5" w:rsidRDefault="00703023">
      <w:pPr>
        <w:numPr>
          <w:ilvl w:val="0"/>
          <w:numId w:val="15"/>
        </w:numPr>
        <w:ind w:left="709" w:hanging="349"/>
        <w:jc w:val="both"/>
      </w:pPr>
      <w:r>
        <w:t>De bedömningar som gjorts för att uppskatta de ekonomiska kostnaderna för vattentjänsterna, särskilt hur (eventuella) bidrag till vattentjänsterna har redovisats i bedömningen av dessa kostnader.</w:t>
      </w:r>
    </w:p>
    <w:p w:rsidR="000215C5" w:rsidRDefault="00703023">
      <w:pPr>
        <w:numPr>
          <w:ilvl w:val="0"/>
          <w:numId w:val="15"/>
        </w:numPr>
        <w:ind w:left="709" w:hanging="349"/>
        <w:jc w:val="both"/>
      </w:pPr>
      <w:r>
        <w:t>För varje vald vattentjänst, totala ekonomiska kostnader (investeringar, drift och underhåll, andra finansiella kostnader inklusive kapitalkostnader) per år.</w:t>
      </w:r>
    </w:p>
    <w:p w:rsidR="000215C5" w:rsidRDefault="00703023">
      <w:pPr>
        <w:numPr>
          <w:ilvl w:val="0"/>
          <w:numId w:val="15"/>
        </w:numPr>
        <w:ind w:left="709" w:hanging="349"/>
        <w:jc w:val="both"/>
      </w:pPr>
      <w:r>
        <w:t>Metoden för att bedöma miljö- och resurskostnader.</w:t>
      </w:r>
    </w:p>
    <w:p w:rsidR="000215C5" w:rsidRDefault="00703023">
      <w:pPr>
        <w:numPr>
          <w:ilvl w:val="0"/>
          <w:numId w:val="15"/>
        </w:numPr>
        <w:ind w:left="709" w:hanging="349"/>
        <w:jc w:val="both"/>
      </w:pPr>
      <w:r>
        <w:t>Metoden för att bedöma graden av kostnadstäckning för individuella vattentjänster.</w:t>
      </w:r>
    </w:p>
    <w:p w:rsidR="000215C5" w:rsidRDefault="00703023">
      <w:pPr>
        <w:numPr>
          <w:ilvl w:val="0"/>
          <w:numId w:val="15"/>
        </w:numPr>
        <w:ind w:left="709" w:hanging="349"/>
        <w:jc w:val="both"/>
      </w:pPr>
      <w:r>
        <w:t>En beskrivning av befintliga instrument för kostnadstäckning, inklusive vattenavgifter, miljöskatter osv.</w:t>
      </w:r>
    </w:p>
    <w:p w:rsidR="000215C5" w:rsidRDefault="00703023">
      <w:pPr>
        <w:numPr>
          <w:ilvl w:val="0"/>
          <w:numId w:val="15"/>
        </w:numPr>
        <w:ind w:left="709" w:hanging="349"/>
        <w:jc w:val="both"/>
      </w:pPr>
      <w:r>
        <w:t>De bedömningar som gjorts för att motivera att bidraget från olika vattenanvändningar (jordbruk, hushåll, industri, andra) till vattentjänsternas kostnader är ”adekvat”.</w:t>
      </w:r>
    </w:p>
    <w:p w:rsidR="000215C5" w:rsidRDefault="00703023">
      <w:pPr>
        <w:numPr>
          <w:ilvl w:val="0"/>
          <w:numId w:val="15"/>
        </w:numPr>
        <w:ind w:left="709" w:hanging="349"/>
        <w:jc w:val="both"/>
      </w:pPr>
      <w:r>
        <w:t>De bedömningar som gjorts för att motivera att prispolitiken för vatten ger vattenförbrukarna tillräckliga incitament till effektiv användning av vattenresurserna.</w:t>
      </w:r>
    </w:p>
    <w:p w:rsidR="000215C5" w:rsidRDefault="00703023">
      <w:pPr>
        <w:numPr>
          <w:ilvl w:val="0"/>
          <w:numId w:val="15"/>
        </w:numPr>
        <w:ind w:left="709" w:hanging="349"/>
        <w:jc w:val="both"/>
      </w:pPr>
      <w:r>
        <w:t>Den metod som använts för att beakta kostnadstäckningens sociala, miljömässiga och ekonomiska effekter liksom geografiska och klimatmässiga förhållanden i den eller de regioner som påverkas i samband med genomförandet av artikel 9.</w:t>
      </w:r>
    </w:p>
    <w:p w:rsidR="000215C5" w:rsidRDefault="00703023">
      <w:pPr>
        <w:numPr>
          <w:ilvl w:val="0"/>
          <w:numId w:val="15"/>
        </w:numPr>
        <w:ind w:left="709" w:hanging="349"/>
        <w:jc w:val="both"/>
      </w:pPr>
      <w:r>
        <w:t>Vid tillämpning av artikel 9.4 i vattendirektivet, en motivering till detta.</w:t>
      </w:r>
    </w:p>
    <w:p w:rsidR="000215C5" w:rsidRDefault="00703023">
      <w:pPr>
        <w:numPr>
          <w:ilvl w:val="0"/>
          <w:numId w:val="15"/>
        </w:numPr>
        <w:ind w:left="709" w:hanging="349"/>
        <w:jc w:val="both"/>
      </w:pPr>
      <w:r>
        <w:t>Om diffusa föroreningar från jordbruket fastställs som en betydande påverkan på den akvatiska miljön ska information lämnas om följande:</w:t>
      </w:r>
    </w:p>
    <w:p w:rsidR="000215C5" w:rsidRDefault="00703023">
      <w:pPr>
        <w:numPr>
          <w:ilvl w:val="1"/>
          <w:numId w:val="15"/>
        </w:numPr>
        <w:jc w:val="both"/>
      </w:pPr>
      <w:r>
        <w:t>Uppskattade kostnader för åtgärder för att motverka effekterna av diffusa föroreningar (i euro/år eller euro/cykel).</w:t>
      </w:r>
    </w:p>
    <w:p w:rsidR="000215C5" w:rsidRDefault="00703023">
      <w:pPr>
        <w:numPr>
          <w:ilvl w:val="1"/>
          <w:numId w:val="15"/>
        </w:numPr>
        <w:jc w:val="both"/>
      </w:pPr>
      <w:r>
        <w:t>Föreslaget extra bidrag från jordbruket för att täcka kostnaderna för diffusa föroreningar (förutom att finansiera kostnaderna för åtgärderna), t.ex. skatter, avgifter för gödselmedel, bekämpningsmedel osv. Ange uppgifter om använda verktyg samt erhållna intäkter.</w:t>
      </w:r>
    </w:p>
    <w:p w:rsidR="000215C5" w:rsidRDefault="00703023">
      <w:pPr>
        <w:numPr>
          <w:ilvl w:val="1"/>
          <w:numId w:val="15"/>
        </w:numPr>
        <w:jc w:val="both"/>
      </w:pPr>
      <w:r>
        <w:t>Ange om diffusa föroreningar från jordbruket ger upphov till ytterligare ekonomiska kostnader för vattentjänstleverantörerna (t.ex. för eliminering av nitrater). Om så är fallet, ange om dessa kostnader har uppskattats.</w:t>
      </w:r>
    </w:p>
    <w:p w:rsidR="000215C5" w:rsidRDefault="00703023">
      <w:pPr>
        <w:pStyle w:val="Rubrik1"/>
        <w:jc w:val="both"/>
      </w:pPr>
      <w:bookmarkStart w:id="823" w:name="_Toc400669605"/>
      <w:bookmarkStart w:id="824" w:name="_Toc400670071"/>
      <w:bookmarkStart w:id="825" w:name="_Toc400670409"/>
      <w:bookmarkStart w:id="826" w:name="_Toc400670743"/>
      <w:bookmarkStart w:id="827" w:name="_Toc400671051"/>
      <w:bookmarkStart w:id="828" w:name="_Toc400671355"/>
      <w:bookmarkStart w:id="829" w:name="_Toc400671660"/>
      <w:bookmarkStart w:id="830" w:name="_Toc400671954"/>
      <w:bookmarkStart w:id="831" w:name="_Toc400720399"/>
      <w:bookmarkStart w:id="832" w:name="_Toc425522090"/>
      <w:bookmarkStart w:id="833" w:name="_Toc432666102"/>
      <w:bookmarkStart w:id="834" w:name="_Toc437520298"/>
      <w:bookmarkEnd w:id="823"/>
      <w:bookmarkEnd w:id="824"/>
      <w:bookmarkEnd w:id="825"/>
      <w:bookmarkEnd w:id="826"/>
      <w:bookmarkEnd w:id="827"/>
      <w:bookmarkEnd w:id="828"/>
      <w:bookmarkEnd w:id="829"/>
      <w:bookmarkEnd w:id="830"/>
      <w:bookmarkEnd w:id="831"/>
      <w:r>
        <w:t>Framtida utveckling av rapporteringen</w:t>
      </w:r>
      <w:bookmarkEnd w:id="643"/>
      <w:bookmarkEnd w:id="832"/>
      <w:bookmarkEnd w:id="833"/>
      <w:bookmarkEnd w:id="834"/>
    </w:p>
    <w:p w:rsidR="000215C5" w:rsidRDefault="00703023">
      <w:pPr>
        <w:pStyle w:val="Text1"/>
        <w:ind w:left="0"/>
        <w:jc w:val="both"/>
      </w:pPr>
      <w:r>
        <w:t>De nya kraven på elektronisk rapportering antogs av de europeiska vattenförvaltningarna i juni 2014. De krav och den vägledning som gäller på EU-nivå (t.ex. det aktuella kravet på framtida rapportering, men även arbetsprogrammet Inspire Underhåll och genomförande) inbegriper kraven på förenkling, rationalisering och standardisering av datainlämningen i linje med Inspire. Rapporteringskraven bör klargöras inom ett antal miljöpolitiska områden som är beroende av och använder Inspire-data.</w:t>
      </w:r>
    </w:p>
    <w:p w:rsidR="000215C5" w:rsidRDefault="00703023">
      <w:pPr>
        <w:pStyle w:val="Rubrik2"/>
        <w:jc w:val="both"/>
      </w:pPr>
      <w:bookmarkStart w:id="835" w:name="_Toc386464264"/>
      <w:bookmarkStart w:id="836" w:name="_Toc425522091"/>
      <w:bookmarkStart w:id="837" w:name="_Toc432666103"/>
      <w:bookmarkStart w:id="838" w:name="_Toc437520299"/>
      <w:r>
        <w:t>Mål för den tredje planeringscykeln</w:t>
      </w:r>
      <w:bookmarkEnd w:id="835"/>
      <w:bookmarkEnd w:id="836"/>
      <w:bookmarkEnd w:id="837"/>
      <w:bookmarkEnd w:id="838"/>
    </w:p>
    <w:p w:rsidR="000215C5" w:rsidRDefault="00703023">
      <w:pPr>
        <w:pStyle w:val="Text1"/>
        <w:ind w:left="0"/>
        <w:jc w:val="both"/>
      </w:pPr>
      <w:r>
        <w:t>Enligt principerna för det gemensamma miljöinformationssystemet (Seis) ska rapporteringen av data och information</w:t>
      </w:r>
    </w:p>
    <w:p w:rsidR="000215C5" w:rsidRDefault="00703023">
      <w:pPr>
        <w:pStyle w:val="Text1"/>
        <w:numPr>
          <w:ilvl w:val="0"/>
          <w:numId w:val="45"/>
        </w:numPr>
        <w:jc w:val="both"/>
      </w:pPr>
      <w:r>
        <w:t>skötas så nära källan som möjligt,</w:t>
      </w:r>
    </w:p>
    <w:p w:rsidR="000215C5" w:rsidRDefault="00703023">
      <w:pPr>
        <w:pStyle w:val="Text1"/>
        <w:numPr>
          <w:ilvl w:val="0"/>
          <w:numId w:val="45"/>
        </w:numPr>
        <w:jc w:val="both"/>
      </w:pPr>
      <w:r>
        <w:t>uppgifterna ska samlas in en gång och delas med andra för många syften,</w:t>
      </w:r>
    </w:p>
    <w:p w:rsidR="000215C5" w:rsidRDefault="00703023">
      <w:pPr>
        <w:pStyle w:val="Text1"/>
        <w:numPr>
          <w:ilvl w:val="0"/>
          <w:numId w:val="45"/>
        </w:numPr>
        <w:jc w:val="both"/>
      </w:pPr>
      <w:r>
        <w:t>uppgifterna ska finnas lätt tillgängliga så att rapporteringsskyldigheterna enkelt kan fullgöras,</w:t>
      </w:r>
    </w:p>
    <w:p w:rsidR="000215C5" w:rsidRDefault="00703023">
      <w:pPr>
        <w:pStyle w:val="Text1"/>
        <w:numPr>
          <w:ilvl w:val="0"/>
          <w:numId w:val="45"/>
        </w:numPr>
        <w:jc w:val="both"/>
      </w:pPr>
      <w:r>
        <w:t>uppgifterna ska finnas lätt tillgängliga för alla slutanvändare på alla nivåer för att bidra till utformningen av ny politik,</w:t>
      </w:r>
    </w:p>
    <w:p w:rsidR="000215C5" w:rsidRDefault="00703023">
      <w:pPr>
        <w:pStyle w:val="Text1"/>
        <w:numPr>
          <w:ilvl w:val="0"/>
          <w:numId w:val="45"/>
        </w:numPr>
        <w:jc w:val="both"/>
      </w:pPr>
      <w:r>
        <w:t>uppgifterna ska vara tillgängliga för att möjliggöra jämförelser av miljön på lämplig geografisk nivå,</w:t>
      </w:r>
    </w:p>
    <w:p w:rsidR="000215C5" w:rsidRDefault="00703023">
      <w:pPr>
        <w:pStyle w:val="Text1"/>
        <w:numPr>
          <w:ilvl w:val="0"/>
          <w:numId w:val="45"/>
        </w:numPr>
        <w:jc w:val="both"/>
      </w:pPr>
      <w:r>
        <w:t>uppgifterna ska finnas fullständigt tillgängliga för allmänheten för att möjliggöra medborgerligt deltagande,</w:t>
      </w:r>
    </w:p>
    <w:p w:rsidR="000215C5" w:rsidRDefault="00703023">
      <w:pPr>
        <w:pStyle w:val="Text1"/>
        <w:numPr>
          <w:ilvl w:val="0"/>
          <w:numId w:val="45"/>
        </w:numPr>
        <w:jc w:val="both"/>
      </w:pPr>
      <w:r>
        <w:t>uppgifterna ska stödjas genom gemensamma, kostnadsfria och öppna programvarustandarder.</w:t>
      </w:r>
    </w:p>
    <w:p w:rsidR="000215C5" w:rsidRDefault="00703023">
      <w:pPr>
        <w:jc w:val="both"/>
      </w:pPr>
      <w:r>
        <w:t>Det nya rapporteringssystemet kommer att dra fördel av möjligheterna med IKT för att omsätta principen om ”övervakning en gång för många syften” i praktiken. I ett decentraliserat rapporteringssystem har medlemsstaterna ansvaret för och kontroll över informationen och uppgifterna på sina nationella webbplatser. Informationen och uppgifterna kan sedan delas med användare på EU-nivå, nationell nivå och regional nivå. Det nya rapporteringssystemet för miljöuppgifter måste fungera på olika administrativa nivåer. Det bör integrera tillgång till stora mängder enhetlig och geografiskt spridd information. Kommissionen kan då hämta informationen och uppgifterna för efterlevnadskontroller utan att behöva samla in och lagra dem själv.</w:t>
      </w:r>
    </w:p>
    <w:p w:rsidR="000215C5" w:rsidRDefault="00703023">
      <w:pPr>
        <w:jc w:val="both"/>
      </w:pPr>
      <w:r>
        <w:t>Kopplingen mellan Inspire-kraven och vattenrelaterad politik måste bli synlig. En viktig aspekt av gemensam rapportering är en enhetlig definition av de termer som ska behållas och användas. Ett praktiskt alternativ är att identifiera en gemensam datadefinition som kan anpassas till en gemensam ontologi. Dessa frågor är centrala i Inspires arbetsprogram, och bör därför övervägas i genomförandet. Inspires arbetsprogram baseras på åter</w:t>
      </w:r>
      <w:r w:rsidR="00133520">
        <w:t>koppling som lämnats av Inspire</w:t>
      </w:r>
      <w:r w:rsidR="00133520">
        <w:noBreakHyphen/>
      </w:r>
      <w:r>
        <w:t>intressenter i medlemsstaterna.</w:t>
      </w:r>
    </w:p>
    <w:p w:rsidR="000215C5" w:rsidRDefault="00703023">
      <w:pPr>
        <w:jc w:val="both"/>
        <w:rPr>
          <w:i/>
        </w:rPr>
      </w:pPr>
      <w:r>
        <w:rPr>
          <w:i/>
        </w:rPr>
        <w:t>Inspires arbetsprogram</w:t>
      </w:r>
    </w:p>
    <w:p w:rsidR="000215C5" w:rsidRDefault="00703023">
      <w:pPr>
        <w:pStyle w:val="Text1"/>
        <w:numPr>
          <w:ilvl w:val="0"/>
          <w:numId w:val="48"/>
        </w:numPr>
        <w:jc w:val="both"/>
      </w:pPr>
      <w:r>
        <w:t>MIWP-1: Förbättra tillgången till och läsbarheten för TG.</w:t>
      </w:r>
    </w:p>
    <w:p w:rsidR="000215C5" w:rsidRDefault="00703023">
      <w:pPr>
        <w:pStyle w:val="Text1"/>
        <w:numPr>
          <w:ilvl w:val="0"/>
          <w:numId w:val="48"/>
        </w:numPr>
        <w:jc w:val="both"/>
      </w:pPr>
      <w:r>
        <w:t>MIWP-2: Skapa och underhålla en FAQ-sida.</w:t>
      </w:r>
    </w:p>
    <w:p w:rsidR="000215C5" w:rsidRDefault="00703023">
      <w:pPr>
        <w:pStyle w:val="Text1"/>
        <w:numPr>
          <w:ilvl w:val="0"/>
          <w:numId w:val="48"/>
        </w:numPr>
        <w:jc w:val="both"/>
      </w:pPr>
      <w:r>
        <w:t>MIWP-3: Riktlinjer och bästa praxis för åtkomstkontroll.</w:t>
      </w:r>
    </w:p>
    <w:p w:rsidR="000215C5" w:rsidRDefault="00703023">
      <w:pPr>
        <w:pStyle w:val="Text1"/>
        <w:numPr>
          <w:ilvl w:val="0"/>
          <w:numId w:val="48"/>
        </w:numPr>
        <w:jc w:val="both"/>
      </w:pPr>
      <w:r>
        <w:t>MIWP-4: Hantering och användning av URI för Inspire-identifierare.</w:t>
      </w:r>
    </w:p>
    <w:p w:rsidR="000215C5" w:rsidRDefault="00703023">
      <w:pPr>
        <w:pStyle w:val="Text1"/>
        <w:numPr>
          <w:ilvl w:val="0"/>
          <w:numId w:val="48"/>
        </w:numPr>
        <w:jc w:val="both"/>
      </w:pPr>
      <w:r>
        <w:t>MIWP-5: Validering och överensstämmelseprovning.</w:t>
      </w:r>
    </w:p>
    <w:p w:rsidR="000215C5" w:rsidRDefault="00703023">
      <w:pPr>
        <w:pStyle w:val="Text1"/>
        <w:numPr>
          <w:ilvl w:val="0"/>
          <w:numId w:val="48"/>
        </w:numPr>
        <w:jc w:val="both"/>
      </w:pPr>
      <w:r>
        <w:t>MIWP-6: Register.</w:t>
      </w:r>
    </w:p>
    <w:p w:rsidR="000215C5" w:rsidRDefault="00703023">
      <w:pPr>
        <w:pStyle w:val="Text1"/>
        <w:numPr>
          <w:ilvl w:val="0"/>
          <w:numId w:val="48"/>
        </w:numPr>
        <w:jc w:val="both"/>
      </w:pPr>
      <w:r>
        <w:t>MIWP-7: Utökning av nedladdningstjänsten TG för observations-, täcknings- och tabelldata.</w:t>
      </w:r>
    </w:p>
    <w:p w:rsidR="000215C5" w:rsidRDefault="00703023">
      <w:pPr>
        <w:pStyle w:val="Text1"/>
        <w:numPr>
          <w:ilvl w:val="0"/>
          <w:numId w:val="48"/>
        </w:numPr>
        <w:jc w:val="both"/>
      </w:pPr>
      <w:r>
        <w:t>MIWP-8: Uppdatering av Metadata TG.</w:t>
      </w:r>
    </w:p>
    <w:p w:rsidR="000215C5" w:rsidRDefault="00703023">
      <w:pPr>
        <w:pStyle w:val="Text1"/>
        <w:numPr>
          <w:ilvl w:val="0"/>
          <w:numId w:val="48"/>
        </w:numPr>
        <w:jc w:val="both"/>
      </w:pPr>
      <w:r>
        <w:t>MIWP-9: Framtida inriktning för Inspires geoportal.</w:t>
      </w:r>
    </w:p>
    <w:p w:rsidR="000215C5" w:rsidRDefault="00703023">
      <w:pPr>
        <w:pStyle w:val="Text1"/>
        <w:numPr>
          <w:ilvl w:val="0"/>
          <w:numId w:val="48"/>
        </w:numPr>
        <w:jc w:val="both"/>
      </w:pPr>
      <w:r>
        <w:t>MIWP-10: Uppdatering av bilaga I-dataspecifikationer.</w:t>
      </w:r>
    </w:p>
    <w:p w:rsidR="000215C5" w:rsidRDefault="00703023">
      <w:pPr>
        <w:pStyle w:val="Text1"/>
        <w:numPr>
          <w:ilvl w:val="0"/>
          <w:numId w:val="48"/>
        </w:numPr>
        <w:jc w:val="both"/>
      </w:pPr>
      <w:r>
        <w:t>MIWP-11: Förenkling och klargörande av GML-kodning för rumsliga uppgifter.</w:t>
      </w:r>
    </w:p>
    <w:p w:rsidR="000215C5" w:rsidRDefault="00703023">
      <w:pPr>
        <w:pStyle w:val="Text1"/>
        <w:numPr>
          <w:ilvl w:val="0"/>
          <w:numId w:val="48"/>
        </w:numPr>
        <w:jc w:val="both"/>
      </w:pPr>
      <w:r>
        <w:t>MIWP-12: Klargörande av kodningsreglerna för UML-to-GML.</w:t>
      </w:r>
    </w:p>
    <w:p w:rsidR="000215C5" w:rsidRDefault="00703023">
      <w:pPr>
        <w:pStyle w:val="Text1"/>
        <w:numPr>
          <w:ilvl w:val="0"/>
          <w:numId w:val="48"/>
        </w:numPr>
        <w:jc w:val="both"/>
      </w:pPr>
      <w:r>
        <w:t>MIWP-13: Temaspecifika frågor om dataspecifikationer.</w:t>
      </w:r>
    </w:p>
    <w:p w:rsidR="000215C5" w:rsidRDefault="00703023">
      <w:pPr>
        <w:pStyle w:val="Text1"/>
        <w:numPr>
          <w:ilvl w:val="0"/>
          <w:numId w:val="48"/>
        </w:numPr>
        <w:jc w:val="both"/>
      </w:pPr>
      <w:r>
        <w:t>MIWP-14: Erfarenhetsutbyte om genomförandefrågor inom tematiska områden.</w:t>
      </w:r>
    </w:p>
    <w:p w:rsidR="000215C5" w:rsidRDefault="00703023">
      <w:pPr>
        <w:pStyle w:val="Text1"/>
        <w:numPr>
          <w:ilvl w:val="0"/>
          <w:numId w:val="48"/>
        </w:numPr>
        <w:jc w:val="both"/>
      </w:pPr>
      <w:r>
        <w:t>MIWP-15: Översikt av Inspires strukturer, arkitektur och verktyg för samordning.</w:t>
      </w:r>
    </w:p>
    <w:p w:rsidR="000215C5" w:rsidRDefault="00703023">
      <w:pPr>
        <w:pStyle w:val="Text1"/>
        <w:numPr>
          <w:ilvl w:val="0"/>
          <w:numId w:val="48"/>
        </w:numPr>
        <w:jc w:val="both"/>
      </w:pPr>
      <w:r>
        <w:t>MIWP-16: Göra övervakningsinformationen mer användbar och tillförlitlig.</w:t>
      </w:r>
    </w:p>
    <w:p w:rsidR="000215C5" w:rsidRDefault="00703023">
      <w:pPr>
        <w:pStyle w:val="Text1"/>
        <w:numPr>
          <w:ilvl w:val="0"/>
          <w:numId w:val="48"/>
        </w:numPr>
        <w:jc w:val="both"/>
      </w:pPr>
      <w:r>
        <w:t>MIWP-17: Delning av data och tjänster samt licensmodeller.</w:t>
      </w:r>
    </w:p>
    <w:p w:rsidR="000215C5" w:rsidRDefault="00703023">
      <w:pPr>
        <w:pStyle w:val="Text1"/>
        <w:numPr>
          <w:ilvl w:val="0"/>
          <w:numId w:val="48"/>
        </w:numPr>
        <w:jc w:val="both"/>
      </w:pPr>
      <w:r>
        <w:t>MIWP-18 Underhåll av XML-mallar.</w:t>
      </w:r>
    </w:p>
    <w:p w:rsidR="000215C5" w:rsidRDefault="00703023">
      <w:pPr>
        <w:pStyle w:val="Text1"/>
        <w:numPr>
          <w:ilvl w:val="0"/>
          <w:numId w:val="48"/>
        </w:numPr>
        <w:jc w:val="both"/>
      </w:pPr>
      <w:r>
        <w:t>MIWP-19 Utforska och förbättra situationen för kontrollerade vokabulärer inom ramen för Inspire.</w:t>
      </w:r>
    </w:p>
    <w:p w:rsidR="000215C5" w:rsidRDefault="00703023">
      <w:pPr>
        <w:pStyle w:val="Text1"/>
        <w:numPr>
          <w:ilvl w:val="0"/>
          <w:numId w:val="48"/>
        </w:numPr>
        <w:ind w:left="1196" w:hanging="357"/>
        <w:jc w:val="both"/>
      </w:pPr>
      <w:r>
        <w:t>MIWP-20: Förbättrade riktlinjer för harmoniserade lagernamn.</w:t>
      </w:r>
    </w:p>
    <w:p w:rsidR="000215C5" w:rsidRDefault="00703023">
      <w:pPr>
        <w:pStyle w:val="Text1"/>
        <w:numPr>
          <w:ilvl w:val="0"/>
          <w:numId w:val="48"/>
        </w:numPr>
        <w:jc w:val="both"/>
      </w:pPr>
      <w:r>
        <w:t>MIWP-21: Pilotprojekt för Inspire-baserade tillämpningar (även för e-rapportering).</w:t>
      </w:r>
    </w:p>
    <w:p w:rsidR="000215C5" w:rsidRDefault="00703023">
      <w:pPr>
        <w:jc w:val="both"/>
      </w:pPr>
      <w:r>
        <w:t>Till exempel arbetsprogrammen 6, 13 och 17:</w:t>
      </w:r>
    </w:p>
    <w:p w:rsidR="000215C5" w:rsidRDefault="00703023">
      <w:pPr>
        <w:pStyle w:val="Text1"/>
        <w:ind w:left="0"/>
        <w:jc w:val="both"/>
        <w:rPr>
          <w:i/>
        </w:rPr>
      </w:pPr>
      <w:r>
        <w:rPr>
          <w:i/>
        </w:rPr>
        <w:t>Inspires arbetsprogram nr 6: Register</w:t>
      </w:r>
    </w:p>
    <w:p w:rsidR="000215C5" w:rsidRDefault="00703023">
      <w:pPr>
        <w:jc w:val="both"/>
      </w:pPr>
      <w:r>
        <w:t>Medlemsstaterna måste bygga upp register för att genomföra Inspire (och använda de centrala Inspire-registren). En teknisk riktlinje bör förklara hur registren ska byggas upp, hur de centrala Inspire-registren kan utökas och hur nationella register/utökningar kan kopplas till det centrala Inspire-registret.</w:t>
      </w:r>
    </w:p>
    <w:p w:rsidR="000215C5" w:rsidRDefault="00703023">
      <w:pPr>
        <w:jc w:val="both"/>
      </w:pPr>
      <w:r>
        <w:t>Kommissionen och medlemsstaterna bör diskutera om prioriteringarna för den vidare utvecklingen (funktionalitet och innehåll) för det centrala Inspire-registret. Följande frågor kan vara aktuella:</w:t>
      </w:r>
    </w:p>
    <w:p w:rsidR="000215C5" w:rsidRDefault="00703023">
      <w:pPr>
        <w:pStyle w:val="Text1"/>
        <w:numPr>
          <w:ilvl w:val="0"/>
          <w:numId w:val="15"/>
        </w:numPr>
        <w:jc w:val="both"/>
      </w:pPr>
      <w:r>
        <w:t>Stöd för registrering av kartläggning mellan kodlistor.</w:t>
      </w:r>
    </w:p>
    <w:p w:rsidR="000215C5" w:rsidRDefault="00703023">
      <w:pPr>
        <w:pStyle w:val="Text1"/>
        <w:numPr>
          <w:ilvl w:val="0"/>
          <w:numId w:val="15"/>
        </w:numPr>
        <w:jc w:val="both"/>
      </w:pPr>
      <w:r>
        <w:t>Stöd för registrering av utökade modeller och kodlistor.</w:t>
      </w:r>
    </w:p>
    <w:p w:rsidR="000215C5" w:rsidRDefault="00703023">
      <w:pPr>
        <w:pStyle w:val="Text1"/>
        <w:numPr>
          <w:ilvl w:val="0"/>
          <w:numId w:val="15"/>
        </w:numPr>
        <w:jc w:val="both"/>
      </w:pPr>
      <w:r>
        <w:t>Införande av ett uppdaterat konceptlexikon (inklusive bilaga II + III).</w:t>
      </w:r>
    </w:p>
    <w:p w:rsidR="000215C5" w:rsidRDefault="00703023">
      <w:pPr>
        <w:pStyle w:val="Text1"/>
        <w:numPr>
          <w:ilvl w:val="0"/>
          <w:numId w:val="15"/>
        </w:numPr>
        <w:jc w:val="both"/>
      </w:pPr>
      <w:r>
        <w:t>Överenskommelse om hur CRS-registret bör hanteras i Inspire.</w:t>
      </w:r>
    </w:p>
    <w:p w:rsidR="000215C5" w:rsidRDefault="00703023">
      <w:pPr>
        <w:jc w:val="both"/>
        <w:rPr>
          <w:i/>
        </w:rPr>
      </w:pPr>
      <w:r>
        <w:rPr>
          <w:i/>
        </w:rPr>
        <w:t>Inspires arbetsprogram nr 13: Temaspecifika frågor om dataspecifikationer</w:t>
      </w:r>
    </w:p>
    <w:p w:rsidR="000215C5" w:rsidRDefault="00703023">
      <w:pPr>
        <w:jc w:val="both"/>
      </w:pPr>
      <w:r>
        <w:t>Ett antal temaspecifika frågor har tagits upp när det gäller dataspecifikationer för PS, AD, EL, US, TN, BU, CRS och HY (en förklaring av förkortningarna ges nedan).</w:t>
      </w:r>
    </w:p>
    <w:p w:rsidR="000215C5" w:rsidRDefault="00703023">
      <w:pPr>
        <w:jc w:val="both"/>
      </w:pPr>
      <w:r>
        <w:t>Detta omfattar PS (Full application schema), som måste anpassas till de teman som ingår i bilaga III. PS har därför tillfälligt tagits bort från den uppdaterade PS-dataspecifikationen (se MIWP-10).</w:t>
      </w:r>
    </w:p>
    <w:p w:rsidR="000215C5" w:rsidRDefault="00703023">
      <w:pPr>
        <w:pStyle w:val="Text1"/>
        <w:jc w:val="both"/>
      </w:pPr>
      <w:r>
        <w:t>Förteckning över förkortningar</w:t>
      </w:r>
    </w:p>
    <w:p w:rsidR="000215C5" w:rsidRDefault="00703023">
      <w:pPr>
        <w:pStyle w:val="Text1"/>
        <w:jc w:val="both"/>
      </w:pPr>
      <w:r>
        <w:t>AD</w:t>
      </w:r>
      <w:r>
        <w:tab/>
        <w:t>Adresser (Addresses)</w:t>
      </w:r>
    </w:p>
    <w:p w:rsidR="000215C5" w:rsidRDefault="00703023">
      <w:pPr>
        <w:pStyle w:val="Text1"/>
        <w:jc w:val="both"/>
      </w:pPr>
      <w:r>
        <w:t>AU</w:t>
      </w:r>
      <w:r>
        <w:tab/>
        <w:t>Administrativa enheter (Administrative Units)</w:t>
      </w:r>
    </w:p>
    <w:p w:rsidR="000215C5" w:rsidRDefault="00703023">
      <w:pPr>
        <w:pStyle w:val="Text1"/>
        <w:jc w:val="both"/>
      </w:pPr>
      <w:r>
        <w:t>AF</w:t>
      </w:r>
      <w:r>
        <w:tab/>
        <w:t>Jordbruks- och vattenbruksanläggningar (Agricultural and Aquaculture Facilities)</w:t>
      </w:r>
    </w:p>
    <w:p w:rsidR="000215C5" w:rsidRDefault="00703023">
      <w:pPr>
        <w:pStyle w:val="Text1"/>
        <w:jc w:val="both"/>
      </w:pPr>
      <w:r>
        <w:t>AM</w:t>
      </w:r>
      <w:r>
        <w:tab/>
        <w:t>Områden med särskild förvaltning/begränsningar/reglering samt enheter för rapportering (Area Management Restriction Regulation Zones and Reporting units)</w:t>
      </w:r>
    </w:p>
    <w:p w:rsidR="000215C5" w:rsidRDefault="00703023">
      <w:pPr>
        <w:pStyle w:val="Text1"/>
        <w:jc w:val="both"/>
      </w:pPr>
      <w:r>
        <w:t>AC</w:t>
      </w:r>
      <w:r>
        <w:tab/>
        <w:t>Atmosfäriska förhållanden (Atmospheric Conditions)</w:t>
      </w:r>
    </w:p>
    <w:p w:rsidR="000215C5" w:rsidRPr="008D6A99" w:rsidRDefault="00703023">
      <w:pPr>
        <w:pStyle w:val="Text1"/>
        <w:jc w:val="both"/>
        <w:rPr>
          <w:lang w:val="nn-NO"/>
        </w:rPr>
      </w:pPr>
      <w:r w:rsidRPr="008D6A99">
        <w:rPr>
          <w:lang w:val="nn-NO"/>
        </w:rPr>
        <w:t>BR</w:t>
      </w:r>
      <w:r w:rsidRPr="008D6A99">
        <w:rPr>
          <w:lang w:val="nn-NO"/>
        </w:rPr>
        <w:tab/>
        <w:t>Biogeografiska regioner (Bio-geographical Regions)</w:t>
      </w:r>
    </w:p>
    <w:p w:rsidR="000215C5" w:rsidRPr="008D6A99" w:rsidRDefault="00703023">
      <w:pPr>
        <w:pStyle w:val="Text1"/>
        <w:jc w:val="both"/>
        <w:rPr>
          <w:lang w:val="nn-NO"/>
        </w:rPr>
      </w:pPr>
      <w:r w:rsidRPr="008D6A99">
        <w:rPr>
          <w:lang w:val="nn-NO"/>
        </w:rPr>
        <w:t>BU</w:t>
      </w:r>
      <w:r w:rsidRPr="008D6A99">
        <w:rPr>
          <w:lang w:val="nn-NO"/>
        </w:rPr>
        <w:tab/>
        <w:t>Byggnader (Buildings)</w:t>
      </w:r>
    </w:p>
    <w:p w:rsidR="000215C5" w:rsidRPr="008D6A99" w:rsidRDefault="00703023">
      <w:pPr>
        <w:pStyle w:val="Text1"/>
        <w:jc w:val="both"/>
        <w:rPr>
          <w:lang w:val="nn-NO"/>
        </w:rPr>
      </w:pPr>
      <w:r w:rsidRPr="008D6A99">
        <w:rPr>
          <w:lang w:val="nn-NO"/>
        </w:rPr>
        <w:t>CP</w:t>
      </w:r>
      <w:r w:rsidRPr="008D6A99">
        <w:rPr>
          <w:lang w:val="nn-NO"/>
        </w:rPr>
        <w:tab/>
        <w:t>Fastighetsområde (Cadastral Parcels)</w:t>
      </w:r>
    </w:p>
    <w:p w:rsidR="000215C5" w:rsidRPr="00D95552" w:rsidRDefault="00703023">
      <w:pPr>
        <w:pStyle w:val="Text1"/>
        <w:jc w:val="both"/>
        <w:rPr>
          <w:lang w:val="en-GB"/>
        </w:rPr>
      </w:pPr>
      <w:r w:rsidRPr="00D95552">
        <w:rPr>
          <w:lang w:val="en-GB"/>
        </w:rPr>
        <w:t>CRS</w:t>
      </w:r>
      <w:r w:rsidRPr="00D95552">
        <w:rPr>
          <w:lang w:val="en-GB"/>
        </w:rPr>
        <w:tab/>
        <w:t>Referenskoordinatsystem (Coordinate reference systems)</w:t>
      </w:r>
    </w:p>
    <w:p w:rsidR="000215C5" w:rsidRPr="00D95552" w:rsidRDefault="00703023">
      <w:pPr>
        <w:pStyle w:val="Text1"/>
        <w:jc w:val="both"/>
        <w:rPr>
          <w:lang w:val="en-GB"/>
        </w:rPr>
      </w:pPr>
      <w:r w:rsidRPr="00D95552">
        <w:rPr>
          <w:lang w:val="en-GB"/>
        </w:rPr>
        <w:t>EL</w:t>
      </w:r>
      <w:r w:rsidRPr="00D95552">
        <w:rPr>
          <w:lang w:val="en-GB"/>
        </w:rPr>
        <w:tab/>
        <w:t>Höjd (Elevation)</w:t>
      </w:r>
    </w:p>
    <w:p w:rsidR="000215C5" w:rsidRPr="00D95552" w:rsidRDefault="00703023">
      <w:pPr>
        <w:pStyle w:val="Text1"/>
        <w:jc w:val="both"/>
        <w:rPr>
          <w:lang w:val="en-GB"/>
        </w:rPr>
      </w:pPr>
      <w:r w:rsidRPr="00D95552">
        <w:rPr>
          <w:lang w:val="en-GB"/>
        </w:rPr>
        <w:t>ER</w:t>
      </w:r>
      <w:r w:rsidRPr="00D95552">
        <w:rPr>
          <w:lang w:val="en-GB"/>
        </w:rPr>
        <w:tab/>
        <w:t>Energiresurser (Energy Resources)</w:t>
      </w:r>
    </w:p>
    <w:p w:rsidR="000215C5" w:rsidRPr="00D95552" w:rsidRDefault="00703023">
      <w:pPr>
        <w:pStyle w:val="Text1"/>
        <w:jc w:val="both"/>
        <w:rPr>
          <w:lang w:val="en-GB"/>
        </w:rPr>
      </w:pPr>
      <w:r w:rsidRPr="00D95552">
        <w:rPr>
          <w:lang w:val="en-GB"/>
        </w:rPr>
        <w:t>EF</w:t>
      </w:r>
      <w:r w:rsidRPr="00D95552">
        <w:rPr>
          <w:lang w:val="en-GB"/>
        </w:rPr>
        <w:tab/>
        <w:t>Anläggningar för miljöövervakning (Environmental Monitoring Facilities)</w:t>
      </w:r>
    </w:p>
    <w:p w:rsidR="000215C5" w:rsidRDefault="00703023">
      <w:pPr>
        <w:pStyle w:val="Text1"/>
        <w:jc w:val="both"/>
      </w:pPr>
      <w:r>
        <w:t>GCM</w:t>
      </w:r>
      <w:r>
        <w:tab/>
        <w:t>Generisk begreppsmodell (Generic Conceptual Model)</w:t>
      </w:r>
    </w:p>
    <w:p w:rsidR="000215C5" w:rsidRDefault="00703023">
      <w:pPr>
        <w:pStyle w:val="Text1"/>
        <w:jc w:val="both"/>
      </w:pPr>
      <w:r>
        <w:t>GG</w:t>
      </w:r>
      <w:r>
        <w:tab/>
        <w:t>Geografiska rutnätssystem (Geographical grid systems)</w:t>
      </w:r>
    </w:p>
    <w:p w:rsidR="000215C5" w:rsidRDefault="00703023">
      <w:pPr>
        <w:pStyle w:val="Text1"/>
        <w:jc w:val="both"/>
      </w:pPr>
      <w:r>
        <w:t>GN</w:t>
      </w:r>
      <w:r>
        <w:tab/>
        <w:t>Geografiska namn (Geographical Names)</w:t>
      </w:r>
    </w:p>
    <w:p w:rsidR="000215C5" w:rsidRDefault="00703023">
      <w:pPr>
        <w:pStyle w:val="Text1"/>
        <w:jc w:val="both"/>
      </w:pPr>
      <w:r>
        <w:t>GE</w:t>
      </w:r>
      <w:r>
        <w:tab/>
        <w:t>Geologi (Geology)</w:t>
      </w:r>
    </w:p>
    <w:p w:rsidR="000215C5" w:rsidRDefault="00703023">
      <w:pPr>
        <w:pStyle w:val="Text1"/>
        <w:jc w:val="both"/>
      </w:pPr>
      <w:r>
        <w:t>HB</w:t>
      </w:r>
      <w:r>
        <w:tab/>
        <w:t>Livsmiljöer och biotoper (Habitats and Biotopes)</w:t>
      </w:r>
    </w:p>
    <w:p w:rsidR="000215C5" w:rsidRDefault="00703023">
      <w:pPr>
        <w:pStyle w:val="Text1"/>
        <w:jc w:val="both"/>
      </w:pPr>
      <w:r>
        <w:t>HH</w:t>
      </w:r>
      <w:r>
        <w:tab/>
        <w:t>Människors hälsa och säkerhet (Human Health and Safety)</w:t>
      </w:r>
    </w:p>
    <w:p w:rsidR="000215C5" w:rsidRDefault="00703023">
      <w:pPr>
        <w:pStyle w:val="Text1"/>
        <w:jc w:val="both"/>
      </w:pPr>
      <w:r>
        <w:t>HY</w:t>
      </w:r>
      <w:r>
        <w:tab/>
        <w:t>Hydrografi (Hydrography)</w:t>
      </w:r>
    </w:p>
    <w:p w:rsidR="000215C5" w:rsidRDefault="00703023">
      <w:pPr>
        <w:pStyle w:val="Text1"/>
        <w:jc w:val="both"/>
      </w:pPr>
      <w:r>
        <w:t>LC</w:t>
      </w:r>
      <w:r>
        <w:tab/>
        <w:t>Landtäcke (Land Cover)</w:t>
      </w:r>
    </w:p>
    <w:p w:rsidR="000215C5" w:rsidRDefault="00703023">
      <w:pPr>
        <w:pStyle w:val="Text1"/>
        <w:jc w:val="both"/>
      </w:pPr>
      <w:r>
        <w:t>LU</w:t>
      </w:r>
      <w:r>
        <w:tab/>
        <w:t>Markanvändning (Land Use)</w:t>
      </w:r>
    </w:p>
    <w:p w:rsidR="000215C5" w:rsidRDefault="00703023">
      <w:pPr>
        <w:pStyle w:val="Text1"/>
        <w:jc w:val="both"/>
      </w:pPr>
      <w:r>
        <w:t>MF</w:t>
      </w:r>
      <w:r>
        <w:tab/>
        <w:t>Geografiska meteorologiska förhållanden (Meteorological geographical features)</w:t>
      </w:r>
    </w:p>
    <w:p w:rsidR="000215C5" w:rsidRDefault="00703023">
      <w:pPr>
        <w:pStyle w:val="Text1"/>
        <w:jc w:val="both"/>
      </w:pPr>
      <w:r>
        <w:t>MR</w:t>
      </w:r>
      <w:r>
        <w:tab/>
        <w:t>Mineraltillgångar (Mineral Resources)</w:t>
      </w:r>
    </w:p>
    <w:p w:rsidR="000215C5" w:rsidRDefault="00703023">
      <w:pPr>
        <w:pStyle w:val="Text1"/>
        <w:jc w:val="both"/>
      </w:pPr>
      <w:r>
        <w:t>NZ</w:t>
      </w:r>
      <w:r>
        <w:tab/>
        <w:t>Naturliga riskområden (Natural Risk Zones)</w:t>
      </w:r>
    </w:p>
    <w:p w:rsidR="000215C5" w:rsidRDefault="00703023">
      <w:pPr>
        <w:pStyle w:val="Text1"/>
        <w:jc w:val="both"/>
      </w:pPr>
      <w:r>
        <w:t>OF</w:t>
      </w:r>
      <w:r>
        <w:tab/>
        <w:t>Geografiska oceanografiska förhållanden (Oceanographic Geographical Features)</w:t>
      </w:r>
    </w:p>
    <w:p w:rsidR="000215C5" w:rsidRDefault="00703023">
      <w:pPr>
        <w:pStyle w:val="Text1"/>
        <w:jc w:val="both"/>
      </w:pPr>
      <w:r>
        <w:t>OI</w:t>
      </w:r>
      <w:r>
        <w:tab/>
        <w:t>Ortofoto (Orthoimagery)</w:t>
      </w:r>
    </w:p>
    <w:p w:rsidR="000215C5" w:rsidRDefault="00703023">
      <w:pPr>
        <w:pStyle w:val="Text1"/>
        <w:jc w:val="both"/>
      </w:pPr>
      <w:r>
        <w:t>PD</w:t>
      </w:r>
      <w:r>
        <w:tab/>
        <w:t>Befolkningsfördelning – demografi (Population Distribution – Demography)</w:t>
      </w:r>
    </w:p>
    <w:p w:rsidR="000215C5" w:rsidRDefault="00703023">
      <w:pPr>
        <w:pStyle w:val="Text1"/>
        <w:jc w:val="both"/>
      </w:pPr>
      <w:r>
        <w:t>PF</w:t>
      </w:r>
      <w:r>
        <w:tab/>
        <w:t>Produktions- och industrianläggningar (Production and Industrial Facilities)</w:t>
      </w:r>
    </w:p>
    <w:p w:rsidR="000215C5" w:rsidRDefault="00703023">
      <w:pPr>
        <w:pStyle w:val="Text1"/>
        <w:jc w:val="both"/>
      </w:pPr>
      <w:r>
        <w:t>PS</w:t>
      </w:r>
      <w:r>
        <w:tab/>
        <w:t>Skyddade områden (Protected Sites)</w:t>
      </w:r>
    </w:p>
    <w:p w:rsidR="000215C5" w:rsidRDefault="00703023">
      <w:pPr>
        <w:pStyle w:val="Text1"/>
        <w:jc w:val="both"/>
      </w:pPr>
      <w:r>
        <w:t>SR</w:t>
      </w:r>
      <w:r>
        <w:tab/>
        <w:t>Havsområden (Sea Regions)</w:t>
      </w:r>
    </w:p>
    <w:p w:rsidR="000215C5" w:rsidRDefault="00703023">
      <w:pPr>
        <w:pStyle w:val="Text1"/>
        <w:jc w:val="both"/>
      </w:pPr>
      <w:r>
        <w:t>SO</w:t>
      </w:r>
      <w:r>
        <w:tab/>
        <w:t>Jord (Soil)</w:t>
      </w:r>
    </w:p>
    <w:p w:rsidR="000215C5" w:rsidRDefault="00703023">
      <w:pPr>
        <w:pStyle w:val="Text1"/>
        <w:jc w:val="both"/>
      </w:pPr>
      <w:r>
        <w:t>SD</w:t>
      </w:r>
      <w:r>
        <w:tab/>
        <w:t>Arters utbredning (Species Distribution)</w:t>
      </w:r>
    </w:p>
    <w:p w:rsidR="000215C5" w:rsidRDefault="00703023">
      <w:pPr>
        <w:pStyle w:val="Text1"/>
        <w:jc w:val="both"/>
      </w:pPr>
      <w:r>
        <w:t>SU</w:t>
      </w:r>
      <w:r>
        <w:tab/>
        <w:t>Statistiska enheter (Statistical Units)</w:t>
      </w:r>
    </w:p>
    <w:p w:rsidR="000215C5" w:rsidRDefault="00703023">
      <w:pPr>
        <w:pStyle w:val="Text1"/>
        <w:jc w:val="both"/>
      </w:pPr>
      <w:r>
        <w:t>TN</w:t>
      </w:r>
      <w:r>
        <w:tab/>
        <w:t>Transportnät (Transport Networks)</w:t>
      </w:r>
    </w:p>
    <w:p w:rsidR="000215C5" w:rsidRDefault="00703023">
      <w:pPr>
        <w:pStyle w:val="Text1"/>
        <w:jc w:val="both"/>
      </w:pPr>
      <w:r>
        <w:t>US</w:t>
      </w:r>
      <w:r>
        <w:tab/>
        <w:t>Allmännyttiga och offentliga tjänster (Utility and Governmental Services)</w:t>
      </w:r>
    </w:p>
    <w:p w:rsidR="000215C5" w:rsidRDefault="00703023">
      <w:pPr>
        <w:jc w:val="both"/>
        <w:rPr>
          <w:i/>
        </w:rPr>
      </w:pPr>
      <w:r>
        <w:rPr>
          <w:i/>
        </w:rPr>
        <w:t>Inspires arbetsprogram nr 17: Delning av data och tjänster samt licensmodeller</w:t>
      </w:r>
    </w:p>
    <w:p w:rsidR="000215C5" w:rsidRDefault="00703023">
      <w:pPr>
        <w:jc w:val="both"/>
      </w:pPr>
      <w:r>
        <w:t>De grundläggande kraven för delning av data och tjänster anges redan i artikel 17 i Inspire-direktivet (2007/2/EG)</w:t>
      </w:r>
      <w:r>
        <w:rPr>
          <w:rStyle w:val="Fotnotsreferens"/>
        </w:rPr>
        <w:footnoteReference w:id="134"/>
      </w:r>
      <w:r>
        <w:t>. Denna artikel utgör också grunden för genomförandebestämmelserna – kommissionens förordning (EU) nr 268/2010 av den 29 mars 2010 om genomförande av Europaparlamentets och rådets direktiv 2007/2/EG vad avser tillgången för gemenskapens institutioner och organ till medlemsstaternas rumsliga datamängder och datatjänster på harmoniserade villkor</w:t>
      </w:r>
      <w:r>
        <w:rPr>
          <w:rStyle w:val="Fotnotsreferens"/>
        </w:rPr>
        <w:footnoteReference w:id="135"/>
      </w:r>
      <w:r>
        <w:t>. Förutom den rättsliga grunden finns två stödjande dokument tillgängliga</w:t>
      </w:r>
      <w:r>
        <w:rPr>
          <w:rStyle w:val="Fotnotsreferens"/>
        </w:rPr>
        <w:footnoteReference w:id="136"/>
      </w:r>
      <w:r>
        <w:t>: 1) Riktlinjer för kommissionens förordning genom främjande av Inspires licensmodeller och 2) ett dokument med god praxis om genomförda licensieringsstrategier och -modeller.</w:t>
      </w:r>
    </w:p>
    <w:p w:rsidR="000215C5" w:rsidRDefault="00703023">
      <w:pPr>
        <w:jc w:val="both"/>
      </w:pPr>
      <w:r>
        <w:t>Det finns många olika strategier och rutiner för delning av data och tjänster bland medlemsstaterna. En översikt av dessa rutiner ges i Inspires landsrapporter vart tredje år. Begränsningarna när det gäller tillgång till och användning av rumsliga datamängder och datatjänster (villkor för tillgång och användning, begränsad tillgång för allmänheten) bör också lämnas i form av metadata för rumsliga datamängder och datatjänster som baseras på Inspires metadataförordning.</w:t>
      </w:r>
    </w:p>
    <w:p w:rsidR="000215C5" w:rsidRDefault="00703023">
      <w:pPr>
        <w:jc w:val="both"/>
      </w:pPr>
      <w:r>
        <w:t>Både användarna och data- och tjänsteleverantörerna måste ha en tydlig förståelse för villkoren för att dela, få tillgång till och använda rumsliga datamängder och datatjänster. Delningen av data och tjänster kan även vinna på en standardisering av licenser, teknikanvändning, (t.ex. maskinläsbara licenser, elektronisk autentisering och tillstånd) samt åtgärder för att undanröja de andra hinder som länderna har påpekat i sina landsrapporter).</w:t>
      </w:r>
    </w:p>
    <w:p w:rsidR="000215C5" w:rsidRDefault="00703023">
      <w:pPr>
        <w:jc w:val="both"/>
      </w:pPr>
      <w:r>
        <w:t>De föreslagna åtgärderna inriktas på data- och tjänsteleverantörernas och användarnas (intressenternas) behov, standardisering och information om licensmetoderna.</w:t>
      </w:r>
    </w:p>
    <w:p w:rsidR="000215C5" w:rsidRDefault="00703023">
      <w:pPr>
        <w:jc w:val="both"/>
      </w:pPr>
      <w:r>
        <w:t>Genomförandet av ett nytt rapporteringsverktyg som uppfyller principerna om tillgänglighet och delning medför ett behov av informationssystem som kan leverera information för många syften och på olika geografiska nivåer. Det måste dessutom vara skräddarsytt för allmänhetens och olika myndigheters behov. Driftskompatibilitet på alla nivåer (lokal, regi</w:t>
      </w:r>
      <w:r w:rsidR="006F0080">
        <w:t>onal och nationell nivå samt EU</w:t>
      </w:r>
      <w:r w:rsidR="006F0080">
        <w:noBreakHyphen/>
      </w:r>
      <w:r>
        <w:t>nivå) i alla perspektiv (tekniskt, semantiskt, organisatoriskt och rättsligt) är en nödvändig förutsättning för tillgänglig och användbar information och för att säkerställa ett adekvat och effektivt informationsflöde. Lösningarna på EU-nivå bör bygga på befintliga driftskompatibilitetslösningar (ISA-programmet och dess åtgärder</w:t>
      </w:r>
      <w:r>
        <w:rPr>
          <w:rStyle w:val="Fotnotsreferens"/>
        </w:rPr>
        <w:footnoteReference w:id="137"/>
      </w:r>
      <w:r>
        <w:t>).</w:t>
      </w:r>
    </w:p>
    <w:p w:rsidR="000215C5" w:rsidRDefault="00703023">
      <w:pPr>
        <w:jc w:val="both"/>
      </w:pPr>
      <w:r>
        <w:t>Rapporteringskraven anges i följande vattenrelaterade direktiv och annan lagstiftning:</w:t>
      </w:r>
    </w:p>
    <w:p w:rsidR="000215C5" w:rsidRDefault="00703023">
      <w:pPr>
        <w:ind w:left="426"/>
        <w:jc w:val="both"/>
        <w:rPr>
          <w:i/>
        </w:rPr>
      </w:pPr>
      <w:r>
        <w:t>Direktiv 2003/4/EG om allmänhetens tillgång till miljöinformation</w:t>
      </w:r>
      <w:r>
        <w:rPr>
          <w:rStyle w:val="Fotnotsreferens"/>
          <w:i/>
        </w:rPr>
        <w:footnoteReference w:id="138"/>
      </w:r>
    </w:p>
    <w:p w:rsidR="000215C5" w:rsidRDefault="00703023">
      <w:pPr>
        <w:pStyle w:val="Text1"/>
        <w:jc w:val="both"/>
      </w:pPr>
      <w:r>
        <w:t>Målet för detta direktiv är att garantera rätten till tillgång till miljöinformation och fastställa grundläggande begrepp och villkor samt praktiska arrangemang för utövandet av denna rätt samt garantera att miljöinformation gradvis görs tillgänglig och sprids till allmänheten för att uppnå största möjliga systematiska tillgänglighet och spridning av miljöinformation till allmänheten. I detta syfte ska användning av telematik och/eller elektronik, om sådan finns tillgänglig, främjas.</w:t>
      </w:r>
    </w:p>
    <w:p w:rsidR="000215C5" w:rsidRDefault="00703023">
      <w:pPr>
        <w:ind w:left="426"/>
        <w:jc w:val="both"/>
        <w:rPr>
          <w:i/>
        </w:rPr>
      </w:pPr>
      <w:r>
        <w:t>Direktiv 2003/35/EG om allmänhetens deltagande och rätt till rättslig prövning</w:t>
      </w:r>
      <w:r>
        <w:rPr>
          <w:i/>
        </w:rPr>
        <w:t xml:space="preserve"> </w:t>
      </w:r>
      <w:r>
        <w:rPr>
          <w:rStyle w:val="Fotnotsreferens"/>
          <w:i/>
        </w:rPr>
        <w:footnoteReference w:id="139"/>
      </w:r>
    </w:p>
    <w:p w:rsidR="000215C5" w:rsidRDefault="00703023">
      <w:pPr>
        <w:pStyle w:val="Text1"/>
        <w:jc w:val="both"/>
      </w:pPr>
      <w:r>
        <w:t>Syftet med detta direktiv är att bidra till genomförande av förpliktelserna enligt Århuskonventionen, särskilt genom att</w:t>
      </w:r>
    </w:p>
    <w:p w:rsidR="000215C5" w:rsidRDefault="00703023">
      <w:pPr>
        <w:pStyle w:val="Text1"/>
        <w:jc w:val="both"/>
      </w:pPr>
      <w:r>
        <w:t>a) föreskriva att allmänheten ska delta i utarbetandet av vissa planer och program på miljöområdet,</w:t>
      </w:r>
    </w:p>
    <w:p w:rsidR="000215C5" w:rsidRDefault="00703023">
      <w:pPr>
        <w:pStyle w:val="Text1"/>
        <w:jc w:val="both"/>
      </w:pPr>
      <w:r>
        <w:t>b) förbättra allmänhetens deltagande och fastställa bestämmelser om rätt till rättslig prövning inom ramen för rådets direktiv 85/337/EEG och 96/61/EG.</w:t>
      </w:r>
    </w:p>
    <w:p w:rsidR="000215C5" w:rsidRDefault="00703023">
      <w:pPr>
        <w:ind w:left="426"/>
        <w:jc w:val="both"/>
        <w:rPr>
          <w:i/>
        </w:rPr>
      </w:pPr>
      <w:r>
        <w:t>Direktiv 2003/98/EG om vidareutnyttjande av information från den offentliga sektorn</w:t>
      </w:r>
      <w:r>
        <w:rPr>
          <w:rStyle w:val="Fotnotsreferens"/>
          <w:i/>
        </w:rPr>
        <w:footnoteReference w:id="140"/>
      </w:r>
    </w:p>
    <w:p w:rsidR="000215C5" w:rsidRDefault="00703023">
      <w:pPr>
        <w:pStyle w:val="Text1"/>
        <w:jc w:val="both"/>
      </w:pPr>
      <w:r>
        <w:t>I detta direktiv fastställs en minimiuppsättning regler för vidareutnyttjande av handlingar som finns hos offentliga myndigheter i medlemsstaterna samt för hur detta vidareutnyttjande ska underlättas i praktiken. Det finns dock vissa undantag, t.ex. handlingar som finns hos kulturinstitutioner, museer, bibliotek, arkiv, orkestrar, operor, baletter och teatrar. Enligt direktivet måste inte medborgare eller företag visa att de har ett särskilt intresse av att få tillgång till handlingar enligt systemet för tillgång till handlingar.</w:t>
      </w:r>
    </w:p>
    <w:p w:rsidR="000215C5" w:rsidRDefault="00703023">
      <w:pPr>
        <w:ind w:left="426"/>
        <w:jc w:val="both"/>
        <w:rPr>
          <w:i/>
        </w:rPr>
      </w:pPr>
      <w:r>
        <w:t>Direktiv 2007/2/EG om infrastruktur för rumslig information i Europeiska gemenskapen</w:t>
      </w:r>
      <w:r>
        <w:rPr>
          <w:rStyle w:val="Fotnotsreferens"/>
          <w:i/>
        </w:rPr>
        <w:footnoteReference w:id="141"/>
      </w:r>
    </w:p>
    <w:p w:rsidR="000215C5" w:rsidRDefault="00703023">
      <w:pPr>
        <w:pStyle w:val="Text1"/>
        <w:jc w:val="both"/>
      </w:pPr>
      <w:r>
        <w:t xml:space="preserve">Det nya direktivet trädde i kraft i maj 2007 i syfte att inrätta en infrastruktur för rumslig information i Europeiska gemenskapen för att stödja gemenskapens miljöpolitik samt politik och verksamheter som kan påverka miljön. Direktivet kräver att gemensamma genomförandeåtgärder ska antas inom ett antal särskilda områden, t.ex. metadata, dataspecifikationer, nätverkstjänster, delning av data och tjänster samt övervakning och rapportering. </w:t>
      </w:r>
    </w:p>
    <w:p w:rsidR="000215C5" w:rsidRDefault="00703023">
      <w:pPr>
        <w:pStyle w:val="Rubrik2"/>
        <w:jc w:val="both"/>
      </w:pPr>
      <w:bookmarkStart w:id="839" w:name="_Toc425522092"/>
      <w:bookmarkStart w:id="840" w:name="_Toc432666104"/>
      <w:bookmarkStart w:id="841" w:name="_Toc437520300"/>
      <w:r>
        <w:t>Klassificering och utveckling av tillhandahållandet av datauppsättningar enligt Inspire</w:t>
      </w:r>
      <w:bookmarkEnd w:id="839"/>
      <w:bookmarkEnd w:id="840"/>
      <w:bookmarkEnd w:id="841"/>
    </w:p>
    <w:p w:rsidR="000215C5" w:rsidRDefault="00703023">
      <w:pPr>
        <w:jc w:val="both"/>
      </w:pPr>
      <w:r>
        <w:t>Medlemsstaterna behöver ett modernt, effektivt och användarvänligt rapporteringssystem för att fullgöra sina rapporteringsskyldigheter när det gäller EU:s politik och lagstiftning på miljöområdet. Det är också viktigt att undvika dubbelarbete, överlappning och överflödig information. Driftskompatibilitet på alla nivåer (lokal, regional och nationell nivå samt EU-nivå) i alla perspektiv (tekniskt, semantiskt, organisatoriskt och rättsligt) är en nödvändig förutsättning för tillgänglig och användbar information och för att säkerställa ett adekvat och effektivt informationsflöde. Lösningarna på EU-nivå bör bygga på befintliga driftskompatibilitetslösningar.</w:t>
      </w:r>
    </w:p>
    <w:p w:rsidR="000215C5" w:rsidRDefault="00703023">
      <w:pPr>
        <w:jc w:val="both"/>
      </w:pPr>
      <w:r>
        <w:t>Det är viktigt att överväga möjligheten till utökningar som en av huvudaspekterna i utformningen av det nya rapporteringssystemet, eftersom informationsbehoven mer än sannolikt kommer att öka. Inspire utgör ramen för ett distribuerat informationssystem som är sammankopplat av gemensamma standarder och protokoll för att säkerställa jämförbarhet och driftskompatibilitet. Inspire kommer att vara kärnmodellen och dataspecifikationerna hämtas från miljödirektiven.</w:t>
      </w:r>
    </w:p>
    <w:p w:rsidR="000215C5" w:rsidRDefault="00703023">
      <w:pPr>
        <w:jc w:val="both"/>
      </w:pPr>
      <w:r>
        <w:rPr>
          <w:noProof/>
          <w:lang w:bidi="ar-SA"/>
        </w:rPr>
        <w:drawing>
          <wp:inline distT="0" distB="0" distL="0" distR="0">
            <wp:extent cx="6142990" cy="40570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42990" cy="4057015"/>
                    </a:xfrm>
                    <a:prstGeom prst="rect">
                      <a:avLst/>
                    </a:prstGeom>
                    <a:noFill/>
                    <a:ln>
                      <a:noFill/>
                    </a:ln>
                  </pic:spPr>
                </pic:pic>
              </a:graphicData>
            </a:graphic>
          </wp:inline>
        </w:drawing>
      </w:r>
    </w:p>
    <w:p w:rsidR="000215C5" w:rsidRDefault="00703023">
      <w:pPr>
        <w:jc w:val="both"/>
      </w:pPr>
      <w:r>
        <w:t>Det viktigaste med en gemensam rapporteringsmekanism är i slutändan att ha en enhetlig definition av de termer som används inom Inspire och i miljödirektiven. På organisatorisk nivå är det nödvändigt att beakta återanvändning och utveckling av befintlig infrastruktur i medlemsstaterna för att gå mot ett gemensamt rapporteringssystem.</w:t>
      </w:r>
    </w:p>
    <w:p w:rsidR="000215C5" w:rsidRDefault="00703023">
      <w:pPr>
        <w:jc w:val="both"/>
      </w:pPr>
      <w:r>
        <w:t>Miljöinformation kan uttryckas i allmänna eller mer specialiserade indikatorer. De allmänna indikatorerna bör harmoniseras på EU-nivå. På nationell nivå bör dataspecifikationer och specialiserade indikatorer harmoniseras inom ramen för CIS-processen (medlemsstaterna och kommissionen), med utgångspunkt från en kärnnivå enligt Inspire.</w:t>
      </w:r>
    </w:p>
    <w:p w:rsidR="00BF0382" w:rsidRDefault="00703023" w:rsidP="00BF0382">
      <w:pPr>
        <w:jc w:val="both"/>
      </w:pPr>
      <w:r>
        <w:t>De rapporteringskrav och den vägledning som gäller på EU-nivå (t.ex. det aktuella kravet på framtida rapportering, men även arbetsprogrammet Inspire Underhåll och genomförande) inbegriper kraven på förenkling, rationalisering och standardisering av datainlämningen i linje med Inspire. Rapporteringskraven bör klargöras inom ett antal miljöpolitiska områden som är beroende av och använder Inspire-data. Nytt rapporteringsinnehåll måste stödja denna gradvisa process.</w:t>
      </w:r>
      <w:r>
        <w:br w:type="page"/>
      </w:r>
      <w:r w:rsidR="00BF0382">
        <w:rPr>
          <w:b/>
        </w:rPr>
        <w:t>ANNEXES</w:t>
      </w:r>
    </w:p>
    <w:p w:rsidR="00BF0382" w:rsidRDefault="00BF0382" w:rsidP="00BF0382">
      <w:pPr>
        <w:spacing w:after="0"/>
        <w:jc w:val="both"/>
      </w:pPr>
      <w:r>
        <w:br w:type="page"/>
      </w:r>
    </w:p>
    <w:p w:rsidR="00BF0382" w:rsidRDefault="00BF0382" w:rsidP="00BF0382">
      <w:pPr>
        <w:jc w:val="both"/>
        <w:outlineLvl w:val="0"/>
        <w:rPr>
          <w:b/>
        </w:rPr>
      </w:pPr>
      <w:bookmarkStart w:id="842" w:name="_Toc403040980"/>
      <w:bookmarkStart w:id="843" w:name="_Toc425522093"/>
      <w:bookmarkStart w:id="844" w:name="_Toc432666105"/>
      <w:bookmarkStart w:id="845" w:name="_Toc437520301"/>
      <w:r>
        <w:rPr>
          <w:b/>
        </w:rPr>
        <w:t>Annex 0:</w:t>
      </w:r>
      <w:r>
        <w:rPr>
          <w:b/>
        </w:rPr>
        <w:tab/>
        <w:t>Template for the ‘Read me first’ explanatory note accompanying the 2016 Water Framework Directive reporting</w:t>
      </w:r>
      <w:bookmarkEnd w:id="842"/>
      <w:bookmarkEnd w:id="843"/>
      <w:bookmarkEnd w:id="844"/>
      <w:bookmarkEnd w:id="845"/>
    </w:p>
    <w:p w:rsidR="00BF0382" w:rsidRPr="008D6A99" w:rsidRDefault="00BF0382" w:rsidP="00BF0382">
      <w:pPr>
        <w:jc w:val="both"/>
        <w:rPr>
          <w:lang w:val="en-GB"/>
        </w:rPr>
      </w:pPr>
      <w:r w:rsidRPr="008D6A99">
        <w:rPr>
          <w:lang w:val="en-GB"/>
        </w:rPr>
        <w:t>The format for Annex 0 will be finalised in coordination with the setting up of the reporting environment in Reportnet.</w:t>
      </w:r>
    </w:p>
    <w:p w:rsidR="00BF0382" w:rsidRPr="008D6A99" w:rsidRDefault="00BF0382" w:rsidP="00BF0382">
      <w:pPr>
        <w:jc w:val="both"/>
        <w:rPr>
          <w:lang w:val="en-GB"/>
        </w:rPr>
      </w:pPr>
    </w:p>
    <w:p w:rsidR="00BF0382" w:rsidRPr="008D6A99" w:rsidRDefault="00BF0382" w:rsidP="00BF0382">
      <w:pPr>
        <w:spacing w:after="0"/>
        <w:jc w:val="both"/>
        <w:rPr>
          <w:lang w:val="en-GB"/>
        </w:rPr>
      </w:pPr>
      <w:r w:rsidRPr="008D6A99">
        <w:rPr>
          <w:lang w:val="en-GB"/>
        </w:rPr>
        <w:br w:type="page"/>
      </w:r>
    </w:p>
    <w:p w:rsidR="00BF0382" w:rsidRPr="008D6A99" w:rsidRDefault="00BF0382" w:rsidP="00BF0382">
      <w:pPr>
        <w:jc w:val="both"/>
        <w:outlineLvl w:val="0"/>
        <w:rPr>
          <w:b/>
          <w:lang w:val="en-GB"/>
        </w:rPr>
      </w:pPr>
      <w:bookmarkStart w:id="846" w:name="_Toc432666106"/>
      <w:bookmarkStart w:id="847" w:name="_Toc437520302"/>
      <w:r w:rsidRPr="008D6A99">
        <w:rPr>
          <w:b/>
          <w:lang w:val="en-GB"/>
        </w:rPr>
        <w:t>Annex 1:</w:t>
      </w:r>
      <w:r w:rsidRPr="008D6A99">
        <w:rPr>
          <w:b/>
          <w:lang w:val="en-GB"/>
        </w:rPr>
        <w:tab/>
        <w:t>List of Pressure Types, Impact Types and Drivers</w:t>
      </w:r>
      <w:bookmarkEnd w:id="846"/>
      <w:bookmarkEnd w:id="847"/>
    </w:p>
    <w:p w:rsidR="00BF0382" w:rsidRPr="008D6A99" w:rsidRDefault="00BF0382" w:rsidP="00BF0382">
      <w:pPr>
        <w:jc w:val="both"/>
        <w:outlineLvl w:val="0"/>
        <w:rPr>
          <w:lang w:val="en-GB"/>
        </w:rPr>
      </w:pPr>
      <w:bookmarkStart w:id="848" w:name="_Toc403040981"/>
      <w:bookmarkStart w:id="849" w:name="_Toc425522094"/>
      <w:bookmarkStart w:id="850" w:name="_Toc432666107"/>
      <w:bookmarkStart w:id="851" w:name="_Toc437520303"/>
      <w:r w:rsidRPr="008D6A99">
        <w:rPr>
          <w:b/>
          <w:lang w:val="en-GB"/>
        </w:rPr>
        <w:t>Annex 1a:</w:t>
      </w:r>
      <w:r w:rsidRPr="008D6A99">
        <w:rPr>
          <w:b/>
          <w:lang w:val="en-GB"/>
        </w:rPr>
        <w:tab/>
        <w:t>List of Pressure Types</w:t>
      </w:r>
      <w:bookmarkEnd w:id="848"/>
      <w:bookmarkEnd w:id="849"/>
      <w:r w:rsidRPr="008D6A99">
        <w:rPr>
          <w:lang w:val="en-GB"/>
        </w:rPr>
        <w:t xml:space="preserve"> (</w:t>
      </w:r>
      <w:r w:rsidRPr="008D6A99">
        <w:rPr>
          <w:b/>
          <w:lang w:val="en-GB"/>
        </w:rPr>
        <w:t>SignificantPressureType_Enum)</w:t>
      </w:r>
      <w:bookmarkEnd w:id="850"/>
      <w:bookmarkEnd w:id="851"/>
      <w:r w:rsidRPr="008D6A99">
        <w:rPr>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948"/>
        <w:gridCol w:w="4302"/>
      </w:tblGrid>
      <w:tr w:rsidR="00BF0382" w:rsidTr="00BB474C">
        <w:trPr>
          <w:tblHeader/>
        </w:trPr>
        <w:tc>
          <w:tcPr>
            <w:tcW w:w="1321" w:type="pct"/>
            <w:shd w:val="clear" w:color="auto" w:fill="D9D9D9" w:themeFill="background1" w:themeFillShade="D9"/>
          </w:tcPr>
          <w:p w:rsidR="00BF0382" w:rsidRDefault="00BF0382" w:rsidP="00BB474C">
            <w:pPr>
              <w:spacing w:after="0"/>
              <w:jc w:val="both"/>
              <w:rPr>
                <w:b/>
                <w:bCs/>
                <w:color w:val="000000"/>
                <w:sz w:val="22"/>
                <w:szCs w:val="22"/>
                <w:lang w:eastAsia="en-GB"/>
              </w:rPr>
            </w:pPr>
            <w:r>
              <w:rPr>
                <w:b/>
                <w:bCs/>
                <w:color w:val="000000"/>
                <w:sz w:val="22"/>
                <w:szCs w:val="22"/>
                <w:lang w:eastAsia="en-GB"/>
              </w:rPr>
              <w:t>Pressure</w:t>
            </w:r>
          </w:p>
        </w:tc>
        <w:tc>
          <w:tcPr>
            <w:tcW w:w="1496" w:type="pct"/>
            <w:shd w:val="clear" w:color="auto" w:fill="D9D9D9" w:themeFill="background1" w:themeFillShade="D9"/>
          </w:tcPr>
          <w:p w:rsidR="00BF0382" w:rsidRDefault="00BF0382" w:rsidP="00BB474C">
            <w:pPr>
              <w:spacing w:after="0"/>
              <w:jc w:val="both"/>
              <w:rPr>
                <w:b/>
                <w:bCs/>
                <w:color w:val="000000"/>
                <w:sz w:val="22"/>
                <w:szCs w:val="22"/>
                <w:lang w:eastAsia="en-GB"/>
              </w:rPr>
            </w:pPr>
            <w:r>
              <w:rPr>
                <w:b/>
                <w:bCs/>
                <w:color w:val="000000"/>
                <w:sz w:val="22"/>
                <w:szCs w:val="22"/>
                <w:lang w:eastAsia="en-GB"/>
              </w:rPr>
              <w:t>Main Driver(s)</w:t>
            </w:r>
          </w:p>
        </w:tc>
        <w:tc>
          <w:tcPr>
            <w:tcW w:w="2183" w:type="pct"/>
            <w:shd w:val="clear" w:color="auto" w:fill="D9D9D9" w:themeFill="background1" w:themeFillShade="D9"/>
          </w:tcPr>
          <w:p w:rsidR="00BF0382" w:rsidRDefault="00BF0382" w:rsidP="00BB474C">
            <w:pPr>
              <w:spacing w:after="0"/>
              <w:jc w:val="both"/>
              <w:rPr>
                <w:b/>
                <w:bCs/>
                <w:color w:val="000000"/>
                <w:sz w:val="22"/>
                <w:szCs w:val="22"/>
                <w:lang w:eastAsia="en-GB"/>
              </w:rPr>
            </w:pPr>
            <w:r>
              <w:rPr>
                <w:b/>
                <w:bCs/>
                <w:color w:val="000000"/>
                <w:sz w:val="22"/>
                <w:szCs w:val="22"/>
                <w:lang w:eastAsia="en-GB"/>
              </w:rPr>
              <w:t>Description</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1.1 - Point – Urban waste water </w:t>
            </w:r>
          </w:p>
        </w:tc>
        <w:tc>
          <w:tcPr>
            <w:tcW w:w="1496" w:type="pct"/>
            <w:shd w:val="clear" w:color="auto" w:fill="auto"/>
          </w:tcPr>
          <w:p w:rsidR="00BF0382" w:rsidRDefault="00BF0382" w:rsidP="00BB474C">
            <w:pPr>
              <w:spacing w:after="0"/>
              <w:jc w:val="both"/>
              <w:rPr>
                <w:b/>
                <w:color w:val="000000"/>
                <w:sz w:val="22"/>
                <w:szCs w:val="22"/>
                <w:lang w:eastAsia="en-GB"/>
              </w:rPr>
            </w:pPr>
            <w:r>
              <w:rPr>
                <w:color w:val="000000"/>
                <w:sz w:val="22"/>
                <w:szCs w:val="22"/>
                <w:lang w:eastAsia="en-GB"/>
              </w:rPr>
              <w:t>Urban development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Included or not in the UWWT Directive. Includes discharges from non-manufacturing commercial areas which can largely be assimilated to urban waste water. Includes discharges of raw or partially treated urban waste water which are identified as point sources.</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1.2 - Point - Storm overflows</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Overflows from separated or combined sewers identified as point sources (for diffuse see ‘Diffuse – Urban run-off’ below).</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 xml:space="preserve">1.3 - Point - IED plants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Industrial point sources from plants included in the E-PRTR. </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1.4 - Point - Non IED plants</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Any industrial point sources not included in the E-PRTR.</w:t>
            </w:r>
          </w:p>
        </w:tc>
      </w:tr>
      <w:tr w:rsidR="00BF0382" w:rsidTr="00BB474C">
        <w:tc>
          <w:tcPr>
            <w:tcW w:w="1321" w:type="pct"/>
            <w:shd w:val="clear" w:color="auto" w:fill="auto"/>
          </w:tcPr>
          <w:p w:rsidR="00BF0382" w:rsidRPr="008D6A99" w:rsidRDefault="00BF0382" w:rsidP="00BB474C">
            <w:pPr>
              <w:spacing w:after="0"/>
              <w:jc w:val="both"/>
              <w:rPr>
                <w:bCs/>
                <w:color w:val="000000"/>
                <w:sz w:val="22"/>
                <w:szCs w:val="22"/>
                <w:u w:val="single"/>
                <w:lang w:val="en-GB" w:eastAsia="en-GB"/>
              </w:rPr>
            </w:pPr>
            <w:r w:rsidRPr="008D6A99">
              <w:rPr>
                <w:bCs/>
                <w:color w:val="000000"/>
                <w:sz w:val="22"/>
                <w:szCs w:val="22"/>
                <w:lang w:val="en-GB" w:eastAsia="en-GB"/>
              </w:rPr>
              <w:t>1.5 - Point - Contaminated sites or abandoned industrial sites</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BF0382" w:rsidRDefault="00BF0382" w:rsidP="00BB474C">
            <w:pPr>
              <w:spacing w:after="0"/>
              <w:jc w:val="both"/>
              <w:rPr>
                <w:color w:val="000000"/>
                <w:sz w:val="22"/>
                <w:szCs w:val="22"/>
                <w:lang w:eastAsia="en-GB"/>
              </w:rPr>
            </w:pPr>
            <w:r w:rsidRPr="008D6A99">
              <w:rPr>
                <w:color w:val="000000"/>
                <w:sz w:val="22"/>
                <w:szCs w:val="22"/>
                <w:lang w:val="en-GB" w:eastAsia="en-GB"/>
              </w:rPr>
              <w:t xml:space="preserve">Pollution resulting from an abandoned industrial site or a site contaminated due to past industrial activities, illegal dumping of industrial waste or a pollution accident and which is identified as point source (for diffuse see below ‘Diffuse – Contaminated sites or abandoned industrial sites’). </w:t>
            </w:r>
            <w:r>
              <w:rPr>
                <w:color w:val="000000"/>
                <w:sz w:val="22"/>
                <w:szCs w:val="22"/>
                <w:lang w:eastAsia="en-GB"/>
              </w:rPr>
              <w:t>This category does not cover existing industrial activities.</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1.6 - Point - Waste disposal sites</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183" w:type="pct"/>
            <w:shd w:val="clear" w:color="auto" w:fill="auto"/>
          </w:tcPr>
          <w:p w:rsidR="00BF0382" w:rsidRPr="00D95552" w:rsidRDefault="00BF0382" w:rsidP="00BB474C">
            <w:pPr>
              <w:spacing w:after="0"/>
              <w:jc w:val="both"/>
              <w:rPr>
                <w:color w:val="000000"/>
                <w:sz w:val="22"/>
                <w:szCs w:val="22"/>
                <w:lang w:val="en-GB" w:eastAsia="en-GB"/>
              </w:rPr>
            </w:pPr>
            <w:r w:rsidRPr="00D95552">
              <w:rPr>
                <w:color w:val="000000"/>
                <w:sz w:val="22"/>
                <w:szCs w:val="22"/>
                <w:lang w:val="en-GB" w:eastAsia="en-GB"/>
              </w:rPr>
              <w:t>Point sources due to urban or industrial waste disposal sites.</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1.7 - Point - Mine waters</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BF0382" w:rsidRPr="008D6A99" w:rsidRDefault="00BF0382" w:rsidP="00BB474C">
            <w:pPr>
              <w:spacing w:after="0"/>
              <w:jc w:val="both"/>
              <w:rPr>
                <w:sz w:val="22"/>
                <w:szCs w:val="22"/>
                <w:lang w:val="en-GB" w:eastAsia="en-GB"/>
              </w:rPr>
            </w:pPr>
            <w:r w:rsidRPr="008D6A99">
              <w:rPr>
                <w:sz w:val="22"/>
                <w:szCs w:val="22"/>
                <w:lang w:val="en-GB" w:eastAsia="en-GB"/>
              </w:rPr>
              <w:t>Point sources due to the collection of water in an open pit or underground mine which has to be brought to the surface in order to enable the mine to continue working. It does not include waste water from the industrial processes.</w:t>
            </w:r>
          </w:p>
        </w:tc>
      </w:tr>
      <w:tr w:rsidR="00BF038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1.8 - Point - Aquaculture</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Fisheries and aquaculture</w:t>
            </w: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 xml:space="preserve">1.9 - Point – Other </w:t>
            </w:r>
          </w:p>
        </w:tc>
        <w:tc>
          <w:tcPr>
            <w:tcW w:w="1496" w:type="pct"/>
            <w:shd w:val="clear" w:color="auto" w:fill="auto"/>
          </w:tcPr>
          <w:p w:rsidR="00BF0382" w:rsidRDefault="00BF0382" w:rsidP="00BB474C">
            <w:pPr>
              <w:spacing w:after="0"/>
              <w:jc w:val="both"/>
              <w:rPr>
                <w:color w:val="000000"/>
                <w:sz w:val="22"/>
                <w:szCs w:val="22"/>
                <w:lang w:eastAsia="en-GB"/>
              </w:rPr>
            </w:pP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Other point sources not included in the categories above.</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2.1 - Diffuse - Urban run-off</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 Industry</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Storm overflows and discharges in urbanised areas not identified as point sources</w:t>
            </w:r>
          </w:p>
        </w:tc>
      </w:tr>
      <w:tr w:rsidR="00BF038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2.2 - Diffuse – Agricultural</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 xml:space="preserve">2.3 - Diffuse – Forestry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Forestry</w:t>
            </w: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2.4 - Diffuse – Transport</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Transport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Diffuse pollution from road and train traffic, aviation and infrastructure.</w:t>
            </w:r>
          </w:p>
        </w:tc>
      </w:tr>
      <w:tr w:rsidR="00BF038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2.5 - Diffuse – Contaminated sites or abandoned industrial sites</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BF0382" w:rsidRDefault="00BF0382" w:rsidP="00BB474C">
            <w:pPr>
              <w:spacing w:after="0"/>
              <w:jc w:val="both"/>
              <w:rPr>
                <w:color w:val="000000"/>
                <w:sz w:val="22"/>
                <w:szCs w:val="22"/>
                <w:lang w:eastAsia="en-GB"/>
              </w:rPr>
            </w:pPr>
            <w:r w:rsidRPr="008D6A99">
              <w:rPr>
                <w:color w:val="000000"/>
                <w:sz w:val="22"/>
                <w:szCs w:val="22"/>
                <w:lang w:val="en-GB" w:eastAsia="en-GB"/>
              </w:rPr>
              <w:t xml:space="preserve">Pollution resulting from an abandoned industrial site or a site contaminated due to past industrial activities, illegal dumping of industrial waste or a pollution accident and which is identified as diffuse source (for point see above ‘Point – Contaminated sites or abandoned industrial sites’). </w:t>
            </w:r>
            <w:r>
              <w:rPr>
                <w:color w:val="000000"/>
                <w:sz w:val="22"/>
                <w:szCs w:val="22"/>
                <w:lang w:eastAsia="en-GB"/>
              </w:rPr>
              <w:t>This category does not cover existing industrial activities.</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2.6 - Diffuse - Discharges</w:t>
            </w:r>
            <w:r w:rsidRPr="008D6A99">
              <w:rPr>
                <w:bCs/>
                <w:color w:val="000000"/>
                <w:sz w:val="22"/>
                <w:szCs w:val="22"/>
                <w:u w:val="single"/>
                <w:lang w:val="en-GB" w:eastAsia="en-GB"/>
              </w:rPr>
              <w:t xml:space="preserve"> </w:t>
            </w:r>
            <w:r w:rsidRPr="008D6A99">
              <w:rPr>
                <w:bCs/>
                <w:color w:val="000000"/>
                <w:sz w:val="22"/>
                <w:szCs w:val="22"/>
                <w:lang w:val="en-GB" w:eastAsia="en-GB"/>
              </w:rPr>
              <w:t>not connected to sewerage network</w:t>
            </w:r>
          </w:p>
        </w:tc>
        <w:tc>
          <w:tcPr>
            <w:tcW w:w="1496" w:type="pct"/>
            <w:shd w:val="clear" w:color="auto" w:fill="auto"/>
          </w:tcPr>
          <w:p w:rsidR="00BF0382" w:rsidRDefault="00BF0382" w:rsidP="00BB474C">
            <w:pPr>
              <w:spacing w:after="0"/>
              <w:jc w:val="both"/>
              <w:rPr>
                <w:b/>
                <w:color w:val="000000"/>
                <w:sz w:val="22"/>
                <w:szCs w:val="22"/>
                <w:u w:val="single"/>
                <w:lang w:eastAsia="en-GB"/>
              </w:rPr>
            </w:pPr>
            <w:r>
              <w:rPr>
                <w:color w:val="000000"/>
                <w:sz w:val="22"/>
                <w:szCs w:val="22"/>
                <w:lang w:eastAsia="en-GB"/>
              </w:rPr>
              <w:t>Urban development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Pollution resulting from urban waste water not connected to sewers and identified as a diffuse source.</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2.7 - Diffuse - Atmospheric deposition </w:t>
            </w:r>
          </w:p>
        </w:tc>
        <w:tc>
          <w:tcPr>
            <w:tcW w:w="1496"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Agriculture, Energy - non-hydropower, Industry, Transport, Urban development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Diffuse pollution from atmospheric deposition from any origin</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2.8 - Diffuse – Mining</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Pollution from mining activities which are identified as diffuse (for poi</w:t>
            </w:r>
            <w:r w:rsidR="002C79FC" w:rsidRPr="008D6A99">
              <w:rPr>
                <w:color w:val="000000"/>
                <w:sz w:val="22"/>
                <w:szCs w:val="22"/>
                <w:lang w:val="en-GB" w:eastAsia="en-GB"/>
              </w:rPr>
              <w:t>nt sources see categories above</w:t>
            </w:r>
            <w:r w:rsidRPr="008D6A99">
              <w:rPr>
                <w:color w:val="000000"/>
                <w:sz w:val="22"/>
                <w:szCs w:val="22"/>
                <w:lang w:val="en-GB" w:eastAsia="en-GB"/>
              </w:rPr>
              <w:t>)</w:t>
            </w:r>
          </w:p>
        </w:tc>
      </w:tr>
      <w:tr w:rsidR="00BF038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 xml:space="preserve">2.9 - Diffuse – Aquaculture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Fisheries and aquaculture</w:t>
            </w: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 xml:space="preserve">2.10 - Diffuse – Other </w:t>
            </w:r>
          </w:p>
        </w:tc>
        <w:tc>
          <w:tcPr>
            <w:tcW w:w="1496" w:type="pct"/>
            <w:shd w:val="clear" w:color="auto" w:fill="auto"/>
          </w:tcPr>
          <w:p w:rsidR="00BF0382" w:rsidRDefault="00BF0382" w:rsidP="00BB474C">
            <w:pPr>
              <w:spacing w:after="0"/>
              <w:jc w:val="both"/>
              <w:rPr>
                <w:color w:val="000000"/>
                <w:sz w:val="22"/>
                <w:szCs w:val="22"/>
                <w:lang w:eastAsia="en-GB"/>
              </w:rPr>
            </w:pP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Other diffuse sources not included in the categories above.</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 xml:space="preserve">3.1 – Abstraction or flow diversion – Agriculture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Includes water transfers and abstractions for irrigation and livestock breeding.</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3.2 – Abstraction or flow diversion – Public water supply</w:t>
            </w:r>
          </w:p>
        </w:tc>
        <w:tc>
          <w:tcPr>
            <w:tcW w:w="1496" w:type="pct"/>
            <w:shd w:val="clear" w:color="auto" w:fill="auto"/>
          </w:tcPr>
          <w:p w:rsidR="00BF0382" w:rsidRDefault="00BF0382" w:rsidP="00BB474C">
            <w:pPr>
              <w:spacing w:after="0"/>
              <w:jc w:val="both"/>
              <w:rPr>
                <w:b/>
                <w:color w:val="000000"/>
                <w:sz w:val="22"/>
                <w:szCs w:val="22"/>
                <w:u w:val="single"/>
                <w:lang w:eastAsia="en-GB"/>
              </w:rPr>
            </w:pPr>
            <w:r>
              <w:rPr>
                <w:color w:val="000000"/>
                <w:sz w:val="22"/>
                <w:szCs w:val="22"/>
                <w:lang w:eastAsia="en-GB"/>
              </w:rPr>
              <w:t>Urban development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Includes water transfers. Affection to TW and/or CW possible only in case of desalination plants.</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 xml:space="preserve">3.3 – Abstraction or flow diversion – Industry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Abstraction for industrial processes (cooling water is covered under the category ‘Abstraction or flow diversion – cooling water’)</w:t>
            </w:r>
          </w:p>
        </w:tc>
      </w:tr>
      <w:tr w:rsidR="00BF038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3.4 – Abstraction or flow diversion – Cooling water</w:t>
            </w:r>
          </w:p>
        </w:tc>
        <w:tc>
          <w:tcPr>
            <w:tcW w:w="1496" w:type="pct"/>
            <w:shd w:val="clear" w:color="auto" w:fill="auto"/>
          </w:tcPr>
          <w:p w:rsidR="00BF0382" w:rsidRDefault="00BF0382" w:rsidP="00BB474C">
            <w:pPr>
              <w:spacing w:after="0"/>
              <w:jc w:val="both"/>
              <w:rPr>
                <w:b/>
                <w:color w:val="000000"/>
                <w:sz w:val="22"/>
                <w:szCs w:val="22"/>
                <w:u w:val="single"/>
                <w:lang w:eastAsia="en-GB"/>
              </w:rPr>
            </w:pPr>
            <w:r>
              <w:rPr>
                <w:color w:val="000000"/>
                <w:sz w:val="22"/>
                <w:szCs w:val="22"/>
                <w:lang w:eastAsia="en-GB"/>
              </w:rPr>
              <w:t>Industry, Energy - non-hydropower</w:t>
            </w: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3.5 – Abstraction or flow diversion – Hydropower</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Energy - hydropower</w:t>
            </w:r>
          </w:p>
        </w:tc>
        <w:tc>
          <w:tcPr>
            <w:tcW w:w="2183" w:type="pct"/>
            <w:shd w:val="clear" w:color="auto" w:fill="auto"/>
          </w:tcPr>
          <w:p w:rsidR="00BF0382" w:rsidRDefault="00BF0382" w:rsidP="00BB474C">
            <w:pPr>
              <w:spacing w:after="0"/>
              <w:jc w:val="both"/>
              <w:rPr>
                <w:sz w:val="22"/>
                <w:szCs w:val="22"/>
                <w:lang w:eastAsia="en-GB"/>
              </w:rPr>
            </w:pP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3.6 – Abstraction or flow diversion - Fish farms</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Fisheries and aquaculture </w:t>
            </w:r>
          </w:p>
        </w:tc>
        <w:tc>
          <w:tcPr>
            <w:tcW w:w="2183" w:type="pct"/>
            <w:shd w:val="clear" w:color="auto" w:fill="auto"/>
          </w:tcPr>
          <w:p w:rsidR="00BF0382" w:rsidRPr="008D6A99" w:rsidRDefault="00BF0382" w:rsidP="00BB474C">
            <w:pPr>
              <w:spacing w:after="0"/>
              <w:jc w:val="both"/>
              <w:rPr>
                <w:sz w:val="22"/>
                <w:szCs w:val="22"/>
                <w:lang w:val="en-GB" w:eastAsia="en-GB"/>
              </w:rPr>
            </w:pPr>
            <w:r w:rsidRPr="008D6A99">
              <w:rPr>
                <w:sz w:val="22"/>
                <w:szCs w:val="22"/>
                <w:lang w:val="en-GB" w:eastAsia="en-GB"/>
              </w:rPr>
              <w:t>Typically off-line fish farms</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 xml:space="preserve">3.7 – Abstraction or flow diversion – Other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Tourism and recreation</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Abstraction for any other purpose not listed above.</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4.1.1 - Physical alteration of channel/bed</w:t>
            </w:r>
            <w:r w:rsidRPr="008D6A99">
              <w:rPr>
                <w:bCs/>
                <w:color w:val="000000"/>
                <w:sz w:val="22"/>
                <w:szCs w:val="22"/>
                <w:u w:val="single"/>
                <w:lang w:val="en-GB" w:eastAsia="en-GB"/>
              </w:rPr>
              <w:t>/</w:t>
            </w:r>
            <w:r w:rsidRPr="008D6A99">
              <w:rPr>
                <w:bCs/>
                <w:color w:val="000000"/>
                <w:sz w:val="22"/>
                <w:szCs w:val="22"/>
                <w:lang w:val="en-GB" w:eastAsia="en-GB"/>
              </w:rPr>
              <w:t>riparian area/shore - Flood protection</w:t>
            </w:r>
          </w:p>
        </w:tc>
        <w:tc>
          <w:tcPr>
            <w:tcW w:w="1496" w:type="pct"/>
            <w:shd w:val="clear" w:color="auto" w:fill="auto"/>
          </w:tcPr>
          <w:p w:rsidR="00BF0382" w:rsidRDefault="00BF0382" w:rsidP="00BB474C">
            <w:pPr>
              <w:spacing w:after="0"/>
              <w:jc w:val="both"/>
              <w:rPr>
                <w:b/>
                <w:color w:val="000000"/>
                <w:sz w:val="22"/>
                <w:szCs w:val="22"/>
                <w:u w:val="single"/>
                <w:lang w:eastAsia="en-GB"/>
              </w:rPr>
            </w:pPr>
            <w:r>
              <w:rPr>
                <w:color w:val="000000"/>
                <w:sz w:val="22"/>
                <w:szCs w:val="22"/>
                <w:lang w:eastAsia="en-GB"/>
              </w:rPr>
              <w:t>Flood</w:t>
            </w:r>
            <w:r>
              <w:rPr>
                <w:b/>
                <w:color w:val="000000"/>
                <w:sz w:val="22"/>
                <w:szCs w:val="22"/>
                <w:u w:val="single"/>
                <w:lang w:eastAsia="en-GB"/>
              </w:rPr>
              <w:t xml:space="preserve"> </w:t>
            </w:r>
            <w:r>
              <w:rPr>
                <w:color w:val="000000"/>
                <w:sz w:val="22"/>
                <w:szCs w:val="22"/>
                <w:lang w:eastAsia="en-GB"/>
              </w:rPr>
              <w:t>protection</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Refers largely to longitudinal alterations to water bodies. </w:t>
            </w:r>
          </w:p>
        </w:tc>
      </w:tr>
      <w:tr w:rsidR="00BF0382" w:rsidRPr="00D95552" w:rsidTr="00BB474C">
        <w:tc>
          <w:tcPr>
            <w:tcW w:w="1321" w:type="pct"/>
            <w:shd w:val="clear" w:color="auto" w:fill="auto"/>
          </w:tcPr>
          <w:p w:rsidR="00BF0382" w:rsidRPr="008D6A99" w:rsidRDefault="00BF0382" w:rsidP="00BB474C">
            <w:pPr>
              <w:spacing w:after="0"/>
              <w:jc w:val="both"/>
              <w:rPr>
                <w:bCs/>
                <w:sz w:val="22"/>
                <w:szCs w:val="22"/>
                <w:lang w:val="en-GB" w:eastAsia="en-GB"/>
              </w:rPr>
            </w:pPr>
            <w:r w:rsidRPr="008D6A99">
              <w:rPr>
                <w:bCs/>
                <w:sz w:val="22"/>
                <w:szCs w:val="22"/>
                <w:lang w:val="en-GB" w:eastAsia="en-GB"/>
              </w:rPr>
              <w:t>4.1.2 - Physical alteration of channel/bed</w:t>
            </w:r>
            <w:r w:rsidRPr="008D6A99">
              <w:rPr>
                <w:bCs/>
                <w:color w:val="000000"/>
                <w:sz w:val="22"/>
                <w:szCs w:val="22"/>
                <w:u w:val="single"/>
                <w:lang w:val="en-GB" w:eastAsia="en-GB"/>
              </w:rPr>
              <w:t>/</w:t>
            </w:r>
            <w:r w:rsidRPr="008D6A99">
              <w:rPr>
                <w:bCs/>
                <w:color w:val="000000"/>
                <w:sz w:val="22"/>
                <w:szCs w:val="22"/>
                <w:lang w:val="en-GB" w:eastAsia="en-GB"/>
              </w:rPr>
              <w:t>riparian area/shore</w:t>
            </w:r>
            <w:r w:rsidRPr="008D6A99">
              <w:rPr>
                <w:bCs/>
                <w:sz w:val="22"/>
                <w:szCs w:val="22"/>
                <w:lang w:val="en-GB" w:eastAsia="en-GB"/>
              </w:rPr>
              <w:t xml:space="preserve"> - Agriculture</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Refers largely to longitudinal alterations to water bodies. Includes land drainage to enable agricultural activities.</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4.1.3 - Physical alteration of channel/bed</w:t>
            </w:r>
            <w:r w:rsidRPr="008D6A99">
              <w:rPr>
                <w:bCs/>
                <w:color w:val="000000"/>
                <w:sz w:val="22"/>
                <w:szCs w:val="22"/>
                <w:u w:val="single"/>
                <w:lang w:val="en-GB" w:eastAsia="en-GB"/>
              </w:rPr>
              <w:t>/</w:t>
            </w:r>
            <w:r w:rsidRPr="008D6A99">
              <w:rPr>
                <w:bCs/>
                <w:color w:val="000000"/>
                <w:sz w:val="22"/>
                <w:szCs w:val="22"/>
                <w:lang w:val="en-GB" w:eastAsia="en-GB"/>
              </w:rPr>
              <w:t>riparian area/shore - Navigation</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Transport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Refers largely to longitudinal alterations to water bodies.</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4.1.4 - Physical alteration of channel/bed</w:t>
            </w:r>
            <w:r w:rsidRPr="008D6A99">
              <w:rPr>
                <w:bCs/>
                <w:color w:val="000000"/>
                <w:sz w:val="22"/>
                <w:szCs w:val="22"/>
                <w:u w:val="single"/>
                <w:lang w:val="en-GB" w:eastAsia="en-GB"/>
              </w:rPr>
              <w:t>/</w:t>
            </w:r>
            <w:r w:rsidRPr="008D6A99">
              <w:rPr>
                <w:bCs/>
                <w:color w:val="000000"/>
                <w:sz w:val="22"/>
                <w:szCs w:val="22"/>
                <w:lang w:val="en-GB" w:eastAsia="en-GB"/>
              </w:rPr>
              <w:t>riparian area/shore – Other</w:t>
            </w:r>
          </w:p>
        </w:tc>
        <w:tc>
          <w:tcPr>
            <w:tcW w:w="1496" w:type="pct"/>
            <w:shd w:val="clear" w:color="auto" w:fill="auto"/>
          </w:tcPr>
          <w:p w:rsidR="00BF0382" w:rsidRPr="008D6A99" w:rsidRDefault="00BF0382" w:rsidP="00BB474C">
            <w:pPr>
              <w:spacing w:after="0"/>
              <w:jc w:val="both"/>
              <w:rPr>
                <w:color w:val="000000"/>
                <w:sz w:val="22"/>
                <w:szCs w:val="22"/>
                <w:lang w:val="en-GB" w:eastAsia="en-GB"/>
              </w:rPr>
            </w:pP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Refers largely to longitudinal alterations to water bodies.</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4.1.5 - Physical alteration of channel/bed/riparian area/shore – Unknown or obsolete</w:t>
            </w:r>
          </w:p>
        </w:tc>
        <w:tc>
          <w:tcPr>
            <w:tcW w:w="1496" w:type="pct"/>
            <w:shd w:val="clear" w:color="auto" w:fill="auto"/>
          </w:tcPr>
          <w:p w:rsidR="00BF0382" w:rsidRPr="008D6A99" w:rsidRDefault="00BF0382" w:rsidP="00BB474C">
            <w:pPr>
              <w:spacing w:after="0"/>
              <w:jc w:val="both"/>
              <w:rPr>
                <w:color w:val="000000"/>
                <w:sz w:val="22"/>
                <w:szCs w:val="22"/>
                <w:lang w:val="en-GB" w:eastAsia="en-GB"/>
              </w:rPr>
            </w:pP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In case the driver for the physical modification is unknown.</w:t>
            </w:r>
          </w:p>
        </w:tc>
      </w:tr>
      <w:tr w:rsidR="00BF038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4.2.1 - Dams, barriers and locks - Hydropower</w:t>
            </w:r>
          </w:p>
        </w:tc>
        <w:tc>
          <w:tcPr>
            <w:tcW w:w="1496" w:type="pct"/>
            <w:shd w:val="clear" w:color="auto" w:fill="auto"/>
          </w:tcPr>
          <w:p w:rsidR="00BF0382" w:rsidRDefault="00BF0382" w:rsidP="00BB474C">
            <w:pPr>
              <w:spacing w:after="0"/>
              <w:jc w:val="both"/>
              <w:rPr>
                <w:b/>
                <w:color w:val="000000"/>
                <w:sz w:val="22"/>
                <w:szCs w:val="22"/>
                <w:u w:val="single"/>
                <w:lang w:eastAsia="en-GB"/>
              </w:rPr>
            </w:pPr>
            <w:r>
              <w:rPr>
                <w:color w:val="000000"/>
                <w:sz w:val="22"/>
                <w:szCs w:val="22"/>
                <w:lang w:eastAsia="en-GB"/>
              </w:rPr>
              <w:t>Energy – hydropower</w:t>
            </w: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4.2.2 - Dams, barriers and locks - Flood protection</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Flood Protection</w:t>
            </w: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4.2.3 - Dams, barriers and locks - Drinking water</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4.2.4 - Dams, barriers and locks - Irrigation</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BF0382" w:rsidRDefault="00BF0382" w:rsidP="00BB474C">
            <w:pPr>
              <w:spacing w:after="0"/>
              <w:jc w:val="both"/>
              <w:rPr>
                <w:b/>
                <w:color w:val="FF0000"/>
                <w:sz w:val="22"/>
                <w:szCs w:val="22"/>
                <w:u w:val="single"/>
                <w:lang w:eastAsia="en-GB"/>
              </w:rPr>
            </w:pP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4.2.5 - Dams, barriers and locks - Recreation</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Tourism and recreation</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Small dams are used in rivers to create recreational areas (bathing waters) and also angling areas</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 xml:space="preserve">4.2.6 - Dams, barriers and locks - Industry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 Energy - non-hydropower</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Dams are sometimes created to provide freshwater for large industry e.g. typically for cooling purposes</w:t>
            </w:r>
          </w:p>
        </w:tc>
      </w:tr>
      <w:tr w:rsidR="00BF038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4.2.7 - Dams, barriers and locks - Navigation</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Transport</w:t>
            </w: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4.2.8 - Dams, barriers and locks – Other</w:t>
            </w:r>
          </w:p>
        </w:tc>
        <w:tc>
          <w:tcPr>
            <w:tcW w:w="1496" w:type="pct"/>
            <w:shd w:val="clear" w:color="auto" w:fill="auto"/>
          </w:tcPr>
          <w:p w:rsidR="00BF0382" w:rsidRPr="008D6A99" w:rsidRDefault="00BF0382" w:rsidP="00BB474C">
            <w:pPr>
              <w:spacing w:after="0"/>
              <w:jc w:val="both"/>
              <w:rPr>
                <w:color w:val="000000"/>
                <w:sz w:val="22"/>
                <w:szCs w:val="22"/>
                <w:lang w:val="en-GB" w:eastAsia="en-GB"/>
              </w:rPr>
            </w:pPr>
          </w:p>
        </w:tc>
        <w:tc>
          <w:tcPr>
            <w:tcW w:w="2183" w:type="pct"/>
            <w:shd w:val="clear" w:color="auto" w:fill="auto"/>
          </w:tcPr>
          <w:p w:rsidR="00BF0382" w:rsidRPr="008D6A99" w:rsidRDefault="00BF0382" w:rsidP="00BB474C">
            <w:pPr>
              <w:spacing w:after="0"/>
              <w:jc w:val="both"/>
              <w:rPr>
                <w:color w:val="000000"/>
                <w:sz w:val="22"/>
                <w:szCs w:val="22"/>
                <w:lang w:val="en-GB" w:eastAsia="en-GB"/>
              </w:rPr>
            </w:pP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4.2.9 - Dams, barriers and locks – Unknown or obsolete</w:t>
            </w:r>
          </w:p>
        </w:tc>
        <w:tc>
          <w:tcPr>
            <w:tcW w:w="1496" w:type="pct"/>
            <w:shd w:val="clear" w:color="auto" w:fill="auto"/>
          </w:tcPr>
          <w:p w:rsidR="00BF0382" w:rsidRPr="008D6A99" w:rsidRDefault="00BF0382" w:rsidP="00BB474C">
            <w:pPr>
              <w:spacing w:after="0"/>
              <w:jc w:val="both"/>
              <w:rPr>
                <w:color w:val="000000"/>
                <w:sz w:val="22"/>
                <w:szCs w:val="22"/>
                <w:lang w:val="en-GB" w:eastAsia="en-GB"/>
              </w:rPr>
            </w:pPr>
          </w:p>
        </w:tc>
        <w:tc>
          <w:tcPr>
            <w:tcW w:w="2183" w:type="pct"/>
            <w:shd w:val="clear" w:color="auto" w:fill="auto"/>
          </w:tcPr>
          <w:p w:rsidR="00BF0382" w:rsidRPr="008D6A99" w:rsidRDefault="00BF0382" w:rsidP="00BB474C">
            <w:pPr>
              <w:spacing w:after="0"/>
              <w:jc w:val="both"/>
              <w:rPr>
                <w:color w:val="000000"/>
                <w:sz w:val="22"/>
                <w:szCs w:val="22"/>
                <w:lang w:val="en-GB" w:eastAsia="en-GB"/>
              </w:rPr>
            </w:pP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 xml:space="preserve">4.3.1 - Hydrological alteration – Agriculture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A change in the flow regime (e.g. due to land drainage). </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u w:val="single"/>
                <w:lang w:eastAsia="en-GB"/>
              </w:rPr>
            </w:pPr>
            <w:r>
              <w:rPr>
                <w:bCs/>
                <w:color w:val="000000"/>
                <w:sz w:val="22"/>
                <w:szCs w:val="22"/>
                <w:lang w:eastAsia="en-GB"/>
              </w:rPr>
              <w:t>4.3.2 - Hydrological alteration – Transport</w:t>
            </w:r>
            <w:r>
              <w:rPr>
                <w:bCs/>
                <w:color w:val="000000"/>
                <w:sz w:val="22"/>
                <w:szCs w:val="22"/>
                <w:u w:val="single"/>
                <w:lang w:eastAsia="en-GB"/>
              </w:rPr>
              <w:t xml:space="preserve">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Transport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 change in the flow regime - typically due to inland navigation</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u w:val="single"/>
                <w:lang w:eastAsia="en-GB"/>
              </w:rPr>
            </w:pPr>
            <w:r>
              <w:rPr>
                <w:bCs/>
                <w:color w:val="000000"/>
                <w:sz w:val="22"/>
                <w:szCs w:val="22"/>
                <w:lang w:eastAsia="en-GB"/>
              </w:rPr>
              <w:t>4.3.3 - Hydrological alteration – Hydropower</w:t>
            </w:r>
            <w:r>
              <w:rPr>
                <w:bCs/>
                <w:color w:val="000000"/>
                <w:sz w:val="22"/>
                <w:szCs w:val="22"/>
                <w:u w:val="single"/>
                <w:lang w:eastAsia="en-GB"/>
              </w:rPr>
              <w:t xml:space="preserve">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Energy – hydropower</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A change in the flow regime (e.g. hydropeaking) </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4.3.4 - Hydrological alteration – Public water supply</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A change in the flow regime </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4.3.5 - Hydrological alteration - Aquaculture</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Fisheries and aquaculture</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A change in the flow regime </w:t>
            </w:r>
          </w:p>
        </w:tc>
      </w:tr>
      <w:tr w:rsidR="00BF038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4.3.6 - Hydrological alteration – Other</w:t>
            </w:r>
          </w:p>
        </w:tc>
        <w:tc>
          <w:tcPr>
            <w:tcW w:w="1496" w:type="pct"/>
            <w:shd w:val="clear" w:color="auto" w:fill="auto"/>
          </w:tcPr>
          <w:p w:rsidR="00BF0382" w:rsidRDefault="00BF0382" w:rsidP="00BB474C">
            <w:pPr>
              <w:spacing w:after="0"/>
              <w:jc w:val="both"/>
              <w:rPr>
                <w:color w:val="000000"/>
                <w:sz w:val="22"/>
                <w:szCs w:val="22"/>
                <w:lang w:eastAsia="en-GB"/>
              </w:rPr>
            </w:pPr>
          </w:p>
        </w:tc>
        <w:tc>
          <w:tcPr>
            <w:tcW w:w="2183" w:type="pct"/>
            <w:shd w:val="clear" w:color="auto" w:fill="auto"/>
          </w:tcPr>
          <w:p w:rsidR="00BF0382" w:rsidRDefault="00BF0382" w:rsidP="00BB474C">
            <w:pPr>
              <w:spacing w:after="0"/>
              <w:jc w:val="both"/>
              <w:rPr>
                <w:color w:val="000000"/>
                <w:sz w:val="22"/>
                <w:szCs w:val="22"/>
                <w:lang w:eastAsia="en-GB"/>
              </w:rPr>
            </w:pPr>
          </w:p>
        </w:tc>
      </w:tr>
      <w:tr w:rsidR="00BF038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4.4 - Hydromorphological alteration - Physical loss of whole or part of the water body</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Flood protection, Climate change</w:t>
            </w:r>
          </w:p>
        </w:tc>
        <w:tc>
          <w:tcPr>
            <w:tcW w:w="2183"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Dry river beds etc.</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4.5 - Hydromorphological alteration - Other</w:t>
            </w:r>
          </w:p>
        </w:tc>
        <w:tc>
          <w:tcPr>
            <w:tcW w:w="1496" w:type="pct"/>
            <w:shd w:val="clear" w:color="auto" w:fill="auto"/>
          </w:tcPr>
          <w:p w:rsidR="00BF0382" w:rsidRDefault="00BF0382" w:rsidP="00BB474C">
            <w:pPr>
              <w:spacing w:after="0"/>
              <w:jc w:val="both"/>
              <w:rPr>
                <w:color w:val="000000"/>
                <w:sz w:val="22"/>
                <w:szCs w:val="22"/>
                <w:lang w:eastAsia="en-GB"/>
              </w:rPr>
            </w:pP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Other hydromorphological alterations not included in any of the categories above, including alteration of water level or volume for purposes not identified above.</w:t>
            </w:r>
          </w:p>
        </w:tc>
      </w:tr>
      <w:tr w:rsidR="00BF038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5.1 - Introduced species and diseases</w:t>
            </w:r>
          </w:p>
        </w:tc>
        <w:tc>
          <w:tcPr>
            <w:tcW w:w="1496"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Transport, Fisheries and aquaculture, Tourism and recreation.</w:t>
            </w:r>
          </w:p>
        </w:tc>
        <w:tc>
          <w:tcPr>
            <w:tcW w:w="2183"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Includes invasive alien species.</w:t>
            </w: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5.2 - Exploitation or removal of animals or plants</w:t>
            </w:r>
          </w:p>
        </w:tc>
        <w:tc>
          <w:tcPr>
            <w:tcW w:w="1496"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Tourism and recreation, Fisheries and aquaculture</w:t>
            </w:r>
          </w:p>
        </w:tc>
        <w:tc>
          <w:tcPr>
            <w:tcW w:w="2183" w:type="pct"/>
            <w:shd w:val="clear" w:color="auto" w:fill="auto"/>
          </w:tcPr>
          <w:p w:rsidR="00BF0382" w:rsidRPr="008D6A99" w:rsidRDefault="00BF0382" w:rsidP="00BB474C">
            <w:pPr>
              <w:spacing w:after="0"/>
              <w:jc w:val="both"/>
              <w:rPr>
                <w:sz w:val="22"/>
                <w:szCs w:val="22"/>
                <w:lang w:val="en-GB" w:eastAsia="en-GB"/>
              </w:rPr>
            </w:pPr>
            <w:r w:rsidRPr="008D6A99">
              <w:rPr>
                <w:sz w:val="22"/>
                <w:szCs w:val="22"/>
                <w:lang w:val="en-GB" w:eastAsia="en-GB"/>
              </w:rPr>
              <w:t>Commercial fishing or recreational/sports angling, commercial harvesting of plants or algae from water bodies.</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 xml:space="preserve">5.3 – Litter or fly tipping </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 Transport</w:t>
            </w: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Includes illegal waste deposits, litter from ships, etc. (All waste from land area)</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6.1 - Groundwater - Recharges</w:t>
            </w:r>
          </w:p>
        </w:tc>
        <w:tc>
          <w:tcPr>
            <w:tcW w:w="1496"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Agriculture, Energy - non-hydropower, Industry, Urban development</w:t>
            </w:r>
          </w:p>
        </w:tc>
        <w:tc>
          <w:tcPr>
            <w:tcW w:w="2183" w:type="pct"/>
            <w:shd w:val="clear" w:color="auto" w:fill="auto"/>
          </w:tcPr>
          <w:p w:rsidR="00BF0382" w:rsidRPr="008D6A99" w:rsidRDefault="00BF0382" w:rsidP="00BB474C">
            <w:pPr>
              <w:spacing w:after="0"/>
              <w:jc w:val="both"/>
              <w:rPr>
                <w:sz w:val="22"/>
                <w:szCs w:val="22"/>
                <w:lang w:val="en-GB"/>
              </w:rPr>
            </w:pPr>
          </w:p>
        </w:tc>
      </w:tr>
      <w:tr w:rsidR="00BF0382" w:rsidRPr="00D95552" w:rsidTr="00BB474C">
        <w:tc>
          <w:tcPr>
            <w:tcW w:w="1321" w:type="pct"/>
            <w:shd w:val="clear" w:color="auto" w:fill="auto"/>
          </w:tcPr>
          <w:p w:rsidR="00BF0382" w:rsidRPr="008D6A99" w:rsidRDefault="00BF0382" w:rsidP="00BB474C">
            <w:pPr>
              <w:spacing w:after="0"/>
              <w:jc w:val="both"/>
              <w:rPr>
                <w:bCs/>
                <w:color w:val="000000"/>
                <w:sz w:val="22"/>
                <w:szCs w:val="22"/>
                <w:lang w:val="en-GB" w:eastAsia="en-GB"/>
              </w:rPr>
            </w:pPr>
            <w:r w:rsidRPr="008D6A99">
              <w:rPr>
                <w:bCs/>
                <w:color w:val="000000"/>
                <w:sz w:val="22"/>
                <w:szCs w:val="22"/>
                <w:lang w:val="en-GB" w:eastAsia="en-GB"/>
              </w:rPr>
              <w:t>6.2 - Groundwater – Alteration of water level or volume</w:t>
            </w:r>
          </w:p>
        </w:tc>
        <w:tc>
          <w:tcPr>
            <w:tcW w:w="1496" w:type="pct"/>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 Urban development</w:t>
            </w:r>
          </w:p>
        </w:tc>
        <w:tc>
          <w:tcPr>
            <w:tcW w:w="2183" w:type="pct"/>
            <w:shd w:val="clear" w:color="auto" w:fill="auto"/>
          </w:tcPr>
          <w:p w:rsidR="00BF0382" w:rsidRPr="008D6A99" w:rsidRDefault="00BF0382" w:rsidP="00BB474C">
            <w:pPr>
              <w:spacing w:after="0"/>
              <w:jc w:val="both"/>
              <w:rPr>
                <w:sz w:val="22"/>
                <w:szCs w:val="22"/>
                <w:lang w:val="en-GB"/>
              </w:rPr>
            </w:pPr>
            <w:r w:rsidRPr="008D6A99">
              <w:rPr>
                <w:sz w:val="22"/>
                <w:szCs w:val="22"/>
                <w:lang w:val="en-GB"/>
              </w:rPr>
              <w:t>This category includes activities to alter the level of groundwater in order to carry out an underground activity (typically mining or large civil works). This does not include the alteration of the water level due to current or past overexploitation of the groundwater resources (this case is captured under the categories ‘Abstraction’ above).</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7 - Anthropogenic pressure - Other</w:t>
            </w:r>
          </w:p>
        </w:tc>
        <w:tc>
          <w:tcPr>
            <w:tcW w:w="1496" w:type="pct"/>
            <w:shd w:val="clear" w:color="auto" w:fill="auto"/>
          </w:tcPr>
          <w:p w:rsidR="00BF0382" w:rsidRDefault="00BF0382" w:rsidP="00BB474C">
            <w:pPr>
              <w:spacing w:after="0"/>
              <w:jc w:val="both"/>
              <w:rPr>
                <w:color w:val="000000"/>
                <w:sz w:val="22"/>
                <w:szCs w:val="22"/>
                <w:lang w:eastAsia="en-GB"/>
              </w:rPr>
            </w:pP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Other pressures not included in any other category.</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 xml:space="preserve">8 - Anthropogenic pressure - Unknown </w:t>
            </w:r>
          </w:p>
        </w:tc>
        <w:tc>
          <w:tcPr>
            <w:tcW w:w="1496" w:type="pct"/>
            <w:shd w:val="clear" w:color="auto" w:fill="auto"/>
          </w:tcPr>
          <w:p w:rsidR="00BF0382" w:rsidRDefault="00BF0382" w:rsidP="00BB474C">
            <w:pPr>
              <w:spacing w:after="0"/>
              <w:jc w:val="both"/>
              <w:rPr>
                <w:color w:val="000000"/>
                <w:sz w:val="22"/>
                <w:szCs w:val="22"/>
                <w:lang w:eastAsia="en-GB"/>
              </w:rPr>
            </w:pPr>
          </w:p>
        </w:tc>
        <w:tc>
          <w:tcPr>
            <w:tcW w:w="2183" w:type="pct"/>
            <w:shd w:val="clear" w:color="auto" w:fill="auto"/>
          </w:tcPr>
          <w:p w:rsidR="00BF0382" w:rsidRPr="008D6A99" w:rsidRDefault="00BF0382" w:rsidP="00BB474C">
            <w:pPr>
              <w:spacing w:after="0"/>
              <w:jc w:val="both"/>
              <w:rPr>
                <w:color w:val="000000"/>
                <w:sz w:val="22"/>
                <w:szCs w:val="22"/>
                <w:lang w:val="en-GB" w:eastAsia="en-GB"/>
              </w:rPr>
            </w:pPr>
            <w:r w:rsidRPr="008D6A99">
              <w:rPr>
                <w:sz w:val="22"/>
                <w:szCs w:val="22"/>
                <w:lang w:val="en-GB"/>
              </w:rPr>
              <w:t>Only relevant where status is lower than good and pressure is unknown.</w:t>
            </w:r>
          </w:p>
        </w:tc>
      </w:tr>
      <w:tr w:rsidR="00BF0382" w:rsidRPr="00D9555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9 - Anthropogenic pressure - Historical pollution</w:t>
            </w:r>
          </w:p>
        </w:tc>
        <w:tc>
          <w:tcPr>
            <w:tcW w:w="1496" w:type="pct"/>
            <w:shd w:val="clear" w:color="auto" w:fill="auto"/>
          </w:tcPr>
          <w:p w:rsidR="00BF0382" w:rsidRDefault="00BF0382" w:rsidP="00BB474C">
            <w:pPr>
              <w:spacing w:after="0"/>
              <w:jc w:val="both"/>
              <w:rPr>
                <w:color w:val="000000"/>
                <w:sz w:val="22"/>
                <w:szCs w:val="22"/>
                <w:lang w:eastAsia="en-GB"/>
              </w:rPr>
            </w:pPr>
          </w:p>
        </w:tc>
        <w:tc>
          <w:tcPr>
            <w:tcW w:w="2183" w:type="pct"/>
            <w:shd w:val="clear" w:color="auto" w:fill="auto"/>
          </w:tcPr>
          <w:p w:rsidR="00BF0382" w:rsidRPr="008D6A99" w:rsidRDefault="00BF0382" w:rsidP="00BB474C">
            <w:pPr>
              <w:spacing w:after="0"/>
              <w:jc w:val="both"/>
              <w:rPr>
                <w:sz w:val="22"/>
                <w:szCs w:val="22"/>
                <w:lang w:val="en-GB"/>
              </w:rPr>
            </w:pPr>
            <w:r w:rsidRPr="008D6A99">
              <w:rPr>
                <w:sz w:val="22"/>
                <w:szCs w:val="22"/>
                <w:lang w:val="en-GB"/>
              </w:rPr>
              <w:t xml:space="preserve">In cases where for example a groundwater body is significantly polluted by past activities / pressures that no longer exist. </w:t>
            </w:r>
          </w:p>
        </w:tc>
      </w:tr>
      <w:tr w:rsidR="00BF038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No significant pressures</w:t>
            </w:r>
          </w:p>
        </w:tc>
        <w:tc>
          <w:tcPr>
            <w:tcW w:w="1496" w:type="pct"/>
            <w:shd w:val="clear" w:color="auto" w:fill="auto"/>
          </w:tcPr>
          <w:p w:rsidR="00BF0382" w:rsidRDefault="00BF0382" w:rsidP="00BB474C">
            <w:pPr>
              <w:spacing w:after="0"/>
              <w:jc w:val="both"/>
              <w:rPr>
                <w:color w:val="000000"/>
                <w:sz w:val="22"/>
                <w:szCs w:val="22"/>
                <w:lang w:eastAsia="en-GB"/>
              </w:rPr>
            </w:pPr>
          </w:p>
        </w:tc>
        <w:tc>
          <w:tcPr>
            <w:tcW w:w="2183" w:type="pct"/>
            <w:shd w:val="clear" w:color="auto" w:fill="auto"/>
          </w:tcPr>
          <w:p w:rsidR="00BF0382" w:rsidRDefault="00BF0382" w:rsidP="00BB474C">
            <w:pPr>
              <w:spacing w:after="0"/>
              <w:jc w:val="both"/>
              <w:rPr>
                <w:sz w:val="22"/>
                <w:szCs w:val="22"/>
              </w:rPr>
            </w:pPr>
          </w:p>
        </w:tc>
      </w:tr>
      <w:tr w:rsidR="00BF0382" w:rsidTr="00BB474C">
        <w:tc>
          <w:tcPr>
            <w:tcW w:w="1321" w:type="pct"/>
            <w:shd w:val="clear" w:color="auto" w:fill="auto"/>
          </w:tcPr>
          <w:p w:rsidR="00BF0382" w:rsidRDefault="00BF0382" w:rsidP="00BB474C">
            <w:pPr>
              <w:spacing w:after="0"/>
              <w:jc w:val="both"/>
              <w:rPr>
                <w:bCs/>
                <w:color w:val="000000"/>
                <w:sz w:val="22"/>
                <w:szCs w:val="22"/>
                <w:lang w:eastAsia="en-GB"/>
              </w:rPr>
            </w:pPr>
            <w:r>
              <w:rPr>
                <w:bCs/>
                <w:color w:val="000000"/>
                <w:sz w:val="22"/>
                <w:szCs w:val="22"/>
                <w:lang w:eastAsia="en-GB"/>
              </w:rPr>
              <w:t>Not applicable</w:t>
            </w:r>
          </w:p>
        </w:tc>
        <w:tc>
          <w:tcPr>
            <w:tcW w:w="1496" w:type="pct"/>
            <w:shd w:val="clear" w:color="auto" w:fill="auto"/>
          </w:tcPr>
          <w:p w:rsidR="00BF0382" w:rsidRDefault="00BF0382" w:rsidP="00BB474C">
            <w:pPr>
              <w:spacing w:after="0"/>
              <w:jc w:val="both"/>
              <w:rPr>
                <w:color w:val="000000"/>
                <w:sz w:val="22"/>
                <w:szCs w:val="22"/>
                <w:lang w:eastAsia="en-GB"/>
              </w:rPr>
            </w:pPr>
          </w:p>
        </w:tc>
        <w:tc>
          <w:tcPr>
            <w:tcW w:w="2183" w:type="pct"/>
            <w:shd w:val="clear" w:color="auto" w:fill="auto"/>
          </w:tcPr>
          <w:p w:rsidR="00BF0382" w:rsidRDefault="00BF0382" w:rsidP="00BB474C">
            <w:pPr>
              <w:spacing w:after="0"/>
              <w:jc w:val="both"/>
              <w:rPr>
                <w:sz w:val="22"/>
                <w:szCs w:val="22"/>
              </w:rPr>
            </w:pPr>
          </w:p>
        </w:tc>
      </w:tr>
    </w:tbl>
    <w:p w:rsidR="00BF0382" w:rsidRDefault="00BF0382" w:rsidP="00BF0382">
      <w:pPr>
        <w:jc w:val="both"/>
      </w:pPr>
    </w:p>
    <w:p w:rsidR="00BF0382" w:rsidRDefault="00BF0382" w:rsidP="00BF0382">
      <w:pPr>
        <w:jc w:val="both"/>
      </w:pPr>
    </w:p>
    <w:p w:rsidR="00BF0382" w:rsidRPr="008D6A99" w:rsidRDefault="00BF0382" w:rsidP="00BF0382">
      <w:pPr>
        <w:jc w:val="both"/>
        <w:outlineLvl w:val="0"/>
        <w:rPr>
          <w:b/>
          <w:lang w:val="en-GB"/>
        </w:rPr>
      </w:pPr>
      <w:bookmarkStart w:id="852" w:name="_Toc403040982"/>
      <w:bookmarkStart w:id="853" w:name="_Toc425522095"/>
      <w:bookmarkStart w:id="854" w:name="_Toc432666108"/>
      <w:bookmarkStart w:id="855" w:name="_Toc437520304"/>
      <w:r w:rsidRPr="008D6A99">
        <w:rPr>
          <w:b/>
          <w:lang w:val="en-GB"/>
        </w:rPr>
        <w:t>Annex 1b:</w:t>
      </w:r>
      <w:r w:rsidRPr="008D6A99">
        <w:rPr>
          <w:b/>
          <w:lang w:val="en-GB"/>
        </w:rPr>
        <w:tab/>
        <w:t>List of Impact Types</w:t>
      </w:r>
      <w:bookmarkEnd w:id="852"/>
      <w:bookmarkEnd w:id="853"/>
      <w:r w:rsidRPr="008D6A99">
        <w:rPr>
          <w:b/>
          <w:lang w:val="en-GB"/>
        </w:rPr>
        <w:t xml:space="preserve"> (SignificantImpactType_Enum)</w:t>
      </w:r>
      <w:bookmarkEnd w:id="854"/>
      <w:bookmarkEnd w:id="855"/>
    </w:p>
    <w:tbl>
      <w:tblPr>
        <w:tblW w:w="4745" w:type="pct"/>
        <w:tblInd w:w="113" w:type="dxa"/>
        <w:tblLook w:val="04A0" w:firstRow="1" w:lastRow="0" w:firstColumn="1" w:lastColumn="0" w:noHBand="0" w:noVBand="1"/>
      </w:tblPr>
      <w:tblGrid>
        <w:gridCol w:w="6232"/>
        <w:gridCol w:w="1560"/>
        <w:gridCol w:w="1558"/>
      </w:tblGrid>
      <w:tr w:rsidR="00BF0382" w:rsidTr="00BB474C">
        <w:trPr>
          <w:trHeight w:val="300"/>
        </w:trPr>
        <w:tc>
          <w:tcPr>
            <w:tcW w:w="623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Impact type</w:t>
            </w:r>
          </w:p>
        </w:tc>
        <w:tc>
          <w:tcPr>
            <w:tcW w:w="1560" w:type="dxa"/>
            <w:tcBorders>
              <w:top w:val="single" w:sz="4" w:space="0" w:color="auto"/>
              <w:left w:val="single" w:sz="4" w:space="0" w:color="auto"/>
              <w:bottom w:val="single" w:sz="4" w:space="0" w:color="auto"/>
              <w:right w:val="single" w:sz="4" w:space="0" w:color="auto"/>
            </w:tcBorders>
            <w:shd w:val="clear" w:color="000000" w:fill="E7E6E6"/>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SW</w:t>
            </w:r>
          </w:p>
        </w:tc>
        <w:tc>
          <w:tcPr>
            <w:tcW w:w="1558" w:type="dxa"/>
            <w:tcBorders>
              <w:top w:val="single" w:sz="4" w:space="0" w:color="auto"/>
              <w:left w:val="single" w:sz="4" w:space="0" w:color="auto"/>
              <w:bottom w:val="single" w:sz="4" w:space="0" w:color="auto"/>
              <w:right w:val="single" w:sz="4" w:space="0" w:color="auto"/>
            </w:tcBorders>
            <w:shd w:val="clear" w:color="000000" w:fill="E7E6E6"/>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GW</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ACID - Acidification</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CHEM - Chemical pollution</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ECOS - Damage to groundwater-dependent terrestrial ecosystems for chemical / quantitative reasons</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Pr="00986238" w:rsidRDefault="00BF0382" w:rsidP="00BB474C">
            <w:pPr>
              <w:spacing w:after="0"/>
              <w:jc w:val="both"/>
              <w:rPr>
                <w:rFonts w:ascii="Calibri" w:hAnsi="Calibri" w:cs="Calibri"/>
                <w:color w:val="000000"/>
                <w:sz w:val="22"/>
                <w:szCs w:val="22"/>
                <w:lang w:val="en-US" w:eastAsia="en-GB"/>
              </w:rPr>
            </w:pPr>
            <w:r w:rsidRPr="00986238">
              <w:rPr>
                <w:rFonts w:ascii="Calibri" w:hAnsi="Calibri" w:cs="Calibri"/>
                <w:color w:val="000000"/>
                <w:sz w:val="22"/>
                <w:szCs w:val="22"/>
                <w:lang w:val="en-US" w:eastAsia="en-GB"/>
              </w:rPr>
              <w:t>HHYC - Altered habitats due to hydrological changes</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HMOC - Altered habitats due to morphological changes (includes connectivity)</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Pr="00D95552" w:rsidRDefault="00BF0382" w:rsidP="00BB474C">
            <w:pPr>
              <w:spacing w:after="0"/>
              <w:jc w:val="both"/>
              <w:rPr>
                <w:rFonts w:ascii="Calibri" w:hAnsi="Calibri" w:cs="Calibri"/>
                <w:color w:val="000000"/>
                <w:sz w:val="22"/>
                <w:szCs w:val="22"/>
                <w:lang w:val="en-GB" w:eastAsia="en-GB"/>
              </w:rPr>
            </w:pPr>
            <w:r w:rsidRPr="00D95552">
              <w:rPr>
                <w:rFonts w:ascii="Calibri" w:hAnsi="Calibri" w:cs="Calibri"/>
                <w:color w:val="000000"/>
                <w:sz w:val="22"/>
                <w:szCs w:val="22"/>
                <w:lang w:val="en-GB" w:eastAsia="en-GB"/>
              </w:rPr>
              <w:t>INTR - Alterations in flow directions resulting in saltwater intrusion</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LITT - Litter (an impact under the MSFD)</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LOWT - Abstraction exceeds available groundwater resource (lowering water table)</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 - Microbiological pollution</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NOSI - No significant impact</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NOTA - Not applicable (Territorial Waters)</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(only for TeW)</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NUTR - Nutrient pollution</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ORGA - Organic pollution</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OTHE - Other significant impact type</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QUAL - Diminution of quality of associated surface waters for chemical / quantitative reasons</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SALI - Saline pollution/intrusion</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TEMP - Elevated temperatures</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BF0382" w:rsidTr="00BB474C">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UNKN - Unknown impact type</w:t>
            </w:r>
          </w:p>
        </w:tc>
        <w:tc>
          <w:tcPr>
            <w:tcW w:w="1560"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bl>
    <w:p w:rsidR="00BF0382" w:rsidRPr="00986238" w:rsidRDefault="00BF0382" w:rsidP="00BF0382">
      <w:pPr>
        <w:pageBreakBefore/>
        <w:jc w:val="both"/>
        <w:outlineLvl w:val="0"/>
        <w:rPr>
          <w:b/>
          <w:lang w:val="en-US"/>
        </w:rPr>
      </w:pPr>
      <w:bookmarkStart w:id="856" w:name="_Toc432666109"/>
      <w:bookmarkStart w:id="857" w:name="_Toc437520305"/>
      <w:r w:rsidRPr="00986238">
        <w:rPr>
          <w:b/>
          <w:lang w:val="en-US"/>
        </w:rPr>
        <w:t>Annex 1c:</w:t>
      </w:r>
      <w:r w:rsidRPr="00986238">
        <w:rPr>
          <w:b/>
          <w:lang w:val="en-US"/>
        </w:rPr>
        <w:tab/>
        <w:t>List of Drivers (Driver_Enum)</w:t>
      </w:r>
      <w:bookmarkEnd w:id="856"/>
      <w:bookmarkEnd w:id="857"/>
      <w:r w:rsidRPr="00986238">
        <w:rPr>
          <w:b/>
          <w:lang w:val="en-US"/>
        </w:rPr>
        <w:t xml:space="preserve"> </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6789"/>
      </w:tblGrid>
      <w:tr w:rsidR="00BF0382" w:rsidTr="00BB474C">
        <w:trPr>
          <w:tblHeader/>
        </w:trPr>
        <w:tc>
          <w:tcPr>
            <w:tcW w:w="2644" w:type="dxa"/>
            <w:shd w:val="clear" w:color="auto" w:fill="D9D9D9" w:themeFill="background1" w:themeFillShade="D9"/>
          </w:tcPr>
          <w:p w:rsidR="00BF0382" w:rsidRDefault="00BF0382" w:rsidP="00BB474C">
            <w:pPr>
              <w:spacing w:after="0"/>
              <w:jc w:val="both"/>
              <w:rPr>
                <w:b/>
                <w:sz w:val="22"/>
                <w:szCs w:val="22"/>
              </w:rPr>
            </w:pPr>
            <w:r>
              <w:rPr>
                <w:b/>
                <w:sz w:val="22"/>
                <w:szCs w:val="22"/>
              </w:rPr>
              <w:t>Driver</w:t>
            </w:r>
          </w:p>
        </w:tc>
        <w:tc>
          <w:tcPr>
            <w:tcW w:w="6789" w:type="dxa"/>
            <w:shd w:val="clear" w:color="auto" w:fill="D9D9D9" w:themeFill="background1" w:themeFillShade="D9"/>
          </w:tcPr>
          <w:p w:rsidR="00BF0382" w:rsidRDefault="00BF0382" w:rsidP="00BB474C">
            <w:pPr>
              <w:spacing w:after="0"/>
              <w:jc w:val="both"/>
              <w:rPr>
                <w:b/>
                <w:sz w:val="22"/>
                <w:szCs w:val="22"/>
              </w:rPr>
            </w:pPr>
            <w:r>
              <w:rPr>
                <w:b/>
                <w:sz w:val="22"/>
                <w:szCs w:val="22"/>
              </w:rPr>
              <w:t>Description</w:t>
            </w:r>
          </w:p>
        </w:tc>
      </w:tr>
      <w:tr w:rsidR="00BF0382" w:rsidRPr="00D95552" w:rsidTr="00BB474C">
        <w:tc>
          <w:tcPr>
            <w:tcW w:w="2644" w:type="dxa"/>
            <w:shd w:val="clear" w:color="auto" w:fill="auto"/>
          </w:tcPr>
          <w:p w:rsidR="00BF0382" w:rsidRDefault="00BF0382" w:rsidP="00BB474C">
            <w:pPr>
              <w:spacing w:after="0"/>
              <w:jc w:val="both"/>
              <w:rPr>
                <w:sz w:val="22"/>
                <w:szCs w:val="22"/>
              </w:rPr>
            </w:pPr>
            <w:r>
              <w:rPr>
                <w:sz w:val="22"/>
                <w:szCs w:val="22"/>
              </w:rPr>
              <w:t>Agriculture</w:t>
            </w:r>
          </w:p>
        </w:tc>
        <w:tc>
          <w:tcPr>
            <w:tcW w:w="6789" w:type="dxa"/>
            <w:shd w:val="clear" w:color="auto" w:fill="auto"/>
          </w:tcPr>
          <w:p w:rsidR="00BF0382" w:rsidRPr="008D6A99" w:rsidRDefault="00BF0382" w:rsidP="00BB474C">
            <w:pPr>
              <w:spacing w:after="0"/>
              <w:jc w:val="both"/>
              <w:rPr>
                <w:sz w:val="22"/>
                <w:szCs w:val="22"/>
                <w:lang w:val="en-GB"/>
              </w:rPr>
            </w:pPr>
            <w:r w:rsidRPr="008D6A99">
              <w:rPr>
                <w:sz w:val="22"/>
                <w:szCs w:val="22"/>
                <w:lang w:val="en-GB"/>
              </w:rPr>
              <w:t xml:space="preserve">Includes all farming activities, agriculture and livestock </w:t>
            </w:r>
          </w:p>
        </w:tc>
      </w:tr>
      <w:tr w:rsidR="00BF0382" w:rsidTr="00BB474C">
        <w:tc>
          <w:tcPr>
            <w:tcW w:w="2644" w:type="dxa"/>
            <w:shd w:val="clear" w:color="auto" w:fill="auto"/>
          </w:tcPr>
          <w:p w:rsidR="00BF0382" w:rsidRDefault="00BF0382" w:rsidP="00BB474C">
            <w:pPr>
              <w:spacing w:after="0"/>
              <w:jc w:val="both"/>
              <w:rPr>
                <w:sz w:val="22"/>
                <w:szCs w:val="22"/>
              </w:rPr>
            </w:pPr>
            <w:r>
              <w:rPr>
                <w:sz w:val="22"/>
                <w:szCs w:val="22"/>
              </w:rPr>
              <w:t>Climate change</w:t>
            </w:r>
          </w:p>
        </w:tc>
        <w:tc>
          <w:tcPr>
            <w:tcW w:w="6789" w:type="dxa"/>
            <w:shd w:val="clear" w:color="auto" w:fill="auto"/>
          </w:tcPr>
          <w:p w:rsidR="00BF0382" w:rsidRDefault="00BF0382" w:rsidP="00BB474C">
            <w:pPr>
              <w:spacing w:after="0"/>
              <w:jc w:val="both"/>
              <w:rPr>
                <w:sz w:val="22"/>
                <w:szCs w:val="22"/>
              </w:rPr>
            </w:pPr>
          </w:p>
        </w:tc>
      </w:tr>
      <w:tr w:rsidR="00BF0382" w:rsidTr="00BB474C">
        <w:tc>
          <w:tcPr>
            <w:tcW w:w="2644" w:type="dxa"/>
            <w:shd w:val="clear" w:color="auto" w:fill="auto"/>
          </w:tcPr>
          <w:p w:rsidR="00BF0382" w:rsidRDefault="00BF0382" w:rsidP="00BB474C">
            <w:pPr>
              <w:spacing w:after="0"/>
              <w:jc w:val="both"/>
              <w:rPr>
                <w:sz w:val="22"/>
                <w:szCs w:val="22"/>
              </w:rPr>
            </w:pPr>
            <w:r>
              <w:rPr>
                <w:sz w:val="22"/>
                <w:szCs w:val="22"/>
              </w:rPr>
              <w:t xml:space="preserve">Energy – hydropower </w:t>
            </w:r>
          </w:p>
        </w:tc>
        <w:tc>
          <w:tcPr>
            <w:tcW w:w="6789" w:type="dxa"/>
            <w:shd w:val="clear" w:color="auto" w:fill="auto"/>
          </w:tcPr>
          <w:p w:rsidR="00BF0382" w:rsidRDefault="00BF0382" w:rsidP="00BB474C">
            <w:pPr>
              <w:spacing w:after="0"/>
              <w:jc w:val="both"/>
              <w:rPr>
                <w:sz w:val="22"/>
                <w:szCs w:val="22"/>
              </w:rPr>
            </w:pPr>
          </w:p>
        </w:tc>
      </w:tr>
      <w:tr w:rsidR="00BF0382" w:rsidRPr="00D95552" w:rsidTr="00BB474C">
        <w:tc>
          <w:tcPr>
            <w:tcW w:w="2644" w:type="dxa"/>
            <w:shd w:val="clear" w:color="auto" w:fill="auto"/>
          </w:tcPr>
          <w:p w:rsidR="00BF0382" w:rsidRDefault="00BF0382" w:rsidP="00BB474C">
            <w:pPr>
              <w:spacing w:after="0"/>
              <w:jc w:val="both"/>
              <w:rPr>
                <w:sz w:val="22"/>
                <w:szCs w:val="22"/>
              </w:rPr>
            </w:pPr>
            <w:r>
              <w:rPr>
                <w:sz w:val="22"/>
                <w:szCs w:val="22"/>
              </w:rPr>
              <w:t>Energy – non-hydropower</w:t>
            </w:r>
          </w:p>
        </w:tc>
        <w:tc>
          <w:tcPr>
            <w:tcW w:w="6789" w:type="dxa"/>
            <w:shd w:val="clear" w:color="auto" w:fill="auto"/>
          </w:tcPr>
          <w:p w:rsidR="00BF0382" w:rsidRPr="008D6A99" w:rsidRDefault="00BF0382" w:rsidP="00BB474C">
            <w:pPr>
              <w:spacing w:after="0"/>
              <w:jc w:val="both"/>
              <w:rPr>
                <w:sz w:val="22"/>
                <w:szCs w:val="22"/>
                <w:lang w:val="en-GB"/>
              </w:rPr>
            </w:pPr>
            <w:r w:rsidRPr="008D6A99">
              <w:rPr>
                <w:sz w:val="22"/>
                <w:szCs w:val="22"/>
                <w:lang w:val="en-GB"/>
              </w:rPr>
              <w:t>Including cooling activities for thermal and nuclear plants</w:t>
            </w:r>
          </w:p>
        </w:tc>
      </w:tr>
      <w:tr w:rsidR="00BF0382" w:rsidRPr="00D95552" w:rsidTr="00BB474C">
        <w:tc>
          <w:tcPr>
            <w:tcW w:w="2644" w:type="dxa"/>
            <w:shd w:val="clear" w:color="auto" w:fill="auto"/>
          </w:tcPr>
          <w:p w:rsidR="00BF0382" w:rsidRDefault="00BF0382" w:rsidP="00BB474C">
            <w:pPr>
              <w:spacing w:after="0"/>
              <w:jc w:val="both"/>
              <w:rPr>
                <w:sz w:val="22"/>
                <w:szCs w:val="22"/>
              </w:rPr>
            </w:pPr>
            <w:r>
              <w:rPr>
                <w:sz w:val="22"/>
                <w:szCs w:val="22"/>
              </w:rPr>
              <w:t>Fisheries and aquaculture</w:t>
            </w:r>
          </w:p>
        </w:tc>
        <w:tc>
          <w:tcPr>
            <w:tcW w:w="6789" w:type="dxa"/>
            <w:shd w:val="clear" w:color="auto" w:fill="auto"/>
          </w:tcPr>
          <w:p w:rsidR="00BF0382" w:rsidRPr="008D6A99" w:rsidRDefault="00BF0382" w:rsidP="00BB474C">
            <w:pPr>
              <w:spacing w:after="0"/>
              <w:jc w:val="both"/>
              <w:rPr>
                <w:sz w:val="22"/>
                <w:szCs w:val="22"/>
                <w:lang w:val="en-GB"/>
              </w:rPr>
            </w:pPr>
            <w:r w:rsidRPr="008D6A99">
              <w:rPr>
                <w:sz w:val="22"/>
                <w:szCs w:val="22"/>
                <w:lang w:val="en-GB"/>
              </w:rPr>
              <w:t>Commercial fishing and aquaculture (not recreational or sports angling, included in category ‘Tourism and recreation’ below)</w:t>
            </w:r>
          </w:p>
        </w:tc>
      </w:tr>
      <w:tr w:rsidR="00BF0382" w:rsidTr="00BB474C">
        <w:tc>
          <w:tcPr>
            <w:tcW w:w="2644" w:type="dxa"/>
            <w:shd w:val="clear" w:color="auto" w:fill="auto"/>
          </w:tcPr>
          <w:p w:rsidR="00BF0382" w:rsidRDefault="00BF0382" w:rsidP="00BB474C">
            <w:pPr>
              <w:spacing w:after="0"/>
              <w:jc w:val="both"/>
              <w:rPr>
                <w:sz w:val="22"/>
                <w:szCs w:val="22"/>
              </w:rPr>
            </w:pPr>
            <w:r>
              <w:rPr>
                <w:sz w:val="22"/>
                <w:szCs w:val="22"/>
              </w:rPr>
              <w:t>Flood protection</w:t>
            </w:r>
          </w:p>
        </w:tc>
        <w:tc>
          <w:tcPr>
            <w:tcW w:w="6789" w:type="dxa"/>
            <w:shd w:val="clear" w:color="auto" w:fill="auto"/>
          </w:tcPr>
          <w:p w:rsidR="00BF0382" w:rsidRDefault="00BF0382" w:rsidP="00BB474C">
            <w:pPr>
              <w:spacing w:after="0"/>
              <w:jc w:val="both"/>
              <w:rPr>
                <w:sz w:val="22"/>
                <w:szCs w:val="22"/>
              </w:rPr>
            </w:pPr>
          </w:p>
        </w:tc>
      </w:tr>
      <w:tr w:rsidR="00BF0382" w:rsidTr="00BB474C">
        <w:tc>
          <w:tcPr>
            <w:tcW w:w="2644" w:type="dxa"/>
            <w:shd w:val="clear" w:color="auto" w:fill="auto"/>
          </w:tcPr>
          <w:p w:rsidR="00BF0382" w:rsidRDefault="00BF0382" w:rsidP="00BB474C">
            <w:pPr>
              <w:spacing w:after="0"/>
              <w:jc w:val="both"/>
              <w:rPr>
                <w:sz w:val="22"/>
                <w:szCs w:val="22"/>
              </w:rPr>
            </w:pPr>
            <w:r>
              <w:rPr>
                <w:sz w:val="22"/>
                <w:szCs w:val="22"/>
              </w:rPr>
              <w:t>Forestry</w:t>
            </w:r>
          </w:p>
        </w:tc>
        <w:tc>
          <w:tcPr>
            <w:tcW w:w="6789" w:type="dxa"/>
            <w:shd w:val="clear" w:color="auto" w:fill="auto"/>
          </w:tcPr>
          <w:p w:rsidR="00BF0382" w:rsidRDefault="00BF0382" w:rsidP="00BB474C">
            <w:pPr>
              <w:spacing w:after="0"/>
              <w:jc w:val="both"/>
              <w:rPr>
                <w:sz w:val="22"/>
                <w:szCs w:val="22"/>
              </w:rPr>
            </w:pPr>
          </w:p>
        </w:tc>
      </w:tr>
      <w:tr w:rsidR="00BF0382" w:rsidRPr="00D95552" w:rsidTr="00BB474C">
        <w:tc>
          <w:tcPr>
            <w:tcW w:w="2644" w:type="dxa"/>
            <w:shd w:val="clear" w:color="auto" w:fill="auto"/>
          </w:tcPr>
          <w:p w:rsidR="00BF0382" w:rsidRDefault="00BF0382" w:rsidP="00BB474C">
            <w:pPr>
              <w:spacing w:after="0"/>
              <w:jc w:val="both"/>
              <w:rPr>
                <w:sz w:val="22"/>
                <w:szCs w:val="22"/>
              </w:rPr>
            </w:pPr>
            <w:r>
              <w:rPr>
                <w:sz w:val="22"/>
                <w:szCs w:val="22"/>
              </w:rPr>
              <w:t>Industry</w:t>
            </w:r>
          </w:p>
        </w:tc>
        <w:tc>
          <w:tcPr>
            <w:tcW w:w="6789" w:type="dxa"/>
            <w:shd w:val="clear" w:color="auto" w:fill="auto"/>
          </w:tcPr>
          <w:p w:rsidR="00BF0382" w:rsidRPr="008D6A99" w:rsidRDefault="00BF0382" w:rsidP="00BB474C">
            <w:pPr>
              <w:spacing w:after="0"/>
              <w:jc w:val="both"/>
              <w:rPr>
                <w:sz w:val="22"/>
                <w:szCs w:val="22"/>
                <w:lang w:val="en-GB"/>
              </w:rPr>
            </w:pPr>
            <w:r w:rsidRPr="008D6A99">
              <w:rPr>
                <w:sz w:val="22"/>
                <w:szCs w:val="22"/>
                <w:lang w:val="en-GB"/>
              </w:rPr>
              <w:t>All kinds of industry not included under other categories</w:t>
            </w:r>
          </w:p>
        </w:tc>
      </w:tr>
      <w:tr w:rsidR="00BF0382" w:rsidRPr="00D95552" w:rsidTr="00BB474C">
        <w:tc>
          <w:tcPr>
            <w:tcW w:w="2644" w:type="dxa"/>
            <w:shd w:val="clear" w:color="auto" w:fill="auto"/>
          </w:tcPr>
          <w:p w:rsidR="00BF0382" w:rsidRDefault="00BF0382" w:rsidP="00BB474C">
            <w:pPr>
              <w:spacing w:after="0"/>
              <w:jc w:val="both"/>
              <w:rPr>
                <w:sz w:val="22"/>
                <w:szCs w:val="22"/>
              </w:rPr>
            </w:pPr>
            <w:r>
              <w:rPr>
                <w:sz w:val="22"/>
                <w:szCs w:val="22"/>
              </w:rPr>
              <w:t>Tourism and recreation</w:t>
            </w:r>
          </w:p>
        </w:tc>
        <w:tc>
          <w:tcPr>
            <w:tcW w:w="6789" w:type="dxa"/>
            <w:shd w:val="clear" w:color="auto" w:fill="auto"/>
          </w:tcPr>
          <w:p w:rsidR="00BF0382" w:rsidRPr="008D6A99" w:rsidRDefault="00BF0382" w:rsidP="00BB474C">
            <w:pPr>
              <w:spacing w:after="0"/>
              <w:jc w:val="both"/>
              <w:rPr>
                <w:sz w:val="22"/>
                <w:szCs w:val="22"/>
                <w:lang w:val="en-GB"/>
              </w:rPr>
            </w:pPr>
            <w:r w:rsidRPr="008D6A99">
              <w:rPr>
                <w:sz w:val="22"/>
                <w:szCs w:val="22"/>
                <w:lang w:val="en-GB"/>
              </w:rPr>
              <w:t>Includes bathing, leisure boating and sailing, sports fishing/angling. It does not include the urban development linked to tourism (under category ‘Urban development’).</w:t>
            </w:r>
          </w:p>
        </w:tc>
      </w:tr>
      <w:tr w:rsidR="00BF0382" w:rsidRPr="00D95552" w:rsidTr="00BB474C">
        <w:tc>
          <w:tcPr>
            <w:tcW w:w="2644" w:type="dxa"/>
            <w:shd w:val="clear" w:color="auto" w:fill="auto"/>
          </w:tcPr>
          <w:p w:rsidR="00BF0382" w:rsidRDefault="00BF0382" w:rsidP="00BB474C">
            <w:pPr>
              <w:spacing w:after="0"/>
              <w:jc w:val="both"/>
              <w:rPr>
                <w:sz w:val="22"/>
                <w:szCs w:val="22"/>
              </w:rPr>
            </w:pPr>
            <w:r>
              <w:rPr>
                <w:sz w:val="22"/>
                <w:szCs w:val="22"/>
              </w:rPr>
              <w:t>Transport</w:t>
            </w:r>
          </w:p>
        </w:tc>
        <w:tc>
          <w:tcPr>
            <w:tcW w:w="6789" w:type="dxa"/>
            <w:shd w:val="clear" w:color="auto" w:fill="auto"/>
          </w:tcPr>
          <w:p w:rsidR="00BF0382" w:rsidRPr="008D6A99" w:rsidRDefault="00BF0382" w:rsidP="00BB474C">
            <w:pPr>
              <w:spacing w:after="0"/>
              <w:jc w:val="both"/>
              <w:rPr>
                <w:sz w:val="22"/>
                <w:szCs w:val="22"/>
                <w:lang w:val="en-GB"/>
              </w:rPr>
            </w:pPr>
            <w:r w:rsidRPr="008D6A99">
              <w:rPr>
                <w:sz w:val="22"/>
                <w:szCs w:val="22"/>
                <w:lang w:val="en-GB"/>
              </w:rPr>
              <w:t>Road and rail traffic, shipping, aviation</w:t>
            </w:r>
          </w:p>
        </w:tc>
      </w:tr>
      <w:tr w:rsidR="00BF0382" w:rsidRPr="00D95552" w:rsidTr="00BB474C">
        <w:tc>
          <w:tcPr>
            <w:tcW w:w="2644" w:type="dxa"/>
            <w:shd w:val="clear" w:color="auto" w:fill="auto"/>
          </w:tcPr>
          <w:p w:rsidR="00BF0382" w:rsidRDefault="00BF0382" w:rsidP="00BB474C">
            <w:pPr>
              <w:spacing w:after="0"/>
              <w:jc w:val="both"/>
              <w:rPr>
                <w:sz w:val="22"/>
                <w:szCs w:val="22"/>
              </w:rPr>
            </w:pPr>
            <w:r>
              <w:rPr>
                <w:sz w:val="22"/>
                <w:szCs w:val="22"/>
              </w:rPr>
              <w:t xml:space="preserve">Urban development </w:t>
            </w:r>
          </w:p>
        </w:tc>
        <w:tc>
          <w:tcPr>
            <w:tcW w:w="6789" w:type="dxa"/>
            <w:shd w:val="clear" w:color="auto" w:fill="auto"/>
          </w:tcPr>
          <w:p w:rsidR="00BF0382" w:rsidRPr="008D6A99" w:rsidRDefault="00BF0382" w:rsidP="00BB474C">
            <w:pPr>
              <w:spacing w:after="0"/>
              <w:jc w:val="both"/>
              <w:rPr>
                <w:sz w:val="22"/>
                <w:szCs w:val="22"/>
                <w:lang w:val="en-GB"/>
              </w:rPr>
            </w:pPr>
            <w:r w:rsidRPr="008D6A99">
              <w:rPr>
                <w:sz w:val="22"/>
                <w:szCs w:val="22"/>
                <w:lang w:val="en-GB"/>
              </w:rPr>
              <w:t xml:space="preserve">Includes urban development linked to household, non-manufacturing commercial activities, tourism. </w:t>
            </w:r>
          </w:p>
        </w:tc>
      </w:tr>
      <w:tr w:rsidR="00BF0382" w:rsidTr="00BB474C">
        <w:tc>
          <w:tcPr>
            <w:tcW w:w="2644" w:type="dxa"/>
            <w:shd w:val="clear" w:color="auto" w:fill="auto"/>
          </w:tcPr>
          <w:p w:rsidR="00BF0382" w:rsidRDefault="00BF0382" w:rsidP="00BB474C">
            <w:pPr>
              <w:spacing w:after="0"/>
              <w:jc w:val="both"/>
              <w:rPr>
                <w:sz w:val="22"/>
                <w:szCs w:val="22"/>
              </w:rPr>
            </w:pPr>
            <w:r>
              <w:rPr>
                <w:sz w:val="22"/>
                <w:szCs w:val="22"/>
              </w:rPr>
              <w:t>Unknown - other</w:t>
            </w:r>
          </w:p>
        </w:tc>
        <w:tc>
          <w:tcPr>
            <w:tcW w:w="6789" w:type="dxa"/>
            <w:shd w:val="clear" w:color="auto" w:fill="auto"/>
          </w:tcPr>
          <w:p w:rsidR="00BF0382" w:rsidRDefault="00BF0382" w:rsidP="00BB474C">
            <w:pPr>
              <w:spacing w:after="0"/>
              <w:jc w:val="both"/>
              <w:rPr>
                <w:sz w:val="22"/>
                <w:szCs w:val="22"/>
              </w:rPr>
            </w:pPr>
            <w:r>
              <w:rPr>
                <w:sz w:val="22"/>
                <w:szCs w:val="22"/>
              </w:rPr>
              <w:t>Driver is unknown</w:t>
            </w:r>
          </w:p>
        </w:tc>
      </w:tr>
    </w:tbl>
    <w:p w:rsidR="00BF0382" w:rsidRDefault="00BF0382" w:rsidP="00BF0382">
      <w:pPr>
        <w:jc w:val="both"/>
      </w:pPr>
    </w:p>
    <w:p w:rsidR="00BF0382" w:rsidRDefault="00BF0382" w:rsidP="00BF0382">
      <w:pPr>
        <w:jc w:val="both"/>
        <w:sectPr w:rsidR="00BF0382" w:rsidSect="00BF0382">
          <w:footerReference w:type="default" r:id="rId32"/>
          <w:headerReference w:type="first" r:id="rId33"/>
          <w:footerReference w:type="first" r:id="rId34"/>
          <w:type w:val="continuous"/>
          <w:pgSz w:w="11906" w:h="16838"/>
          <w:pgMar w:top="1021" w:right="851" w:bottom="1021" w:left="1418" w:header="601" w:footer="1077" w:gutter="0"/>
          <w:cols w:space="720"/>
          <w:docGrid w:linePitch="326"/>
        </w:sectPr>
      </w:pPr>
    </w:p>
    <w:p w:rsidR="00BF0382" w:rsidRPr="008D6A99" w:rsidRDefault="00BF0382" w:rsidP="00BF0382">
      <w:pPr>
        <w:jc w:val="both"/>
        <w:outlineLvl w:val="0"/>
        <w:rPr>
          <w:b/>
          <w:lang w:val="en-GB"/>
        </w:rPr>
      </w:pPr>
      <w:bookmarkStart w:id="858" w:name="_Toc403040983"/>
      <w:bookmarkStart w:id="859" w:name="_Toc425522096"/>
      <w:bookmarkStart w:id="860" w:name="_Toc432666110"/>
      <w:bookmarkStart w:id="861" w:name="_Toc437520306"/>
      <w:r w:rsidRPr="008D6A99">
        <w:rPr>
          <w:b/>
          <w:lang w:val="en-GB"/>
        </w:rPr>
        <w:t>Annex 2: Table of Abstraction Pressures in the Context of Water Availability</w:t>
      </w:r>
      <w:bookmarkEnd w:id="858"/>
      <w:bookmarkEnd w:id="859"/>
      <w:bookmarkEnd w:id="860"/>
      <w:bookmarkEnd w:id="861"/>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8"/>
        <w:gridCol w:w="1872"/>
        <w:gridCol w:w="3375"/>
        <w:gridCol w:w="6223"/>
      </w:tblGrid>
      <w:tr w:rsidR="00BF0382" w:rsidRPr="00D95552" w:rsidTr="00BB474C">
        <w:tc>
          <w:tcPr>
            <w:tcW w:w="969" w:type="pct"/>
            <w:shd w:val="clear" w:color="auto" w:fill="F2F2F2"/>
          </w:tcPr>
          <w:p w:rsidR="00BF0382" w:rsidRDefault="00BF0382" w:rsidP="00BB474C">
            <w:pPr>
              <w:spacing w:after="0"/>
              <w:jc w:val="both"/>
              <w:rPr>
                <w:b/>
                <w:bCs/>
                <w:i/>
                <w:color w:val="000000"/>
                <w:szCs w:val="24"/>
                <w:lang w:eastAsia="en-GB"/>
              </w:rPr>
            </w:pPr>
            <w:r>
              <w:rPr>
                <w:b/>
                <w:bCs/>
                <w:i/>
                <w:color w:val="000000"/>
                <w:szCs w:val="24"/>
                <w:lang w:eastAsia="en-GB"/>
              </w:rPr>
              <w:t>WFD list of pressures</w:t>
            </w:r>
          </w:p>
        </w:tc>
        <w:tc>
          <w:tcPr>
            <w:tcW w:w="658" w:type="pct"/>
            <w:shd w:val="clear" w:color="auto" w:fill="F2F2F2"/>
          </w:tcPr>
          <w:p w:rsidR="00BF0382" w:rsidRDefault="00BF0382" w:rsidP="00BB474C">
            <w:pPr>
              <w:spacing w:after="0"/>
              <w:jc w:val="both"/>
              <w:rPr>
                <w:i/>
                <w:color w:val="000000"/>
                <w:szCs w:val="24"/>
                <w:lang w:eastAsia="en-GB"/>
              </w:rPr>
            </w:pPr>
            <w:r>
              <w:rPr>
                <w:i/>
                <w:color w:val="000000"/>
                <w:szCs w:val="24"/>
                <w:lang w:eastAsia="en-GB"/>
              </w:rPr>
              <w:t>driver</w:t>
            </w:r>
          </w:p>
        </w:tc>
        <w:tc>
          <w:tcPr>
            <w:tcW w:w="1186" w:type="pct"/>
            <w:shd w:val="clear" w:color="auto" w:fill="F2F2F2"/>
          </w:tcPr>
          <w:p w:rsidR="00BF0382" w:rsidRDefault="00BF0382" w:rsidP="00BB474C">
            <w:pPr>
              <w:spacing w:after="0"/>
              <w:jc w:val="both"/>
              <w:rPr>
                <w:i/>
                <w:color w:val="000000"/>
                <w:szCs w:val="24"/>
                <w:lang w:eastAsia="en-GB"/>
              </w:rPr>
            </w:pPr>
            <w:r>
              <w:rPr>
                <w:i/>
                <w:color w:val="000000"/>
                <w:szCs w:val="24"/>
                <w:lang w:eastAsia="en-GB"/>
              </w:rPr>
              <w:t>specification of pressure</w:t>
            </w:r>
          </w:p>
        </w:tc>
        <w:tc>
          <w:tcPr>
            <w:tcW w:w="2187" w:type="pct"/>
            <w:shd w:val="clear" w:color="auto" w:fill="F2F2F2"/>
          </w:tcPr>
          <w:p w:rsidR="00BF0382" w:rsidRPr="008D6A99" w:rsidRDefault="00BF0382" w:rsidP="00BB474C">
            <w:pPr>
              <w:tabs>
                <w:tab w:val="left" w:pos="217"/>
              </w:tabs>
              <w:spacing w:after="0"/>
              <w:jc w:val="both"/>
              <w:rPr>
                <w:i/>
                <w:color w:val="000000"/>
                <w:szCs w:val="24"/>
                <w:lang w:val="en-GB" w:eastAsia="en-GB"/>
              </w:rPr>
            </w:pPr>
            <w:r w:rsidRPr="008D6A99">
              <w:rPr>
                <w:i/>
                <w:color w:val="000000"/>
                <w:szCs w:val="24"/>
                <w:lang w:val="en-GB" w:eastAsia="en-GB"/>
              </w:rPr>
              <w:t>NACE classes or equivalent in the statistical and SoE reporting</w:t>
            </w:r>
          </w:p>
        </w:tc>
      </w:tr>
      <w:tr w:rsidR="00BF0382" w:rsidTr="00BB474C">
        <w:tc>
          <w:tcPr>
            <w:tcW w:w="969" w:type="pct"/>
          </w:tcPr>
          <w:p w:rsidR="00BF0382" w:rsidRDefault="00BF0382" w:rsidP="00BB474C">
            <w:pPr>
              <w:spacing w:after="0"/>
              <w:jc w:val="both"/>
              <w:rPr>
                <w:b/>
                <w:bCs/>
                <w:color w:val="000000"/>
                <w:szCs w:val="24"/>
                <w:lang w:eastAsia="en-GB"/>
              </w:rPr>
            </w:pPr>
            <w:r>
              <w:rPr>
                <w:b/>
                <w:bCs/>
                <w:color w:val="000000"/>
                <w:szCs w:val="24"/>
                <w:lang w:eastAsia="en-GB"/>
              </w:rPr>
              <w:t xml:space="preserve">3.1 - Abstraction or flow diversion – Agriculture </w:t>
            </w:r>
          </w:p>
        </w:tc>
        <w:tc>
          <w:tcPr>
            <w:tcW w:w="658" w:type="pct"/>
          </w:tcPr>
          <w:p w:rsidR="00BF0382" w:rsidRDefault="00BF0382" w:rsidP="00BB474C">
            <w:pPr>
              <w:spacing w:after="0"/>
              <w:jc w:val="both"/>
              <w:rPr>
                <w:color w:val="000000"/>
                <w:szCs w:val="24"/>
                <w:lang w:eastAsia="en-GB"/>
              </w:rPr>
            </w:pPr>
            <w:r>
              <w:rPr>
                <w:color w:val="000000"/>
                <w:szCs w:val="24"/>
                <w:lang w:eastAsia="en-GB"/>
              </w:rPr>
              <w:t>Agriculture</w:t>
            </w:r>
          </w:p>
        </w:tc>
        <w:tc>
          <w:tcPr>
            <w:tcW w:w="1186" w:type="pct"/>
          </w:tcPr>
          <w:p w:rsidR="00BF0382" w:rsidRPr="008D6A99" w:rsidRDefault="00BF0382" w:rsidP="00BB474C">
            <w:pPr>
              <w:spacing w:after="0"/>
              <w:jc w:val="both"/>
              <w:rPr>
                <w:color w:val="000000"/>
                <w:szCs w:val="24"/>
                <w:lang w:val="en-GB" w:eastAsia="en-GB"/>
              </w:rPr>
            </w:pPr>
            <w:r w:rsidRPr="008D6A99">
              <w:rPr>
                <w:color w:val="000000"/>
                <w:szCs w:val="24"/>
                <w:lang w:val="en-GB" w:eastAsia="en-GB"/>
              </w:rPr>
              <w:t>Includes irrigation and livestock breeding.</w:t>
            </w:r>
          </w:p>
        </w:tc>
        <w:tc>
          <w:tcPr>
            <w:tcW w:w="2187" w:type="pct"/>
          </w:tcPr>
          <w:p w:rsidR="00BF0382" w:rsidRDefault="00BF0382" w:rsidP="00BB474C">
            <w:pPr>
              <w:numPr>
                <w:ilvl w:val="0"/>
                <w:numId w:val="66"/>
              </w:numPr>
              <w:tabs>
                <w:tab w:val="left" w:pos="217"/>
              </w:tabs>
              <w:spacing w:after="0"/>
              <w:ind w:left="0" w:firstLine="0"/>
              <w:jc w:val="both"/>
              <w:rPr>
                <w:color w:val="000000"/>
                <w:szCs w:val="24"/>
                <w:lang w:eastAsia="en-GB"/>
              </w:rPr>
            </w:pPr>
            <w:r>
              <w:rPr>
                <w:szCs w:val="24"/>
              </w:rPr>
              <w:t>Water use, NACE A Agriculture</w:t>
            </w:r>
          </w:p>
          <w:p w:rsidR="00BF0382" w:rsidRDefault="00BF0382" w:rsidP="00BB474C">
            <w:pPr>
              <w:numPr>
                <w:ilvl w:val="0"/>
                <w:numId w:val="66"/>
              </w:numPr>
              <w:tabs>
                <w:tab w:val="left" w:pos="217"/>
              </w:tabs>
              <w:spacing w:after="0"/>
              <w:ind w:left="0" w:firstLine="0"/>
              <w:jc w:val="both"/>
              <w:rPr>
                <w:color w:val="000000"/>
                <w:szCs w:val="24"/>
                <w:lang w:eastAsia="en-GB"/>
              </w:rPr>
            </w:pPr>
            <w:r w:rsidRPr="008D6A99">
              <w:rPr>
                <w:szCs w:val="24"/>
                <w:lang w:val="en-GB"/>
              </w:rPr>
              <w:t xml:space="preserve">Water use, for Irrigation ((ref. </w:t>
            </w:r>
            <w:r>
              <w:rPr>
                <w:szCs w:val="24"/>
              </w:rPr>
              <w:t>NACE/ISIC division 01)</w:t>
            </w:r>
          </w:p>
          <w:p w:rsidR="00BF0382" w:rsidRDefault="00BF0382" w:rsidP="00BB474C">
            <w:pPr>
              <w:tabs>
                <w:tab w:val="left" w:pos="217"/>
              </w:tabs>
              <w:spacing w:after="0"/>
              <w:jc w:val="both"/>
              <w:rPr>
                <w:color w:val="000000"/>
                <w:szCs w:val="24"/>
                <w:lang w:eastAsia="en-GB"/>
              </w:rPr>
            </w:pPr>
          </w:p>
        </w:tc>
      </w:tr>
      <w:tr w:rsidR="00BF0382" w:rsidTr="00BB474C">
        <w:tc>
          <w:tcPr>
            <w:tcW w:w="969" w:type="pct"/>
          </w:tcPr>
          <w:p w:rsidR="00BF0382" w:rsidRPr="008D6A99" w:rsidRDefault="00BF0382" w:rsidP="00BB474C">
            <w:pPr>
              <w:spacing w:after="0"/>
              <w:jc w:val="both"/>
              <w:rPr>
                <w:b/>
                <w:bCs/>
                <w:color w:val="000000"/>
                <w:szCs w:val="24"/>
                <w:lang w:val="en-GB" w:eastAsia="en-GB"/>
              </w:rPr>
            </w:pPr>
            <w:r w:rsidRPr="008D6A99">
              <w:rPr>
                <w:b/>
                <w:bCs/>
                <w:color w:val="000000"/>
                <w:szCs w:val="24"/>
                <w:lang w:val="en-GB" w:eastAsia="en-GB"/>
              </w:rPr>
              <w:t>3.2 - Abstraction or flow diversion – Public water supply</w:t>
            </w:r>
          </w:p>
        </w:tc>
        <w:tc>
          <w:tcPr>
            <w:tcW w:w="658" w:type="pct"/>
          </w:tcPr>
          <w:p w:rsidR="00BF0382" w:rsidRDefault="00BF0382" w:rsidP="00BB474C">
            <w:pPr>
              <w:spacing w:after="0"/>
              <w:jc w:val="both"/>
              <w:rPr>
                <w:b/>
                <w:color w:val="000000"/>
                <w:szCs w:val="24"/>
                <w:u w:val="single"/>
                <w:lang w:eastAsia="en-GB"/>
              </w:rPr>
            </w:pPr>
            <w:r>
              <w:rPr>
                <w:color w:val="000000"/>
                <w:szCs w:val="24"/>
                <w:lang w:eastAsia="en-GB"/>
              </w:rPr>
              <w:t>Urban development</w:t>
            </w:r>
          </w:p>
        </w:tc>
        <w:tc>
          <w:tcPr>
            <w:tcW w:w="1186" w:type="pct"/>
          </w:tcPr>
          <w:p w:rsidR="00BF0382" w:rsidRPr="008D6A99" w:rsidRDefault="00BF0382" w:rsidP="00BB474C">
            <w:pPr>
              <w:spacing w:after="0"/>
              <w:jc w:val="both"/>
              <w:rPr>
                <w:color w:val="000000"/>
                <w:szCs w:val="24"/>
                <w:lang w:val="en-GB" w:eastAsia="en-GB"/>
              </w:rPr>
            </w:pPr>
            <w:r w:rsidRPr="008D6A99">
              <w:rPr>
                <w:color w:val="000000"/>
                <w:szCs w:val="24"/>
                <w:lang w:val="en-GB" w:eastAsia="en-GB"/>
              </w:rPr>
              <w:t>Affection to TW and/or CW possible only in case of desalination plants.</w:t>
            </w:r>
          </w:p>
        </w:tc>
        <w:tc>
          <w:tcPr>
            <w:tcW w:w="2187" w:type="pct"/>
          </w:tcPr>
          <w:p w:rsidR="00BF0382" w:rsidRPr="008D6A99" w:rsidRDefault="00BF0382" w:rsidP="00BB474C">
            <w:pPr>
              <w:numPr>
                <w:ilvl w:val="0"/>
                <w:numId w:val="66"/>
              </w:numPr>
              <w:tabs>
                <w:tab w:val="left" w:pos="217"/>
              </w:tabs>
              <w:spacing w:after="0"/>
              <w:ind w:left="0" w:firstLine="0"/>
              <w:jc w:val="both"/>
              <w:rPr>
                <w:color w:val="000000"/>
                <w:szCs w:val="24"/>
                <w:lang w:val="en-GB" w:eastAsia="en-GB"/>
              </w:rPr>
            </w:pPr>
            <w:r w:rsidRPr="008D6A99">
              <w:rPr>
                <w:color w:val="000000"/>
                <w:szCs w:val="24"/>
                <w:lang w:val="en-GB" w:eastAsia="en-GB"/>
              </w:rPr>
              <w:t>Water use, NACE I (Services, tourism included)</w:t>
            </w:r>
          </w:p>
          <w:p w:rsidR="00BF0382" w:rsidRPr="008D6A99" w:rsidRDefault="00BF0382" w:rsidP="00BB474C">
            <w:pPr>
              <w:numPr>
                <w:ilvl w:val="0"/>
                <w:numId w:val="66"/>
              </w:numPr>
              <w:tabs>
                <w:tab w:val="left" w:pos="217"/>
              </w:tabs>
              <w:spacing w:after="0"/>
              <w:ind w:left="0" w:firstLine="0"/>
              <w:jc w:val="both"/>
              <w:rPr>
                <w:color w:val="000000"/>
                <w:szCs w:val="24"/>
                <w:lang w:val="en-GB" w:eastAsia="en-GB"/>
              </w:rPr>
            </w:pPr>
            <w:r w:rsidRPr="008D6A99">
              <w:rPr>
                <w:color w:val="000000"/>
                <w:szCs w:val="24"/>
                <w:lang w:val="en-GB" w:eastAsia="en-GB"/>
              </w:rPr>
              <w:t>Water use, any other economic activity</w:t>
            </w:r>
          </w:p>
          <w:p w:rsidR="00BF0382" w:rsidRDefault="00BF0382" w:rsidP="00BB474C">
            <w:pPr>
              <w:numPr>
                <w:ilvl w:val="0"/>
                <w:numId w:val="66"/>
              </w:numPr>
              <w:tabs>
                <w:tab w:val="left" w:pos="217"/>
              </w:tabs>
              <w:spacing w:after="0"/>
              <w:ind w:left="0" w:firstLine="0"/>
              <w:jc w:val="both"/>
              <w:rPr>
                <w:color w:val="000000"/>
                <w:szCs w:val="24"/>
                <w:lang w:eastAsia="en-GB"/>
              </w:rPr>
            </w:pPr>
            <w:r>
              <w:rPr>
                <w:color w:val="000000"/>
                <w:szCs w:val="24"/>
                <w:lang w:eastAsia="en-GB"/>
              </w:rPr>
              <w:t>Water use, from public supply</w:t>
            </w:r>
          </w:p>
          <w:p w:rsidR="00BF0382" w:rsidRDefault="00BF0382" w:rsidP="00BB474C">
            <w:pPr>
              <w:numPr>
                <w:ilvl w:val="0"/>
                <w:numId w:val="66"/>
              </w:numPr>
              <w:tabs>
                <w:tab w:val="left" w:pos="217"/>
              </w:tabs>
              <w:spacing w:after="0"/>
              <w:ind w:left="0" w:firstLine="0"/>
              <w:jc w:val="both"/>
              <w:rPr>
                <w:color w:val="000000"/>
                <w:szCs w:val="24"/>
                <w:lang w:eastAsia="en-GB"/>
              </w:rPr>
            </w:pPr>
            <w:r>
              <w:rPr>
                <w:color w:val="000000"/>
                <w:szCs w:val="24"/>
                <w:lang w:eastAsia="en-GB"/>
              </w:rPr>
              <w:t>Water use, from self-supply</w:t>
            </w:r>
          </w:p>
          <w:p w:rsidR="00BF0382" w:rsidRPr="008D6A99" w:rsidRDefault="00BF0382" w:rsidP="00BB474C">
            <w:pPr>
              <w:numPr>
                <w:ilvl w:val="0"/>
                <w:numId w:val="66"/>
              </w:numPr>
              <w:tabs>
                <w:tab w:val="left" w:pos="217"/>
              </w:tabs>
              <w:spacing w:after="0"/>
              <w:ind w:left="0" w:firstLine="0"/>
              <w:jc w:val="both"/>
              <w:rPr>
                <w:color w:val="000000"/>
                <w:szCs w:val="24"/>
                <w:lang w:val="en-GB" w:eastAsia="en-GB"/>
              </w:rPr>
            </w:pPr>
            <w:r w:rsidRPr="008D6A99">
              <w:rPr>
                <w:color w:val="000000"/>
                <w:szCs w:val="24"/>
                <w:lang w:val="en-GB" w:eastAsia="en-GB"/>
              </w:rPr>
              <w:t>Water use, from self-supplied for domestic purposes</w:t>
            </w:r>
          </w:p>
          <w:p w:rsidR="00BF0382" w:rsidRDefault="00BF0382" w:rsidP="00BB474C">
            <w:pPr>
              <w:numPr>
                <w:ilvl w:val="0"/>
                <w:numId w:val="66"/>
              </w:numPr>
              <w:tabs>
                <w:tab w:val="left" w:pos="217"/>
              </w:tabs>
              <w:spacing w:after="0"/>
              <w:ind w:left="0" w:firstLine="0"/>
              <w:jc w:val="both"/>
              <w:rPr>
                <w:color w:val="000000"/>
                <w:szCs w:val="24"/>
                <w:lang w:eastAsia="en-GB"/>
              </w:rPr>
            </w:pPr>
            <w:r>
              <w:rPr>
                <w:color w:val="000000"/>
                <w:szCs w:val="24"/>
                <w:lang w:eastAsia="en-GB"/>
              </w:rPr>
              <w:t xml:space="preserve">Reused water </w:t>
            </w:r>
          </w:p>
          <w:p w:rsidR="00BF0382" w:rsidRPr="008D6A99" w:rsidRDefault="00BF0382" w:rsidP="00BB474C">
            <w:pPr>
              <w:numPr>
                <w:ilvl w:val="0"/>
                <w:numId w:val="66"/>
              </w:numPr>
              <w:tabs>
                <w:tab w:val="left" w:pos="217"/>
              </w:tabs>
              <w:spacing w:after="0"/>
              <w:ind w:left="0" w:firstLine="0"/>
              <w:jc w:val="both"/>
              <w:rPr>
                <w:color w:val="000000"/>
                <w:szCs w:val="24"/>
                <w:lang w:val="en-GB" w:eastAsia="en-GB"/>
              </w:rPr>
            </w:pPr>
            <w:r w:rsidRPr="008D6A99">
              <w:rPr>
                <w:color w:val="000000"/>
                <w:szCs w:val="24"/>
                <w:lang w:val="en-GB" w:eastAsia="en-GB"/>
              </w:rPr>
              <w:t xml:space="preserve">Water use, produced from Desalination process </w:t>
            </w:r>
          </w:p>
          <w:p w:rsidR="00BF0382" w:rsidRDefault="00BF0382" w:rsidP="00BB474C">
            <w:pPr>
              <w:numPr>
                <w:ilvl w:val="0"/>
                <w:numId w:val="66"/>
              </w:numPr>
              <w:tabs>
                <w:tab w:val="left" w:pos="217"/>
              </w:tabs>
              <w:spacing w:after="0"/>
              <w:ind w:left="0" w:firstLine="0"/>
              <w:jc w:val="both"/>
              <w:rPr>
                <w:color w:val="000000"/>
                <w:szCs w:val="24"/>
                <w:lang w:eastAsia="en-GB"/>
              </w:rPr>
            </w:pPr>
            <w:r>
              <w:rPr>
                <w:color w:val="000000"/>
                <w:szCs w:val="24"/>
                <w:lang w:eastAsia="en-GB"/>
              </w:rPr>
              <w:t>Water imports</w:t>
            </w:r>
          </w:p>
          <w:p w:rsidR="00BF0382" w:rsidRDefault="00BF0382" w:rsidP="00BB474C">
            <w:pPr>
              <w:numPr>
                <w:ilvl w:val="0"/>
                <w:numId w:val="66"/>
              </w:numPr>
              <w:tabs>
                <w:tab w:val="left" w:pos="217"/>
              </w:tabs>
              <w:spacing w:after="0"/>
              <w:ind w:left="0" w:firstLine="0"/>
              <w:jc w:val="both"/>
              <w:rPr>
                <w:color w:val="000000"/>
                <w:szCs w:val="24"/>
                <w:lang w:eastAsia="en-GB"/>
              </w:rPr>
            </w:pPr>
            <w:r>
              <w:rPr>
                <w:color w:val="000000"/>
                <w:szCs w:val="24"/>
                <w:lang w:eastAsia="en-GB"/>
              </w:rPr>
              <w:t>Water exports</w:t>
            </w:r>
          </w:p>
          <w:p w:rsidR="00BF0382" w:rsidRDefault="00BF0382" w:rsidP="00BB474C">
            <w:pPr>
              <w:numPr>
                <w:ilvl w:val="0"/>
                <w:numId w:val="66"/>
              </w:numPr>
              <w:tabs>
                <w:tab w:val="left" w:pos="217"/>
              </w:tabs>
              <w:spacing w:after="0"/>
              <w:ind w:left="0" w:firstLine="0"/>
              <w:jc w:val="both"/>
              <w:rPr>
                <w:color w:val="000000"/>
                <w:szCs w:val="24"/>
                <w:lang w:eastAsia="en-GB"/>
              </w:rPr>
            </w:pPr>
            <w:r>
              <w:rPr>
                <w:color w:val="000000"/>
                <w:szCs w:val="24"/>
                <w:lang w:eastAsia="en-GB"/>
              </w:rPr>
              <w:t xml:space="preserve">Water transfers (intra-RBD) </w:t>
            </w:r>
          </w:p>
          <w:p w:rsidR="00BF0382" w:rsidRDefault="00BF0382" w:rsidP="00BB474C">
            <w:pPr>
              <w:tabs>
                <w:tab w:val="left" w:pos="217"/>
              </w:tabs>
              <w:spacing w:after="0"/>
              <w:jc w:val="both"/>
              <w:rPr>
                <w:color w:val="000000"/>
                <w:szCs w:val="24"/>
                <w:lang w:eastAsia="en-GB"/>
              </w:rPr>
            </w:pPr>
          </w:p>
        </w:tc>
      </w:tr>
      <w:tr w:rsidR="00BF0382" w:rsidRPr="00D95552" w:rsidTr="00BB474C">
        <w:tc>
          <w:tcPr>
            <w:tcW w:w="969" w:type="pct"/>
          </w:tcPr>
          <w:p w:rsidR="00BF0382" w:rsidRPr="008D6A99" w:rsidRDefault="00BF0382" w:rsidP="00BB474C">
            <w:pPr>
              <w:spacing w:after="0"/>
              <w:jc w:val="both"/>
              <w:rPr>
                <w:b/>
                <w:bCs/>
                <w:color w:val="000000"/>
                <w:szCs w:val="24"/>
                <w:lang w:val="en-GB" w:eastAsia="en-GB"/>
              </w:rPr>
            </w:pPr>
            <w:r w:rsidRPr="008D6A99">
              <w:rPr>
                <w:b/>
                <w:bCs/>
                <w:color w:val="000000"/>
                <w:szCs w:val="24"/>
                <w:lang w:val="en-GB" w:eastAsia="en-GB"/>
              </w:rPr>
              <w:t xml:space="preserve">3.3 - Abstraction or flow diversion – Industry </w:t>
            </w:r>
          </w:p>
        </w:tc>
        <w:tc>
          <w:tcPr>
            <w:tcW w:w="658" w:type="pct"/>
          </w:tcPr>
          <w:p w:rsidR="00BF0382" w:rsidRDefault="00BF0382" w:rsidP="00BB474C">
            <w:pPr>
              <w:spacing w:after="0"/>
              <w:jc w:val="both"/>
              <w:rPr>
                <w:color w:val="000000"/>
                <w:szCs w:val="24"/>
                <w:lang w:eastAsia="en-GB"/>
              </w:rPr>
            </w:pPr>
            <w:r>
              <w:rPr>
                <w:color w:val="000000"/>
                <w:szCs w:val="24"/>
                <w:lang w:eastAsia="en-GB"/>
              </w:rPr>
              <w:t>Industry</w:t>
            </w:r>
          </w:p>
        </w:tc>
        <w:tc>
          <w:tcPr>
            <w:tcW w:w="1186" w:type="pct"/>
          </w:tcPr>
          <w:p w:rsidR="00BF0382" w:rsidRPr="008D6A99" w:rsidRDefault="00BF0382" w:rsidP="00BB474C">
            <w:pPr>
              <w:spacing w:after="0"/>
              <w:jc w:val="both"/>
              <w:rPr>
                <w:color w:val="000000"/>
                <w:szCs w:val="24"/>
                <w:lang w:val="en-GB" w:eastAsia="en-GB"/>
              </w:rPr>
            </w:pPr>
            <w:r w:rsidRPr="008D6A99">
              <w:rPr>
                <w:color w:val="000000"/>
                <w:szCs w:val="24"/>
                <w:lang w:val="en-GB" w:eastAsia="en-GB"/>
              </w:rPr>
              <w:t>Abstraction for industrial processes (cooling water is covered under the category ‘Abstraction – cooling water’)</w:t>
            </w:r>
          </w:p>
        </w:tc>
        <w:tc>
          <w:tcPr>
            <w:tcW w:w="2187" w:type="pct"/>
          </w:tcPr>
          <w:p w:rsidR="00BF0382" w:rsidRPr="008D6A99" w:rsidRDefault="00BF0382" w:rsidP="00BB474C">
            <w:pPr>
              <w:numPr>
                <w:ilvl w:val="0"/>
                <w:numId w:val="66"/>
              </w:numPr>
              <w:tabs>
                <w:tab w:val="left" w:pos="217"/>
              </w:tabs>
              <w:spacing w:after="0"/>
              <w:ind w:left="0" w:firstLine="0"/>
              <w:jc w:val="both"/>
              <w:rPr>
                <w:color w:val="000000"/>
                <w:szCs w:val="24"/>
                <w:lang w:val="en-GB" w:eastAsia="en-GB"/>
              </w:rPr>
            </w:pPr>
            <w:r w:rsidRPr="008D6A99">
              <w:rPr>
                <w:color w:val="000000"/>
                <w:szCs w:val="24"/>
                <w:lang w:val="en-GB" w:eastAsia="en-GB"/>
              </w:rPr>
              <w:t>Water use, NACE B (Mining and Quarrying)</w:t>
            </w:r>
          </w:p>
          <w:p w:rsidR="00BF0382" w:rsidRPr="008D6A99" w:rsidRDefault="00BF0382" w:rsidP="00BB474C">
            <w:pPr>
              <w:numPr>
                <w:ilvl w:val="0"/>
                <w:numId w:val="66"/>
              </w:numPr>
              <w:tabs>
                <w:tab w:val="left" w:pos="217"/>
              </w:tabs>
              <w:spacing w:after="0"/>
              <w:ind w:left="0" w:firstLine="0"/>
              <w:jc w:val="both"/>
              <w:rPr>
                <w:color w:val="000000"/>
                <w:szCs w:val="24"/>
                <w:lang w:val="en-GB" w:eastAsia="en-GB"/>
              </w:rPr>
            </w:pPr>
            <w:r w:rsidRPr="008D6A99">
              <w:rPr>
                <w:color w:val="000000"/>
                <w:szCs w:val="24"/>
                <w:lang w:val="en-GB" w:eastAsia="en-GB"/>
              </w:rPr>
              <w:t>Water use, NACE C (Manufacturing Industry)</w:t>
            </w:r>
          </w:p>
          <w:p w:rsidR="00BF0382" w:rsidRPr="008D6A99" w:rsidRDefault="00BF0382" w:rsidP="00BB474C">
            <w:pPr>
              <w:numPr>
                <w:ilvl w:val="0"/>
                <w:numId w:val="66"/>
              </w:numPr>
              <w:tabs>
                <w:tab w:val="left" w:pos="217"/>
              </w:tabs>
              <w:spacing w:after="0"/>
              <w:ind w:left="0" w:firstLine="0"/>
              <w:jc w:val="both"/>
              <w:rPr>
                <w:color w:val="000000"/>
                <w:szCs w:val="24"/>
                <w:lang w:val="en-GB" w:eastAsia="en-GB"/>
              </w:rPr>
            </w:pPr>
          </w:p>
        </w:tc>
      </w:tr>
      <w:tr w:rsidR="00BF0382" w:rsidRPr="00D95552" w:rsidTr="00BB474C">
        <w:tc>
          <w:tcPr>
            <w:tcW w:w="969" w:type="pct"/>
          </w:tcPr>
          <w:p w:rsidR="00BF0382" w:rsidRPr="008D6A99" w:rsidRDefault="00BF0382" w:rsidP="00BB474C">
            <w:pPr>
              <w:spacing w:after="0"/>
              <w:jc w:val="both"/>
              <w:rPr>
                <w:b/>
                <w:bCs/>
                <w:color w:val="000000"/>
                <w:szCs w:val="24"/>
                <w:lang w:val="en-GB" w:eastAsia="en-GB"/>
              </w:rPr>
            </w:pPr>
            <w:r w:rsidRPr="008D6A99">
              <w:rPr>
                <w:b/>
                <w:bCs/>
                <w:color w:val="000000"/>
                <w:szCs w:val="24"/>
                <w:lang w:val="en-GB" w:eastAsia="en-GB"/>
              </w:rPr>
              <w:t>3.4 - Abstraction or flow diversion – Cooling water</w:t>
            </w:r>
          </w:p>
        </w:tc>
        <w:tc>
          <w:tcPr>
            <w:tcW w:w="658" w:type="pct"/>
          </w:tcPr>
          <w:p w:rsidR="00BF0382" w:rsidRDefault="00BF0382" w:rsidP="00BB474C">
            <w:pPr>
              <w:spacing w:after="0"/>
              <w:jc w:val="both"/>
              <w:rPr>
                <w:b/>
                <w:color w:val="000000"/>
                <w:szCs w:val="24"/>
                <w:u w:val="single"/>
                <w:lang w:eastAsia="en-GB"/>
              </w:rPr>
            </w:pPr>
            <w:r>
              <w:rPr>
                <w:color w:val="000000"/>
                <w:szCs w:val="24"/>
                <w:lang w:eastAsia="en-GB"/>
              </w:rPr>
              <w:t>Industry; Energy - non-hydropower</w:t>
            </w:r>
          </w:p>
        </w:tc>
        <w:tc>
          <w:tcPr>
            <w:tcW w:w="1186" w:type="pct"/>
          </w:tcPr>
          <w:p w:rsidR="00BF0382" w:rsidRDefault="00BF0382" w:rsidP="00BB474C">
            <w:pPr>
              <w:spacing w:after="0"/>
              <w:jc w:val="both"/>
              <w:rPr>
                <w:color w:val="000000"/>
                <w:szCs w:val="24"/>
                <w:lang w:eastAsia="en-GB"/>
              </w:rPr>
            </w:pPr>
          </w:p>
        </w:tc>
        <w:tc>
          <w:tcPr>
            <w:tcW w:w="2187" w:type="pct"/>
          </w:tcPr>
          <w:p w:rsidR="00BF0382" w:rsidRPr="008D6A99" w:rsidRDefault="00BF0382" w:rsidP="00BB474C">
            <w:pPr>
              <w:numPr>
                <w:ilvl w:val="0"/>
                <w:numId w:val="66"/>
              </w:numPr>
              <w:tabs>
                <w:tab w:val="left" w:pos="217"/>
              </w:tabs>
              <w:spacing w:after="0"/>
              <w:ind w:left="0" w:firstLine="0"/>
              <w:jc w:val="both"/>
              <w:rPr>
                <w:color w:val="000000"/>
                <w:szCs w:val="24"/>
                <w:lang w:val="en-GB" w:eastAsia="en-GB"/>
              </w:rPr>
            </w:pPr>
            <w:r w:rsidRPr="008D6A99">
              <w:rPr>
                <w:color w:val="000000"/>
                <w:szCs w:val="24"/>
                <w:lang w:val="en-GB" w:eastAsia="en-GB"/>
              </w:rPr>
              <w:t>Water use, NACE D (Production of Electricity)</w:t>
            </w:r>
          </w:p>
        </w:tc>
      </w:tr>
      <w:tr w:rsidR="00BF0382" w:rsidRPr="00D95552" w:rsidTr="00BB474C">
        <w:tc>
          <w:tcPr>
            <w:tcW w:w="969" w:type="pct"/>
          </w:tcPr>
          <w:p w:rsidR="00BF0382" w:rsidRPr="008D6A99" w:rsidRDefault="00BF0382" w:rsidP="00BB474C">
            <w:pPr>
              <w:spacing w:after="0"/>
              <w:jc w:val="both"/>
              <w:rPr>
                <w:b/>
                <w:bCs/>
                <w:color w:val="000000"/>
                <w:szCs w:val="24"/>
                <w:lang w:val="en-GB" w:eastAsia="en-GB"/>
              </w:rPr>
            </w:pPr>
            <w:r w:rsidRPr="008D6A99">
              <w:rPr>
                <w:b/>
                <w:bCs/>
                <w:color w:val="000000"/>
                <w:szCs w:val="24"/>
                <w:lang w:val="en-GB" w:eastAsia="en-GB"/>
              </w:rPr>
              <w:t>3.5 - Abstraction or flow diversion - Hydropower</w:t>
            </w:r>
          </w:p>
        </w:tc>
        <w:tc>
          <w:tcPr>
            <w:tcW w:w="658" w:type="pct"/>
          </w:tcPr>
          <w:p w:rsidR="00BF0382" w:rsidRDefault="00BF0382" w:rsidP="00BB474C">
            <w:pPr>
              <w:spacing w:after="0"/>
              <w:jc w:val="both"/>
              <w:rPr>
                <w:color w:val="000000"/>
                <w:szCs w:val="24"/>
                <w:lang w:eastAsia="en-GB"/>
              </w:rPr>
            </w:pPr>
            <w:r>
              <w:rPr>
                <w:color w:val="000000"/>
                <w:szCs w:val="24"/>
                <w:lang w:eastAsia="en-GB"/>
              </w:rPr>
              <w:t xml:space="preserve">Energy - hydropower </w:t>
            </w:r>
          </w:p>
        </w:tc>
        <w:tc>
          <w:tcPr>
            <w:tcW w:w="1186" w:type="pct"/>
          </w:tcPr>
          <w:p w:rsidR="00BF0382" w:rsidRDefault="00BF0382" w:rsidP="00BB474C">
            <w:pPr>
              <w:spacing w:after="0"/>
              <w:jc w:val="both"/>
              <w:rPr>
                <w:b/>
                <w:color w:val="FF0000"/>
                <w:szCs w:val="24"/>
                <w:u w:val="single"/>
                <w:lang w:eastAsia="en-GB"/>
              </w:rPr>
            </w:pPr>
          </w:p>
        </w:tc>
        <w:tc>
          <w:tcPr>
            <w:tcW w:w="2187" w:type="pct"/>
          </w:tcPr>
          <w:p w:rsidR="00BF0382" w:rsidRPr="008D6A99" w:rsidRDefault="00BF0382" w:rsidP="00BB474C">
            <w:pPr>
              <w:numPr>
                <w:ilvl w:val="0"/>
                <w:numId w:val="66"/>
              </w:numPr>
              <w:tabs>
                <w:tab w:val="left" w:pos="217"/>
              </w:tabs>
              <w:spacing w:after="0"/>
              <w:ind w:left="0" w:firstLine="0"/>
              <w:jc w:val="both"/>
              <w:rPr>
                <w:color w:val="000000"/>
                <w:szCs w:val="24"/>
                <w:lang w:val="en-GB" w:eastAsia="en-GB"/>
              </w:rPr>
            </w:pPr>
            <w:r w:rsidRPr="008D6A99">
              <w:rPr>
                <w:color w:val="000000"/>
                <w:szCs w:val="24"/>
                <w:lang w:val="en-GB" w:eastAsia="en-GB"/>
              </w:rPr>
              <w:t>Water use, for Hydropower generation</w:t>
            </w:r>
          </w:p>
        </w:tc>
      </w:tr>
      <w:tr w:rsidR="00BF0382" w:rsidTr="00BB474C">
        <w:tc>
          <w:tcPr>
            <w:tcW w:w="969" w:type="pct"/>
          </w:tcPr>
          <w:p w:rsidR="00BF0382" w:rsidRPr="008D6A99" w:rsidRDefault="00BF0382" w:rsidP="00BB474C">
            <w:pPr>
              <w:spacing w:after="0"/>
              <w:jc w:val="both"/>
              <w:rPr>
                <w:b/>
                <w:bCs/>
                <w:color w:val="000000"/>
                <w:szCs w:val="24"/>
                <w:lang w:val="en-GB" w:eastAsia="en-GB"/>
              </w:rPr>
            </w:pPr>
            <w:r w:rsidRPr="008D6A99">
              <w:rPr>
                <w:b/>
                <w:bCs/>
                <w:color w:val="000000"/>
                <w:szCs w:val="24"/>
                <w:lang w:val="en-GB" w:eastAsia="en-GB"/>
              </w:rPr>
              <w:t>3.6 - Abstraction or flow diversion - Fish farms</w:t>
            </w:r>
          </w:p>
        </w:tc>
        <w:tc>
          <w:tcPr>
            <w:tcW w:w="658" w:type="pct"/>
          </w:tcPr>
          <w:p w:rsidR="00BF0382" w:rsidRDefault="00BF0382" w:rsidP="00BB474C">
            <w:pPr>
              <w:spacing w:after="0"/>
              <w:jc w:val="both"/>
              <w:rPr>
                <w:color w:val="000000"/>
                <w:szCs w:val="24"/>
                <w:lang w:eastAsia="en-GB"/>
              </w:rPr>
            </w:pPr>
            <w:r>
              <w:rPr>
                <w:color w:val="000000"/>
                <w:szCs w:val="24"/>
                <w:lang w:eastAsia="en-GB"/>
              </w:rPr>
              <w:t xml:space="preserve">Fisheries and aquaculture </w:t>
            </w:r>
          </w:p>
        </w:tc>
        <w:tc>
          <w:tcPr>
            <w:tcW w:w="1186" w:type="pct"/>
          </w:tcPr>
          <w:p w:rsidR="00BF0382" w:rsidRDefault="00BF0382" w:rsidP="00BB474C">
            <w:pPr>
              <w:spacing w:after="0"/>
              <w:jc w:val="both"/>
              <w:rPr>
                <w:b/>
                <w:color w:val="FF0000"/>
                <w:szCs w:val="24"/>
                <w:u w:val="single"/>
                <w:lang w:eastAsia="en-GB"/>
              </w:rPr>
            </w:pPr>
          </w:p>
        </w:tc>
        <w:tc>
          <w:tcPr>
            <w:tcW w:w="2187" w:type="pct"/>
          </w:tcPr>
          <w:p w:rsidR="00BF0382" w:rsidRDefault="00BF0382" w:rsidP="00BB474C">
            <w:pPr>
              <w:pStyle w:val="Liststycke"/>
              <w:numPr>
                <w:ilvl w:val="0"/>
                <w:numId w:val="66"/>
              </w:numPr>
              <w:tabs>
                <w:tab w:val="left" w:pos="217"/>
              </w:tabs>
              <w:spacing w:after="0" w:line="276" w:lineRule="auto"/>
              <w:ind w:left="0" w:firstLine="0"/>
              <w:jc w:val="both"/>
              <w:rPr>
                <w:rFonts w:eastAsia="Calibri"/>
                <w:color w:val="000000"/>
                <w:szCs w:val="24"/>
                <w:lang w:val="tr-TR" w:eastAsia="en-GB"/>
              </w:rPr>
            </w:pPr>
            <w:r>
              <w:rPr>
                <w:rFonts w:eastAsia="Calibri"/>
                <w:color w:val="000000"/>
                <w:szCs w:val="24"/>
                <w:lang w:val="tr-TR" w:eastAsia="en-GB"/>
              </w:rPr>
              <w:t>No NACE class</w:t>
            </w:r>
          </w:p>
        </w:tc>
      </w:tr>
      <w:tr w:rsidR="00BF0382" w:rsidRPr="00D95552" w:rsidTr="00BB474C">
        <w:tc>
          <w:tcPr>
            <w:tcW w:w="969" w:type="pct"/>
          </w:tcPr>
          <w:p w:rsidR="00BF0382" w:rsidRPr="008D6A99" w:rsidRDefault="00BF0382" w:rsidP="00BB474C">
            <w:pPr>
              <w:spacing w:after="0"/>
              <w:jc w:val="both"/>
              <w:rPr>
                <w:b/>
                <w:bCs/>
                <w:color w:val="000000"/>
                <w:szCs w:val="24"/>
                <w:lang w:val="en-GB" w:eastAsia="en-GB"/>
              </w:rPr>
            </w:pPr>
            <w:r w:rsidRPr="008D6A99">
              <w:rPr>
                <w:b/>
                <w:bCs/>
                <w:color w:val="000000"/>
                <w:szCs w:val="24"/>
                <w:lang w:val="en-GB" w:eastAsia="en-GB"/>
              </w:rPr>
              <w:t xml:space="preserve">3.7 - Abstraction or flow diversion – Other </w:t>
            </w:r>
          </w:p>
        </w:tc>
        <w:tc>
          <w:tcPr>
            <w:tcW w:w="658" w:type="pct"/>
          </w:tcPr>
          <w:p w:rsidR="00BF0382" w:rsidRDefault="00BF0382" w:rsidP="00BB474C">
            <w:pPr>
              <w:spacing w:after="0"/>
              <w:jc w:val="both"/>
              <w:rPr>
                <w:color w:val="000000"/>
                <w:szCs w:val="24"/>
                <w:lang w:eastAsia="en-GB"/>
              </w:rPr>
            </w:pPr>
            <w:r>
              <w:rPr>
                <w:color w:val="000000"/>
                <w:szCs w:val="24"/>
                <w:lang w:eastAsia="en-GB"/>
              </w:rPr>
              <w:t>Tourism and recreation</w:t>
            </w:r>
          </w:p>
        </w:tc>
        <w:tc>
          <w:tcPr>
            <w:tcW w:w="1186" w:type="pct"/>
          </w:tcPr>
          <w:p w:rsidR="00BF0382" w:rsidRPr="008D6A99" w:rsidRDefault="00BF0382" w:rsidP="00BB474C">
            <w:pPr>
              <w:spacing w:after="0"/>
              <w:jc w:val="both"/>
              <w:rPr>
                <w:color w:val="000000"/>
                <w:szCs w:val="24"/>
                <w:lang w:val="en-GB" w:eastAsia="en-GB"/>
              </w:rPr>
            </w:pPr>
            <w:r w:rsidRPr="008D6A99">
              <w:rPr>
                <w:color w:val="000000"/>
                <w:szCs w:val="24"/>
                <w:lang w:val="en-GB" w:eastAsia="en-GB"/>
              </w:rPr>
              <w:t>Abstraction for any other purpose not listed above.</w:t>
            </w:r>
          </w:p>
        </w:tc>
        <w:tc>
          <w:tcPr>
            <w:tcW w:w="2187" w:type="pct"/>
          </w:tcPr>
          <w:p w:rsidR="00BF0382" w:rsidRPr="008D6A99" w:rsidRDefault="00BF0382" w:rsidP="00BB474C">
            <w:pPr>
              <w:pStyle w:val="Liststycke"/>
              <w:numPr>
                <w:ilvl w:val="0"/>
                <w:numId w:val="66"/>
              </w:numPr>
              <w:tabs>
                <w:tab w:val="left" w:pos="217"/>
              </w:tabs>
              <w:spacing w:after="0"/>
              <w:ind w:left="0" w:firstLine="0"/>
              <w:jc w:val="both"/>
              <w:rPr>
                <w:szCs w:val="24"/>
                <w:lang w:val="en-GB"/>
              </w:rPr>
            </w:pPr>
            <w:r w:rsidRPr="008D6A99">
              <w:rPr>
                <w:szCs w:val="24"/>
                <w:lang w:val="en-GB"/>
              </w:rPr>
              <w:t>Water use, any other economic activity</w:t>
            </w:r>
          </w:p>
          <w:p w:rsidR="00BF0382" w:rsidRPr="008D6A99" w:rsidRDefault="00BF0382" w:rsidP="00BB474C">
            <w:pPr>
              <w:tabs>
                <w:tab w:val="left" w:pos="217"/>
              </w:tabs>
              <w:spacing w:after="0"/>
              <w:jc w:val="both"/>
              <w:rPr>
                <w:color w:val="000000"/>
                <w:szCs w:val="24"/>
                <w:lang w:val="en-GB" w:eastAsia="en-GB"/>
              </w:rPr>
            </w:pPr>
          </w:p>
        </w:tc>
      </w:tr>
    </w:tbl>
    <w:p w:rsidR="00BF0382" w:rsidRPr="008D6A99" w:rsidRDefault="00BF0382" w:rsidP="00BF0382">
      <w:pPr>
        <w:jc w:val="both"/>
        <w:outlineLvl w:val="0"/>
        <w:rPr>
          <w:b/>
          <w:lang w:val="en-GB"/>
        </w:rPr>
      </w:pPr>
      <w:r w:rsidRPr="008D6A99">
        <w:rPr>
          <w:b/>
          <w:lang w:val="en-GB"/>
        </w:rPr>
        <w:br w:type="page"/>
      </w:r>
      <w:bookmarkStart w:id="862" w:name="_Toc432666111"/>
      <w:bookmarkStart w:id="863" w:name="_Toc437520307"/>
      <w:r w:rsidRPr="008D6A99">
        <w:rPr>
          <w:b/>
          <w:lang w:val="en-GB"/>
        </w:rPr>
        <w:t>Annex 3:</w:t>
      </w:r>
      <w:r w:rsidRPr="008D6A99">
        <w:rPr>
          <w:b/>
          <w:lang w:val="en-GB"/>
        </w:rPr>
        <w:tab/>
        <w:t>Significant pressures mapped to indicators, KTMs and KTM indicators</w:t>
      </w:r>
      <w:bookmarkEnd w:id="862"/>
      <w:bookmarkEnd w:id="863"/>
    </w:p>
    <w:p w:rsidR="00BF0382" w:rsidRPr="008D6A99" w:rsidRDefault="00BF0382" w:rsidP="00BF0382">
      <w:pPr>
        <w:jc w:val="both"/>
        <w:rPr>
          <w:lang w:val="en-GB"/>
        </w:rPr>
      </w:pPr>
      <w:r w:rsidRPr="008D6A99">
        <w:rPr>
          <w:lang w:val="en-GB"/>
        </w:rPr>
        <w:t>Mapping of significant pressures and chemical substances causing failure of objectives with Key Types of Measures with quantitative indicators of the scale of the pressures to be tackled and the scale of measures planned to achieve WFD Environmental Objectives.</w:t>
      </w:r>
    </w:p>
    <w:tbl>
      <w:tblPr>
        <w:tblW w:w="13907" w:type="dxa"/>
        <w:tblInd w:w="93" w:type="dxa"/>
        <w:tblLook w:val="04A0" w:firstRow="1" w:lastRow="0" w:firstColumn="1" w:lastColumn="0" w:noHBand="0" w:noVBand="1"/>
      </w:tblPr>
      <w:tblGrid>
        <w:gridCol w:w="2560"/>
        <w:gridCol w:w="2260"/>
        <w:gridCol w:w="2920"/>
        <w:gridCol w:w="2920"/>
        <w:gridCol w:w="3247"/>
      </w:tblGrid>
      <w:tr w:rsidR="00BF0382" w:rsidTr="00BB474C">
        <w:trPr>
          <w:trHeight w:val="765"/>
          <w:tblHeader/>
        </w:trPr>
        <w:tc>
          <w:tcPr>
            <w:tcW w:w="25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rsidR="00BF0382" w:rsidRDefault="00BF0382" w:rsidP="00BB474C">
            <w:pPr>
              <w:spacing w:after="0"/>
              <w:jc w:val="both"/>
              <w:rPr>
                <w:b/>
                <w:bCs/>
                <w:color w:val="000000"/>
                <w:sz w:val="22"/>
                <w:szCs w:val="22"/>
                <w:lang w:eastAsia="en-GB"/>
              </w:rPr>
            </w:pPr>
            <w:r>
              <w:rPr>
                <w:b/>
                <w:bCs/>
                <w:color w:val="000000"/>
                <w:sz w:val="22"/>
                <w:szCs w:val="22"/>
                <w:lang w:eastAsia="en-GB"/>
              </w:rPr>
              <w:t>Significant pressure or chemical substance failing</w:t>
            </w:r>
          </w:p>
        </w:tc>
        <w:tc>
          <w:tcPr>
            <w:tcW w:w="2260" w:type="dxa"/>
            <w:tcBorders>
              <w:top w:val="single" w:sz="4" w:space="0" w:color="auto"/>
              <w:left w:val="nil"/>
              <w:bottom w:val="single" w:sz="4" w:space="0" w:color="auto"/>
              <w:right w:val="single" w:sz="4" w:space="0" w:color="auto"/>
            </w:tcBorders>
            <w:shd w:val="clear" w:color="000000" w:fill="D9D9D9" w:themeFill="background1" w:themeFillShade="D9"/>
          </w:tcPr>
          <w:p w:rsidR="00BF0382" w:rsidRDefault="00BF0382" w:rsidP="00BB474C">
            <w:pPr>
              <w:spacing w:after="0"/>
              <w:jc w:val="both"/>
              <w:rPr>
                <w:b/>
                <w:bCs/>
                <w:color w:val="000000"/>
                <w:sz w:val="22"/>
                <w:szCs w:val="22"/>
                <w:lang w:eastAsia="en-GB"/>
              </w:rPr>
            </w:pPr>
            <w:r>
              <w:rPr>
                <w:b/>
                <w:bCs/>
                <w:color w:val="000000"/>
                <w:sz w:val="22"/>
                <w:szCs w:val="22"/>
                <w:lang w:eastAsia="en-GB"/>
              </w:rPr>
              <w:t>Main driver(s)</w:t>
            </w:r>
          </w:p>
        </w:tc>
        <w:tc>
          <w:tcPr>
            <w:tcW w:w="2920" w:type="dxa"/>
            <w:tcBorders>
              <w:top w:val="single" w:sz="4" w:space="0" w:color="auto"/>
              <w:left w:val="nil"/>
              <w:bottom w:val="single" w:sz="4" w:space="0" w:color="auto"/>
              <w:right w:val="single" w:sz="4" w:space="0" w:color="auto"/>
            </w:tcBorders>
            <w:shd w:val="clear" w:color="000000" w:fill="D9D9D9" w:themeFill="background1" w:themeFillShade="D9"/>
          </w:tcPr>
          <w:p w:rsidR="00BF0382" w:rsidRDefault="00BF0382" w:rsidP="00BB474C">
            <w:pPr>
              <w:spacing w:after="0"/>
              <w:jc w:val="both"/>
              <w:rPr>
                <w:b/>
                <w:bCs/>
                <w:color w:val="000000"/>
                <w:sz w:val="22"/>
                <w:szCs w:val="22"/>
                <w:lang w:eastAsia="en-GB"/>
              </w:rPr>
            </w:pPr>
            <w:r>
              <w:rPr>
                <w:b/>
                <w:bCs/>
                <w:color w:val="000000"/>
                <w:sz w:val="22"/>
                <w:szCs w:val="22"/>
                <w:lang w:eastAsia="en-GB"/>
              </w:rPr>
              <w:t>Indicators for pressure</w:t>
            </w:r>
          </w:p>
        </w:tc>
        <w:tc>
          <w:tcPr>
            <w:tcW w:w="2920" w:type="dxa"/>
            <w:tcBorders>
              <w:top w:val="single" w:sz="4" w:space="0" w:color="auto"/>
              <w:left w:val="nil"/>
              <w:bottom w:val="single" w:sz="4" w:space="0" w:color="auto"/>
              <w:right w:val="nil"/>
            </w:tcBorders>
            <w:shd w:val="clear" w:color="000000" w:fill="D9D9D9" w:themeFill="background1" w:themeFillShade="D9"/>
          </w:tcPr>
          <w:p w:rsidR="00BF0382" w:rsidRDefault="00BF0382" w:rsidP="00BB474C">
            <w:pPr>
              <w:tabs>
                <w:tab w:val="left" w:pos="2653"/>
              </w:tabs>
              <w:spacing w:after="0"/>
              <w:jc w:val="both"/>
              <w:rPr>
                <w:b/>
                <w:bCs/>
                <w:color w:val="000000"/>
                <w:sz w:val="22"/>
                <w:szCs w:val="22"/>
                <w:lang w:eastAsia="en-GB"/>
              </w:rPr>
            </w:pPr>
            <w:r>
              <w:rPr>
                <w:b/>
                <w:bCs/>
                <w:color w:val="000000"/>
                <w:sz w:val="22"/>
                <w:szCs w:val="22"/>
                <w:lang w:eastAsia="en-GB"/>
              </w:rPr>
              <w:t>Relevant KTM</w:t>
            </w:r>
          </w:p>
        </w:tc>
        <w:tc>
          <w:tcPr>
            <w:tcW w:w="324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rsidR="00BF0382" w:rsidRDefault="00BF0382" w:rsidP="00BB474C">
            <w:pPr>
              <w:spacing w:after="0"/>
              <w:jc w:val="both"/>
              <w:rPr>
                <w:b/>
                <w:bCs/>
                <w:color w:val="000000"/>
                <w:sz w:val="22"/>
                <w:szCs w:val="22"/>
                <w:lang w:eastAsia="en-GB"/>
              </w:rPr>
            </w:pPr>
            <w:r>
              <w:rPr>
                <w:b/>
                <w:bCs/>
                <w:color w:val="000000"/>
                <w:sz w:val="22"/>
                <w:szCs w:val="22"/>
                <w:lang w:eastAsia="en-GB"/>
              </w:rPr>
              <w:t>Indicators for KTM</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1.1 - Point – Urban waste water </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 of BOD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 Construction or upgrades of wastewater treatment plants </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Population equivalent required to be treated by construction or upgrade of waste water treatment works</w:t>
            </w:r>
          </w:p>
        </w:tc>
      </w:tr>
      <w:tr w:rsidR="00BF0382" w:rsidRPr="00D95552" w:rsidTr="00BB474C">
        <w:trPr>
          <w:trHeight w:val="765"/>
        </w:trPr>
        <w:tc>
          <w:tcPr>
            <w:tcW w:w="2560" w:type="dxa"/>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 of nitrogen to be reduced (in tonnes) to achieve objectives</w:t>
            </w:r>
          </w:p>
        </w:tc>
        <w:tc>
          <w:tcPr>
            <w:tcW w:w="2920" w:type="dxa"/>
            <w:vMerge/>
            <w:tcBorders>
              <w:top w:val="nil"/>
              <w:left w:val="single" w:sz="4" w:space="0" w:color="auto"/>
              <w:bottom w:val="single" w:sz="4" w:space="0" w:color="000000"/>
              <w:right w:val="nil"/>
            </w:tcBorders>
            <w:vAlign w:val="center"/>
          </w:tcPr>
          <w:p w:rsidR="00BF0382" w:rsidRPr="008D6A99" w:rsidRDefault="00BF0382" w:rsidP="00BB474C">
            <w:pPr>
              <w:tabs>
                <w:tab w:val="left" w:pos="2653"/>
              </w:tabs>
              <w:spacing w:after="0"/>
              <w:jc w:val="both"/>
              <w:rPr>
                <w:color w:val="000000"/>
                <w:sz w:val="22"/>
                <w:szCs w:val="22"/>
                <w:lang w:val="en-GB" w:eastAsia="en-GB"/>
              </w:rPr>
            </w:pPr>
          </w:p>
        </w:tc>
        <w:tc>
          <w:tcPr>
            <w:tcW w:w="3247"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wastewater treatment works requiring to be constructed or upgraded</w:t>
            </w:r>
          </w:p>
        </w:tc>
      </w:tr>
      <w:tr w:rsidR="00BF0382" w:rsidRPr="00D95552" w:rsidTr="00BB474C">
        <w:trPr>
          <w:trHeight w:val="76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 of phosphorus to be reduced (in tonnes) to achieve objectives</w:t>
            </w:r>
          </w:p>
        </w:tc>
        <w:tc>
          <w:tcPr>
            <w:tcW w:w="2920" w:type="dxa"/>
            <w:vMerge/>
            <w:tcBorders>
              <w:top w:val="nil"/>
              <w:left w:val="single" w:sz="4" w:space="0" w:color="auto"/>
              <w:bottom w:val="single" w:sz="4" w:space="0" w:color="000000"/>
              <w:right w:val="nil"/>
            </w:tcBorders>
            <w:vAlign w:val="center"/>
          </w:tcPr>
          <w:p w:rsidR="00BF0382" w:rsidRPr="008D6A99" w:rsidRDefault="00BF0382" w:rsidP="00BB474C">
            <w:pPr>
              <w:tabs>
                <w:tab w:val="left" w:pos="2653"/>
              </w:tabs>
              <w:spacing w:after="0"/>
              <w:jc w:val="both"/>
              <w:rPr>
                <w:color w:val="000000"/>
                <w:sz w:val="22"/>
                <w:szCs w:val="22"/>
                <w:lang w:val="en-GB" w:eastAsia="en-GB"/>
              </w:rPr>
            </w:pPr>
          </w:p>
        </w:tc>
        <w:tc>
          <w:tcPr>
            <w:tcW w:w="3247" w:type="dxa"/>
            <w:vMerge/>
            <w:tcBorders>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RBSP</w:t>
            </w:r>
          </w:p>
        </w:tc>
        <w:tc>
          <w:tcPr>
            <w:tcW w:w="2920" w:type="dxa"/>
            <w:vMerge/>
            <w:tcBorders>
              <w:top w:val="nil"/>
              <w:left w:val="single" w:sz="4" w:space="0" w:color="auto"/>
              <w:bottom w:val="single" w:sz="4" w:space="0" w:color="000000"/>
              <w:right w:val="nil"/>
            </w:tcBorders>
            <w:vAlign w:val="center"/>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639"/>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bottom w:val="single" w:sz="4" w:space="0" w:color="000000"/>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Loads of priority substances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new permits to be issued or updated</w:t>
            </w:r>
          </w:p>
        </w:tc>
      </w:tr>
      <w:tr w:rsidR="00BF0382" w:rsidRPr="00D95552" w:rsidTr="00BB474C">
        <w:trPr>
          <w:trHeight w:val="76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top w:val="nil"/>
              <w:left w:val="nil"/>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vMerge/>
            <w:tcBorders>
              <w:top w:val="nil"/>
              <w:left w:val="single" w:sz="4" w:space="0" w:color="auto"/>
              <w:bottom w:val="single" w:sz="4" w:space="0" w:color="000000"/>
              <w:right w:val="nil"/>
            </w:tcBorders>
            <w:vAlign w:val="center"/>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installations associated with priority substances requiring measures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top w:val="nil"/>
              <w:left w:val="nil"/>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vMerge/>
            <w:tcBorders>
              <w:top w:val="nil"/>
              <w:left w:val="single" w:sz="4" w:space="0" w:color="auto"/>
              <w:bottom w:val="single" w:sz="4" w:space="0" w:color="000000"/>
              <w:right w:val="nil"/>
            </w:tcBorders>
            <w:vAlign w:val="center"/>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substances requiring restrictions or bans on uses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nil"/>
              <w:right w:val="single" w:sz="4" w:space="0" w:color="auto"/>
            </w:tcBorders>
            <w:shd w:val="clear" w:color="000000" w:fill="A6A6A6"/>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65"/>
        </w:trPr>
        <w:tc>
          <w:tcPr>
            <w:tcW w:w="2560" w:type="dxa"/>
            <w:vMerge w:val="restart"/>
            <w:tcBorders>
              <w:top w:val="nil"/>
              <w:left w:val="single" w:sz="4" w:space="0" w:color="auto"/>
              <w:bottom w:val="single" w:sz="4" w:space="0" w:color="000000"/>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1.2 - Point - Storm overflows</w:t>
            </w:r>
          </w:p>
        </w:tc>
        <w:tc>
          <w:tcPr>
            <w:tcW w:w="2260" w:type="dxa"/>
            <w:vMerge w:val="restart"/>
            <w:tcBorders>
              <w:top w:val="nil"/>
              <w:left w:val="single" w:sz="4" w:space="0" w:color="auto"/>
              <w:bottom w:val="single" w:sz="4" w:space="0" w:color="000000"/>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 of BOD to be reduced (in tonnes) to achieve objectives</w:t>
            </w:r>
          </w:p>
        </w:tc>
        <w:tc>
          <w:tcPr>
            <w:tcW w:w="2920" w:type="dxa"/>
            <w:vMerge w:val="restart"/>
            <w:tcBorders>
              <w:top w:val="nil"/>
              <w:left w:val="single" w:sz="4" w:space="0" w:color="auto"/>
              <w:bottom w:val="single" w:sz="4" w:space="0" w:color="000000"/>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 Construction or upgrades of wastewater treatment plants </w:t>
            </w:r>
          </w:p>
        </w:tc>
        <w:tc>
          <w:tcPr>
            <w:tcW w:w="3247"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Combined Sewer Overflows to be upgraded to achieve objectives</w:t>
            </w:r>
          </w:p>
        </w:tc>
      </w:tr>
      <w:tr w:rsidR="00BF0382" w:rsidRPr="00D95552" w:rsidTr="00BB474C">
        <w:trPr>
          <w:trHeight w:val="510"/>
        </w:trPr>
        <w:tc>
          <w:tcPr>
            <w:tcW w:w="25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2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510"/>
        </w:trPr>
        <w:tc>
          <w:tcPr>
            <w:tcW w:w="25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2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PS and/or RBSP</w:t>
            </w:r>
          </w:p>
        </w:tc>
        <w:tc>
          <w:tcPr>
            <w:tcW w:w="292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2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 of sediment to be reduced to (in tonnes) to achieve WFD Environmental Objectives.</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17 Measures to reduce sediment loads from soil erosion and surface run-off </w:t>
            </w:r>
          </w:p>
        </w:tc>
        <w:tc>
          <w:tcPr>
            <w:tcW w:w="3247"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storm overflows where sediment flow to surface water will be intercepted or reduced.</w:t>
            </w:r>
          </w:p>
        </w:tc>
      </w:tr>
      <w:tr w:rsidR="00BF0382" w:rsidRPr="00D95552" w:rsidTr="00BB474C">
        <w:trPr>
          <w:trHeight w:val="510"/>
        </w:trPr>
        <w:tc>
          <w:tcPr>
            <w:tcW w:w="25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2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Volume of storm water that is causing or contributing to failure of objectives</w:t>
            </w:r>
          </w:p>
        </w:tc>
        <w:tc>
          <w:tcPr>
            <w:tcW w:w="2920" w:type="dxa"/>
            <w:vMerge w:val="restart"/>
            <w:tcBorders>
              <w:top w:val="nil"/>
              <w:left w:val="single" w:sz="4" w:space="0" w:color="auto"/>
              <w:bottom w:val="single" w:sz="4" w:space="0" w:color="000000"/>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23 Natural water retention measures</w:t>
            </w:r>
          </w:p>
        </w:tc>
        <w:tc>
          <w:tcPr>
            <w:tcW w:w="3247"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sustainable drainage systems required to achieve objectives</w:t>
            </w:r>
          </w:p>
        </w:tc>
      </w:tr>
      <w:tr w:rsidR="00BF0382" w:rsidRPr="00D95552" w:rsidTr="00BB474C">
        <w:trPr>
          <w:trHeight w:val="510"/>
        </w:trPr>
        <w:tc>
          <w:tcPr>
            <w:tcW w:w="25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260" w:type="dxa"/>
            <w:vMerge/>
            <w:tcBorders>
              <w:top w:val="nil"/>
              <w:left w:val="single" w:sz="4" w:space="0" w:color="auto"/>
              <w:bottom w:val="single" w:sz="4" w:space="0" w:color="000000"/>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nil"/>
            </w:tcBorders>
            <w:vAlign w:val="center"/>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1.3 - Point - IED plants </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 where upgrades or improvements are required to achieve objectives</w:t>
            </w:r>
          </w:p>
        </w:tc>
      </w:tr>
      <w:tr w:rsidR="00BF0382" w:rsidRPr="00D95552" w:rsidTr="00BB474C">
        <w:trPr>
          <w:trHeight w:val="510"/>
        </w:trPr>
        <w:tc>
          <w:tcPr>
            <w:tcW w:w="2560" w:type="dxa"/>
            <w:vMerge/>
            <w:tcBorders>
              <w:top w:val="single" w:sz="4" w:space="0" w:color="auto"/>
              <w:left w:val="single" w:sz="4" w:space="0" w:color="auto"/>
              <w:bottom w:val="single" w:sz="4" w:space="0" w:color="auto"/>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705"/>
        </w:trPr>
        <w:tc>
          <w:tcPr>
            <w:tcW w:w="2560" w:type="dxa"/>
            <w:vMerge/>
            <w:tcBorders>
              <w:top w:val="single" w:sz="4" w:space="0" w:color="auto"/>
              <w:left w:val="single" w:sz="4" w:space="0" w:color="auto"/>
              <w:bottom w:val="single" w:sz="4" w:space="0" w:color="auto"/>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permits not compatible with the achievement of objectives</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15 Measures for the phasing-out of emissions, discharges and losses of priority hazardous substances or for the reduction of emissions, discharges and losses of priority substances.</w:t>
            </w:r>
          </w:p>
        </w:tc>
        <w:tc>
          <w:tcPr>
            <w:tcW w:w="3247"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r>
      <w:tr w:rsidR="00BF0382" w:rsidRPr="00D95552" w:rsidTr="00BB474C">
        <w:trPr>
          <w:trHeight w:val="269"/>
        </w:trPr>
        <w:tc>
          <w:tcPr>
            <w:tcW w:w="2560" w:type="dxa"/>
            <w:vMerge/>
            <w:tcBorders>
              <w:top w:val="single" w:sz="4" w:space="0" w:color="auto"/>
              <w:left w:val="single" w:sz="4" w:space="0" w:color="auto"/>
              <w:bottom w:val="single" w:sz="4" w:space="0" w:color="auto"/>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priority substances</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vMerge/>
            <w:tcBorders>
              <w:left w:val="nil"/>
              <w:bottom w:val="single" w:sz="4" w:space="0" w:color="auto"/>
              <w:right w:val="single" w:sz="4" w:space="0" w:color="auto"/>
            </w:tcBorders>
            <w:shd w:val="clear" w:color="auto" w:fill="auto"/>
            <w:vAlign w:val="bottom"/>
          </w:tcPr>
          <w:p w:rsidR="00BF0382" w:rsidRPr="008D6A99" w:rsidRDefault="00BF0382" w:rsidP="00BB474C">
            <w:pPr>
              <w:spacing w:after="0"/>
              <w:jc w:val="both"/>
              <w:rPr>
                <w:color w:val="000000"/>
                <w:sz w:val="22"/>
                <w:szCs w:val="22"/>
                <w:lang w:val="en-GB" w:eastAsia="en-GB"/>
              </w:rPr>
            </w:pPr>
          </w:p>
        </w:tc>
      </w:tr>
      <w:tr w:rsidR="00BF0382" w:rsidRPr="00D95552" w:rsidTr="00BB474C">
        <w:trPr>
          <w:trHeight w:val="746"/>
        </w:trPr>
        <w:tc>
          <w:tcPr>
            <w:tcW w:w="2560" w:type="dxa"/>
            <w:vMerge/>
            <w:tcBorders>
              <w:top w:val="single" w:sz="4" w:space="0" w:color="auto"/>
              <w:left w:val="single" w:sz="4" w:space="0" w:color="auto"/>
              <w:bottom w:val="single" w:sz="4" w:space="0" w:color="auto"/>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substances requiring restrictions or bans on uses to achieve objectives</w:t>
            </w:r>
          </w:p>
        </w:tc>
      </w:tr>
      <w:tr w:rsidR="00BF0382" w:rsidRPr="00D95552" w:rsidTr="00BB474C">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vMerge w:val="restart"/>
            <w:tcBorders>
              <w:top w:val="nil"/>
              <w:left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1.4 - Point - Non IED plants</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16 Upgrades or improvements of industrial wastewater treatment plants (including farms) </w:t>
            </w:r>
          </w:p>
        </w:tc>
        <w:tc>
          <w:tcPr>
            <w:tcW w:w="3247"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765"/>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vMerge/>
            <w:tcBorders>
              <w:left w:val="nil"/>
              <w:bottom w:val="single" w:sz="4" w:space="0" w:color="auto"/>
              <w:right w:val="single" w:sz="4" w:space="0" w:color="auto"/>
            </w:tcBorders>
            <w:shd w:val="clear" w:color="auto" w:fill="auto"/>
            <w:vAlign w:val="bottom"/>
          </w:tcPr>
          <w:p w:rsidR="00BF0382" w:rsidRPr="008D6A99" w:rsidRDefault="00BF0382" w:rsidP="00BB474C">
            <w:pPr>
              <w:spacing w:after="0"/>
              <w:jc w:val="both"/>
              <w:rPr>
                <w:color w:val="000000"/>
                <w:sz w:val="22"/>
                <w:szCs w:val="22"/>
                <w:lang w:val="en-GB" w:eastAsia="en-GB"/>
              </w:rPr>
            </w:pP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897"/>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1.5 - Point - Contaminated sites or abandoned industrial sites</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contaminated sites affecting the achievement of objectives</w:t>
            </w:r>
          </w:p>
        </w:tc>
        <w:tc>
          <w:tcPr>
            <w:tcW w:w="2920" w:type="dxa"/>
            <w:tcBorders>
              <w:top w:val="nil"/>
              <w:left w:val="nil"/>
              <w:bottom w:val="nil"/>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4 Remediation of contaminated sites (historical pollution including sediments, groundwater, soil). </w:t>
            </w:r>
          </w:p>
        </w:tc>
        <w:tc>
          <w:tcPr>
            <w:tcW w:w="3247"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sites to be remediated or where preventative actions are to be taken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PS and/or RBSP</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1.6 - Point - Waste disposal sites</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waste disposal sites affecting achievement of objectives</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upgraded or remediated waste disposal sites required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affected by measures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65"/>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1.7 - Point - Mine waters</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mine water discharges affecting achievement of objectives</w:t>
            </w:r>
          </w:p>
        </w:tc>
        <w:tc>
          <w:tcPr>
            <w:tcW w:w="2920" w:type="dxa"/>
            <w:tcBorders>
              <w:top w:val="nil"/>
              <w:left w:val="nil"/>
              <w:bottom w:val="nil"/>
              <w:right w:val="single" w:sz="4" w:space="0" w:color="auto"/>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mine discharges for which measures are required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65"/>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1.8 - Point - Aquaculture</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Fisheries and aquaculture</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point sources affecting achievement of objectives</w:t>
            </w:r>
          </w:p>
        </w:tc>
        <w:tc>
          <w:tcPr>
            <w:tcW w:w="2920" w:type="dxa"/>
            <w:tcBorders>
              <w:top w:val="nil"/>
              <w:left w:val="nil"/>
              <w:bottom w:val="nil"/>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aquaculture sites/facilities for which measures are required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PS and/or RBSP</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1.9 - Point – Other </w:t>
            </w:r>
          </w:p>
        </w:tc>
        <w:tc>
          <w:tcPr>
            <w:tcW w:w="2260" w:type="dxa"/>
            <w:tcBorders>
              <w:top w:val="nil"/>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point sources affecting achievement of objectives</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affected by measures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2.1 - Diffuse - Urban run-off</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 Industry</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water bodies that are not achieving objectives because of diffuse urban run off</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sustainable drainage systems required to achieve objectives</w:t>
            </w:r>
          </w:p>
        </w:tc>
      </w:tr>
      <w:tr w:rsidR="00BF0382" w:rsidRPr="00D95552" w:rsidTr="00BB474C">
        <w:trPr>
          <w:trHeight w:val="510"/>
        </w:trPr>
        <w:tc>
          <w:tcPr>
            <w:tcW w:w="2560"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upgraded storm overflows required to achieve objectives</w:t>
            </w:r>
          </w:p>
        </w:tc>
      </w:tr>
      <w:tr w:rsidR="00BF0382" w:rsidRPr="00D95552" w:rsidTr="00BB474C">
        <w:trPr>
          <w:trHeight w:val="765"/>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surface water interceptors and treatment facilities required to achieve objectives</w:t>
            </w:r>
          </w:p>
        </w:tc>
      </w:tr>
      <w:tr w:rsidR="00BF0382" w:rsidRPr="00D95552" w:rsidTr="00BB474C">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(km</w:t>
            </w:r>
            <w:r w:rsidRPr="008D6A99">
              <w:rPr>
                <w:color w:val="000000"/>
                <w:sz w:val="22"/>
                <w:szCs w:val="22"/>
                <w:vertAlign w:val="superscript"/>
                <w:lang w:val="en-GB" w:eastAsia="en-GB"/>
              </w:rPr>
              <w:t>2</w:t>
            </w:r>
            <w:r w:rsidRPr="008D6A99">
              <w:rPr>
                <w:color w:val="000000"/>
                <w:sz w:val="22"/>
                <w:szCs w:val="22"/>
                <w:lang w:val="en-GB" w:eastAsia="en-GB"/>
              </w:rPr>
              <w:t>) requiring regulation and/or codes of practice for use and disposal of chemicals in urbanised areas, transport and infrastructure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540"/>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2.2 - Diffuse – Agricultural</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Agriculture</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 of nitrogen to be reduced (in tonnes) to achieve objectives</w:t>
            </w:r>
          </w:p>
        </w:tc>
        <w:tc>
          <w:tcPr>
            <w:tcW w:w="2920" w:type="dxa"/>
            <w:tcBorders>
              <w:top w:val="nil"/>
              <w:left w:val="nil"/>
              <w:bottom w:val="nil"/>
              <w:right w:val="single" w:sz="4" w:space="0" w:color="auto"/>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 xml:space="preserve">2 Reduce nutrient pollution from agriculture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agricultural land covered by measures (km</w:t>
            </w:r>
            <w:r w:rsidRPr="008D6A99">
              <w:rPr>
                <w:color w:val="000000"/>
                <w:sz w:val="22"/>
                <w:szCs w:val="22"/>
                <w:vertAlign w:val="superscript"/>
                <w:lang w:val="en-GB" w:eastAsia="en-GB"/>
              </w:rPr>
              <w:t>2</w:t>
            </w:r>
            <w:r w:rsidRPr="008D6A99">
              <w:rPr>
                <w:color w:val="000000"/>
                <w:sz w:val="22"/>
                <w:szCs w:val="22"/>
                <w:lang w:val="en-GB" w:eastAsia="en-GB"/>
              </w:rPr>
              <w:t>)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 of phosphorus to be reduced (in tonnes) to achieve objectives</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buffer strips required to achieve objectives</w:t>
            </w:r>
          </w:p>
        </w:tc>
      </w:tr>
      <w:tr w:rsidR="00BF0382" w:rsidRPr="00D95552" w:rsidTr="00BB474C">
        <w:trPr>
          <w:trHeight w:val="105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pesticides originating from diffuse agricultural sources</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 xml:space="preserve">3 Reduce pesticides pollution from agriculture. </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agricultural land covered by measures (km</w:t>
            </w:r>
            <w:r w:rsidRPr="008D6A99">
              <w:rPr>
                <w:color w:val="000000"/>
                <w:sz w:val="22"/>
                <w:szCs w:val="22"/>
                <w:vertAlign w:val="superscript"/>
                <w:lang w:val="en-GB" w:eastAsia="en-GB"/>
              </w:rPr>
              <w:t>2</w:t>
            </w:r>
            <w:r w:rsidRPr="008D6A99">
              <w:rPr>
                <w:color w:val="000000"/>
                <w:sz w:val="22"/>
                <w:szCs w:val="22"/>
                <w:lang w:val="en-GB" w:eastAsia="en-GB"/>
              </w:rPr>
              <w:t>) to reduce pesticide pollution in agriculture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farms not covered by advisory services</w:t>
            </w:r>
          </w:p>
        </w:tc>
        <w:tc>
          <w:tcPr>
            <w:tcW w:w="2920" w:type="dxa"/>
            <w:tcBorders>
              <w:top w:val="nil"/>
              <w:left w:val="nil"/>
              <w:bottom w:val="nil"/>
              <w:right w:val="single" w:sz="4" w:space="0" w:color="auto"/>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farms that need to be covered by advisory services to achieve objectives</w:t>
            </w:r>
          </w:p>
        </w:tc>
      </w:tr>
      <w:tr w:rsidR="00BF0382" w:rsidRPr="00D95552" w:rsidTr="00BB474C">
        <w:trPr>
          <w:trHeight w:val="25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advisory services required to achieve objectives</w:t>
            </w:r>
          </w:p>
        </w:tc>
      </w:tr>
      <w:tr w:rsidR="00BF0382" w:rsidRPr="00D95552" w:rsidTr="00BB474C">
        <w:trPr>
          <w:trHeight w:val="255"/>
        </w:trPr>
        <w:tc>
          <w:tcPr>
            <w:tcW w:w="2560"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(km</w:t>
            </w:r>
            <w:r w:rsidRPr="008D6A99">
              <w:rPr>
                <w:color w:val="000000"/>
                <w:sz w:val="22"/>
                <w:szCs w:val="22"/>
                <w:vertAlign w:val="superscript"/>
                <w:lang w:val="en-GB" w:eastAsia="en-GB"/>
              </w:rPr>
              <w:t>2</w:t>
            </w:r>
            <w:r w:rsidRPr="008D6A99">
              <w:rPr>
                <w:color w:val="000000"/>
                <w:sz w:val="22"/>
                <w:szCs w:val="22"/>
                <w:lang w:val="en-GB" w:eastAsia="en-GB"/>
              </w:rPr>
              <w:t>) of agricultural land requiring measures to achieve objectives</w:t>
            </w:r>
          </w:p>
        </w:tc>
      </w:tr>
      <w:tr w:rsidR="00BF0382" w:rsidRPr="00D95552" w:rsidTr="00BB474C">
        <w:trPr>
          <w:trHeight w:val="255"/>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Farm Surveys required to achieve objectives.</w:t>
            </w:r>
          </w:p>
        </w:tc>
      </w:tr>
      <w:tr w:rsidR="00BF0382" w:rsidRPr="00D95552" w:rsidTr="00BB474C">
        <w:trPr>
          <w:trHeight w:val="1785"/>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affected by emissions, discharges or losses of priority and priority hazardous substances</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substances requiring restrictions or bans on uses to achieve objectives</w:t>
            </w:r>
          </w:p>
        </w:tc>
      </w:tr>
      <w:tr w:rsidR="00BF0382" w:rsidRPr="00D95552" w:rsidTr="00BB474C">
        <w:trPr>
          <w:trHeight w:val="76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length, area of water bodies not achieving objectives because of this pressure</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river requiring buffer zones to intercept or reduce sediment loads to rivers to achieve objectives</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water body bodies requiring buffer zones to intercept or reduce sediment loads to water bodies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agricultural land at risk of soil erosion</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 Area of agricultural land (km</w:t>
            </w:r>
            <w:r w:rsidRPr="008D6A99">
              <w:rPr>
                <w:color w:val="000000"/>
                <w:sz w:val="22"/>
                <w:szCs w:val="22"/>
                <w:vertAlign w:val="superscript"/>
                <w:lang w:val="en-GB" w:eastAsia="en-GB"/>
              </w:rPr>
              <w:t>2</w:t>
            </w:r>
            <w:r w:rsidRPr="008D6A99">
              <w:rPr>
                <w:color w:val="000000"/>
                <w:sz w:val="22"/>
                <w:szCs w:val="22"/>
                <w:lang w:val="en-GB" w:eastAsia="en-GB"/>
              </w:rPr>
              <w:t>) requiring measures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65"/>
        </w:trPr>
        <w:tc>
          <w:tcPr>
            <w:tcW w:w="2560" w:type="dxa"/>
            <w:vMerge w:val="restart"/>
            <w:tcBorders>
              <w:top w:val="nil"/>
              <w:left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2.3 - Diffuse – Forestry </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Forestry</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not achieving objectives because of this pressure</w:t>
            </w:r>
          </w:p>
        </w:tc>
        <w:tc>
          <w:tcPr>
            <w:tcW w:w="2920" w:type="dxa"/>
            <w:vMerge w:val="restart"/>
            <w:tcBorders>
              <w:top w:val="nil"/>
              <w:left w:val="nil"/>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22 Measures to prevent or control the input of pollution from forestry</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forestry land (km</w:t>
            </w:r>
            <w:r w:rsidRPr="008D6A99">
              <w:rPr>
                <w:color w:val="000000"/>
                <w:sz w:val="22"/>
                <w:szCs w:val="22"/>
                <w:vertAlign w:val="superscript"/>
                <w:lang w:val="en-GB" w:eastAsia="en-GB"/>
              </w:rPr>
              <w:t>2</w:t>
            </w:r>
            <w:r w:rsidRPr="008D6A99">
              <w:rPr>
                <w:color w:val="000000"/>
                <w:sz w:val="22"/>
                <w:szCs w:val="22"/>
                <w:lang w:val="en-GB" w:eastAsia="en-GB"/>
              </w:rPr>
              <w:t>) requiring measures to reduce nutrient inputs to levels compatible with the achievement of objectives.</w:t>
            </w:r>
          </w:p>
        </w:tc>
      </w:tr>
      <w:tr w:rsidR="00BF0382" w:rsidRPr="00D95552" w:rsidTr="00BB474C">
        <w:trPr>
          <w:trHeight w:val="765"/>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(km</w:t>
            </w:r>
            <w:r w:rsidRPr="008D6A99">
              <w:rPr>
                <w:color w:val="000000"/>
                <w:sz w:val="22"/>
                <w:szCs w:val="22"/>
                <w:vertAlign w:val="superscript"/>
                <w:lang w:val="en-GB" w:eastAsia="en-GB"/>
              </w:rPr>
              <w:t>2</w:t>
            </w:r>
            <w:r w:rsidRPr="008D6A99">
              <w:rPr>
                <w:color w:val="000000"/>
                <w:sz w:val="22"/>
                <w:szCs w:val="22"/>
                <w:lang w:val="en-GB" w:eastAsia="en-GB"/>
              </w:rPr>
              <w:t>) of forest affecting the achievement of objectives</w:t>
            </w: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river requiring buffer zones to intercept or reduce sediment loads to rivers to achieve objectives</w:t>
            </w:r>
          </w:p>
        </w:tc>
      </w:tr>
      <w:tr w:rsidR="00BF0382" w:rsidRPr="00D95552" w:rsidTr="00BB474C">
        <w:trPr>
          <w:trHeight w:val="1020"/>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forest land (km</w:t>
            </w:r>
            <w:r w:rsidRPr="008D6A99">
              <w:rPr>
                <w:color w:val="000000"/>
                <w:sz w:val="22"/>
                <w:szCs w:val="22"/>
                <w:vertAlign w:val="superscript"/>
                <w:lang w:val="en-GB" w:eastAsia="en-GB"/>
              </w:rPr>
              <w:t>2</w:t>
            </w:r>
            <w:r w:rsidRPr="008D6A99">
              <w:rPr>
                <w:color w:val="000000"/>
                <w:sz w:val="22"/>
                <w:szCs w:val="22"/>
                <w:lang w:val="en-GB" w:eastAsia="en-GB"/>
              </w:rPr>
              <w:t>) requiring measures to achieve objectives</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forestry land (km</w:t>
            </w:r>
            <w:r w:rsidRPr="008D6A99">
              <w:rPr>
                <w:color w:val="000000"/>
                <w:sz w:val="22"/>
                <w:szCs w:val="22"/>
                <w:vertAlign w:val="superscript"/>
                <w:lang w:val="en-GB" w:eastAsia="en-GB"/>
              </w:rPr>
              <w:t>2</w:t>
            </w:r>
            <w:r w:rsidRPr="008D6A99">
              <w:rPr>
                <w:color w:val="000000"/>
                <w:sz w:val="22"/>
                <w:szCs w:val="22"/>
                <w:lang w:val="en-GB" w:eastAsia="en-GB"/>
              </w:rPr>
              <w:t>) at risk of soil erosion</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water body bodies requiring buffer zones to intercept or reduce sediment loads to water bodies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 Area of forest land (km</w:t>
            </w:r>
            <w:r w:rsidRPr="008D6A99">
              <w:rPr>
                <w:color w:val="000000"/>
                <w:sz w:val="22"/>
                <w:szCs w:val="22"/>
                <w:vertAlign w:val="superscript"/>
                <w:lang w:val="en-GB" w:eastAsia="en-GB"/>
              </w:rPr>
              <w:t>2</w:t>
            </w:r>
            <w:r w:rsidRPr="008D6A99">
              <w:rPr>
                <w:color w:val="000000"/>
                <w:sz w:val="22"/>
                <w:szCs w:val="22"/>
                <w:lang w:val="en-GB" w:eastAsia="en-GB"/>
              </w:rPr>
              <w:t>) requiring measures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2.4 - Diffuse – Transport</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not achieving objectives because of this pressure</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surface water interceptors and treatment facilities required to achieve objectives.</w:t>
            </w:r>
          </w:p>
        </w:tc>
      </w:tr>
      <w:tr w:rsidR="00BF0382" w:rsidRPr="00D95552" w:rsidTr="00BB474C">
        <w:trPr>
          <w:trHeight w:val="127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Length of transport infrastructure required to be subject to regulation and/or codes of practice for use and disposal of chemicals for the achievement of objectives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2.5 - Diffuse – Contaminated sites or abandoned industrial sites</w:t>
            </w:r>
          </w:p>
        </w:tc>
        <w:tc>
          <w:tcPr>
            <w:tcW w:w="2260" w:type="dxa"/>
            <w:tcBorders>
              <w:top w:val="single" w:sz="4" w:space="0" w:color="auto"/>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contaminated sites affecting the achievement of objectives</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4 Remediation of contaminated sites (historical pollution including sediments, groundwater, soil)</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land covered by the measures (km</w:t>
            </w:r>
            <w:r w:rsidRPr="008D6A99">
              <w:rPr>
                <w:color w:val="000000"/>
                <w:sz w:val="22"/>
                <w:szCs w:val="22"/>
                <w:vertAlign w:val="superscript"/>
                <w:lang w:val="en-GB" w:eastAsia="en-GB"/>
              </w:rPr>
              <w:t>2</w:t>
            </w:r>
            <w:r w:rsidRPr="008D6A99">
              <w:rPr>
                <w:color w:val="000000"/>
                <w:sz w:val="22"/>
                <w:szCs w:val="22"/>
                <w:lang w:val="en-GB" w:eastAsia="en-GB"/>
              </w:rPr>
              <w:t>) required to achieve objectives</w:t>
            </w:r>
          </w:p>
        </w:tc>
      </w:tr>
      <w:tr w:rsidR="00BF0382" w:rsidRPr="00D95552" w:rsidTr="00BB474C">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contaminated sites to be remediated or where preventative actions are to be taken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2.6 - Diffuse - Discharges</w:t>
            </w:r>
            <w:r w:rsidRPr="008D6A99">
              <w:rPr>
                <w:color w:val="000000"/>
                <w:sz w:val="22"/>
                <w:szCs w:val="22"/>
                <w:u w:val="single"/>
                <w:lang w:val="en-GB" w:eastAsia="en-GB"/>
              </w:rPr>
              <w:t xml:space="preserve"> </w:t>
            </w:r>
            <w:r w:rsidRPr="008D6A99">
              <w:rPr>
                <w:color w:val="000000"/>
                <w:sz w:val="22"/>
                <w:szCs w:val="22"/>
                <w:lang w:val="en-GB" w:eastAsia="en-GB"/>
              </w:rPr>
              <w:t>not connected to sewerage network</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upgraded storm overflows required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sustainable drainage systems required to achieve objectives.</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discharges not connected to sewerage network that are causing the failure of objectives</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discharges required to be connected to sewerage network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785"/>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2.7 Diffuse - Atmospheric deposition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Agriculture, Energy - non-hydropower, Industry, Transport, Urban development</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15 Measures for the phasing-out of emissions, discharges and losses of priority hazardous substances or for the reduction of emissions, discharges and losses of priority substances.</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substances requiring restrictions or bans on uses to achieve objectives</w:t>
            </w:r>
          </w:p>
        </w:tc>
      </w:tr>
      <w:tr w:rsidR="00BF0382" w:rsidRPr="00D95552" w:rsidTr="00BB474C">
        <w:trPr>
          <w:trHeight w:val="510"/>
        </w:trPr>
        <w:tc>
          <w:tcPr>
            <w:tcW w:w="2560"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new permits required or permits that need to be updated to achieve objectives</w:t>
            </w:r>
          </w:p>
        </w:tc>
      </w:tr>
      <w:tr w:rsidR="00BF0382" w:rsidRPr="00D95552" w:rsidTr="00BB474C">
        <w:trPr>
          <w:trHeight w:val="510"/>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installations covered by the measures required to achieve objectives</w:t>
            </w:r>
          </w:p>
        </w:tc>
      </w:tr>
      <w:tr w:rsidR="00BF0382" w:rsidRPr="00D95552" w:rsidTr="00BB474C">
        <w:trPr>
          <w:trHeight w:val="510"/>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25 Measures to counteract acidification</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that need to be limed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buffer zones required to counteract acidification for the achievement of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new permits required or permits that need to be updated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installations that need to be covered by measures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2.8 - Diffuse – Mining</w:t>
            </w:r>
          </w:p>
        </w:tc>
        <w:tc>
          <w:tcPr>
            <w:tcW w:w="2260" w:type="dxa"/>
            <w:tcBorders>
              <w:top w:val="nil"/>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mines for which measures are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2.9 - Diffuse – Aquaculture </w:t>
            </w:r>
          </w:p>
        </w:tc>
        <w:tc>
          <w:tcPr>
            <w:tcW w:w="2260" w:type="dxa"/>
            <w:tcBorders>
              <w:top w:val="nil"/>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Fisheries and aquaculture</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aquaculture sites/facilities for which measures are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2.10 -  Diffuse – Other </w:t>
            </w:r>
          </w:p>
        </w:tc>
        <w:tc>
          <w:tcPr>
            <w:tcW w:w="2260" w:type="dxa"/>
            <w:tcBorders>
              <w:top w:val="nil"/>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affected by the measures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3.1 - Abstraction or flow diversion – Agriculture </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Volume of water abstracted/diverted for agriculture (million m</w:t>
            </w:r>
            <w:r w:rsidRPr="008D6A99">
              <w:rPr>
                <w:color w:val="000000"/>
                <w:sz w:val="22"/>
                <w:szCs w:val="22"/>
                <w:vertAlign w:val="superscript"/>
                <w:lang w:val="en-GB" w:eastAsia="en-GB"/>
              </w:rPr>
              <w:t>3</w:t>
            </w:r>
            <w:r w:rsidRPr="008D6A99">
              <w:rPr>
                <w:color w:val="000000"/>
                <w:sz w:val="22"/>
                <w:szCs w:val="22"/>
                <w:lang w:val="en-GB" w:eastAsia="en-GB"/>
              </w:rPr>
              <w:t>) to be reduced to achieve objectives.</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Irrigated area required to be covered by measures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Reduction (%) in water consumption required to achieve objectives</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11 Progress in water pricing policy measures for the implementation of the recovery of cost of water services from agriculture</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Agricultural area (km</w:t>
            </w:r>
            <w:r w:rsidRPr="008D6A99">
              <w:rPr>
                <w:color w:val="000000"/>
                <w:sz w:val="22"/>
                <w:szCs w:val="22"/>
                <w:vertAlign w:val="superscript"/>
                <w:lang w:val="en-GB" w:eastAsia="en-GB"/>
              </w:rPr>
              <w:t>2</w:t>
            </w:r>
            <w:r w:rsidRPr="008D6A99">
              <w:rPr>
                <w:color w:val="000000"/>
                <w:sz w:val="22"/>
                <w:szCs w:val="22"/>
                <w:lang w:val="en-GB" w:eastAsia="en-GB"/>
              </w:rPr>
              <w:t>) where water pricing policy measures are required to achieve the objectives of Article 9</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farms that need to covered by advisory services to achieve objectives</w:t>
            </w:r>
          </w:p>
        </w:tc>
      </w:tr>
      <w:tr w:rsidR="00BF0382" w:rsidRPr="00D95552" w:rsidTr="00BB474C">
        <w:trPr>
          <w:trHeight w:val="255"/>
        </w:trPr>
        <w:tc>
          <w:tcPr>
            <w:tcW w:w="2560"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advisory services required to achieve objectives</w:t>
            </w:r>
          </w:p>
        </w:tc>
      </w:tr>
      <w:tr w:rsidR="00BF0382" w:rsidRPr="00D95552" w:rsidTr="00BB474C">
        <w:trPr>
          <w:trHeight w:val="255"/>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(km</w:t>
            </w:r>
            <w:r w:rsidRPr="008D6A99">
              <w:rPr>
                <w:color w:val="000000"/>
                <w:sz w:val="22"/>
                <w:szCs w:val="22"/>
                <w:vertAlign w:val="superscript"/>
                <w:lang w:val="en-GB" w:eastAsia="en-GB"/>
              </w:rPr>
              <w:t>2</w:t>
            </w:r>
            <w:r w:rsidRPr="008D6A99">
              <w:rPr>
                <w:color w:val="000000"/>
                <w:sz w:val="22"/>
                <w:szCs w:val="22"/>
                <w:lang w:val="en-GB" w:eastAsia="en-GB"/>
              </w:rPr>
              <w:t>) of agricultural land that needs to be covered by advisory services to achieve objectives.</w:t>
            </w:r>
          </w:p>
        </w:tc>
      </w:tr>
      <w:tr w:rsidR="00BF0382" w:rsidRPr="00D95552" w:rsidTr="00BB474C">
        <w:trPr>
          <w:trHeight w:val="25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Farm Surveys required to be undertaken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3.2 - Abstraction or flow diversion – Public water supply</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Volume of water abstracted/diverted for public water supply (million m</w:t>
            </w:r>
            <w:r w:rsidRPr="008D6A99">
              <w:rPr>
                <w:color w:val="000000"/>
                <w:sz w:val="22"/>
                <w:szCs w:val="22"/>
                <w:vertAlign w:val="superscript"/>
                <w:lang w:val="en-GB" w:eastAsia="en-GB"/>
              </w:rPr>
              <w:t>3</w:t>
            </w:r>
            <w:r w:rsidRPr="008D6A99">
              <w:rPr>
                <w:color w:val="000000"/>
                <w:sz w:val="22"/>
                <w:szCs w:val="22"/>
                <w:lang w:val="en-GB" w:eastAsia="en-GB"/>
              </w:rPr>
              <w:t>) to be reduced to achieve objectives</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households required to be covered by measures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Reduction (%) in water consumption required to achieve objectives</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9 Progress in water pricing policy measures for the implementation of the recovery of cost of water services from households</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Size of population for which water pricing policy measures are required to achieve the objectives of Article 9</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(km</w:t>
            </w:r>
            <w:r w:rsidRPr="008D6A99">
              <w:rPr>
                <w:color w:val="000000"/>
                <w:sz w:val="22"/>
                <w:szCs w:val="22"/>
                <w:vertAlign w:val="superscript"/>
                <w:lang w:val="en-GB" w:eastAsia="en-GB"/>
              </w:rPr>
              <w:t>2</w:t>
            </w:r>
            <w:r w:rsidRPr="008D6A99">
              <w:rPr>
                <w:color w:val="000000"/>
                <w:sz w:val="22"/>
                <w:szCs w:val="22"/>
                <w:lang w:val="en-GB" w:eastAsia="en-GB"/>
              </w:rPr>
              <w:t>) of RBD for which water pricing policy measures are required to achieve the objectives of Article 9</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3.3 - Abstraction or flow diversion – Industry </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Volume of water abstracted/diverted for industry (million m</w:t>
            </w:r>
            <w:r w:rsidRPr="008D6A99">
              <w:rPr>
                <w:color w:val="000000"/>
                <w:sz w:val="22"/>
                <w:szCs w:val="22"/>
                <w:vertAlign w:val="superscript"/>
                <w:lang w:val="en-GB" w:eastAsia="en-GB"/>
              </w:rPr>
              <w:t>3</w:t>
            </w:r>
            <w:r w:rsidRPr="008D6A99">
              <w:rPr>
                <w:color w:val="000000"/>
                <w:sz w:val="22"/>
                <w:szCs w:val="22"/>
                <w:lang w:val="en-GB" w:eastAsia="en-GB"/>
              </w:rPr>
              <w:t>) to be reduced to achieve objectives</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installations required to be covered by measures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Reduction (%) in water consumption required to achieve objectives</w:t>
            </w:r>
          </w:p>
        </w:tc>
      </w:tr>
      <w:tr w:rsidR="00BF0382" w:rsidRPr="00D95552" w:rsidTr="00BB474C">
        <w:trPr>
          <w:trHeight w:val="127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installations for which water pricing policy measures are required to achieve the objectives of Article 9</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3.4 - Abstraction or flow diversion – Cooling water</w:t>
            </w:r>
          </w:p>
        </w:tc>
        <w:tc>
          <w:tcPr>
            <w:tcW w:w="2260" w:type="dxa"/>
            <w:tcBorders>
              <w:top w:val="single" w:sz="4" w:space="0" w:color="auto"/>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 Energy - non-hydropower</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Volume of water abstracted/diverted for cooling water (million m</w:t>
            </w:r>
            <w:r w:rsidRPr="008D6A99">
              <w:rPr>
                <w:color w:val="000000"/>
                <w:sz w:val="22"/>
                <w:szCs w:val="22"/>
                <w:vertAlign w:val="superscript"/>
                <w:lang w:val="en-GB" w:eastAsia="en-GB"/>
              </w:rPr>
              <w:t>3</w:t>
            </w:r>
            <w:r w:rsidRPr="008D6A99">
              <w:rPr>
                <w:color w:val="000000"/>
                <w:sz w:val="22"/>
                <w:szCs w:val="22"/>
                <w:lang w:val="en-GB"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127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installations for which water pricing policy measures are required to achieve the objectives of Article 9</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3.5 - Abstraction or flow diversion – Hydropower</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Energy - hydropower</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Volume of water abstracted/diverted (million m</w:t>
            </w:r>
            <w:r w:rsidRPr="008D6A99">
              <w:rPr>
                <w:color w:val="000000"/>
                <w:sz w:val="22"/>
                <w:szCs w:val="22"/>
                <w:vertAlign w:val="superscript"/>
                <w:lang w:val="en-GB" w:eastAsia="en-GB"/>
              </w:rPr>
              <w:t>3</w:t>
            </w:r>
            <w:r w:rsidRPr="008D6A99">
              <w:rPr>
                <w:color w:val="000000"/>
                <w:sz w:val="22"/>
                <w:szCs w:val="22"/>
                <w:lang w:val="en-GB" w:eastAsia="en-GB"/>
              </w:rPr>
              <w:t>) to be reduced to achieve objectives</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127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installations for which water pricing policy measures are required to achieve the objectives of Article 9</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3.6 - Abstraction or flow diversion - Fish farms</w:t>
            </w:r>
          </w:p>
        </w:tc>
        <w:tc>
          <w:tcPr>
            <w:tcW w:w="2260" w:type="dxa"/>
            <w:tcBorders>
              <w:top w:val="single" w:sz="4" w:space="0" w:color="auto"/>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Fisheries and aquaculture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Volume of water abstracted/diverted for aquaculture (million m</w:t>
            </w:r>
            <w:r w:rsidRPr="008D6A99">
              <w:rPr>
                <w:color w:val="000000"/>
                <w:sz w:val="22"/>
                <w:szCs w:val="22"/>
                <w:vertAlign w:val="superscript"/>
                <w:lang w:val="en-GB" w:eastAsia="en-GB"/>
              </w:rPr>
              <w:t>3</w:t>
            </w:r>
            <w:r w:rsidRPr="008D6A99">
              <w:rPr>
                <w:color w:val="000000"/>
                <w:sz w:val="22"/>
                <w:szCs w:val="22"/>
                <w:lang w:val="en-GB"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7 Improvements in flow regime and/or establishment of ecological flows</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127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installations for which water pricing policy measures are required to achieve the objectives of Article 9</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3.7 - Abstraction or flow diversion – Other </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Tourism and recreation</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Volume of water abstracted/diverted for other purposes (such as recreation) (million m</w:t>
            </w:r>
            <w:r w:rsidRPr="008D6A99">
              <w:rPr>
                <w:color w:val="000000"/>
                <w:sz w:val="22"/>
                <w:szCs w:val="22"/>
                <w:vertAlign w:val="superscript"/>
                <w:lang w:val="en-GB" w:eastAsia="en-GB"/>
              </w:rPr>
              <w:t>3</w:t>
            </w:r>
            <w:r w:rsidRPr="008D6A99">
              <w:rPr>
                <w:color w:val="000000"/>
                <w:sz w:val="22"/>
                <w:szCs w:val="22"/>
                <w:lang w:val="en-GB" w:eastAsia="en-GB"/>
              </w:rPr>
              <w:t>) to be reduced to achieve objectives</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19 Measures to prevent or control the adverse impacts of recreation including angling</w:t>
            </w:r>
          </w:p>
        </w:tc>
        <w:tc>
          <w:tcPr>
            <w:tcW w:w="3247" w:type="dxa"/>
            <w:tcBorders>
              <w:top w:val="single" w:sz="4" w:space="0" w:color="auto"/>
              <w:left w:val="single" w:sz="4" w:space="0" w:color="auto"/>
              <w:bottom w:val="single" w:sz="4" w:space="0" w:color="auto"/>
              <w:right w:val="nil"/>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affected by measures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single" w:sz="4" w:space="0" w:color="auto"/>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4.1.1 - Physical alteration of channel/bed</w:t>
            </w:r>
            <w:r w:rsidRPr="008D6A99">
              <w:rPr>
                <w:color w:val="000000"/>
                <w:sz w:val="22"/>
                <w:szCs w:val="22"/>
                <w:u w:val="single"/>
                <w:lang w:val="en-GB" w:eastAsia="en-GB"/>
              </w:rPr>
              <w:t>/</w:t>
            </w:r>
            <w:r w:rsidRPr="008D6A99">
              <w:rPr>
                <w:color w:val="000000"/>
                <w:sz w:val="22"/>
                <w:szCs w:val="22"/>
                <w:lang w:val="en-GB" w:eastAsia="en-GB"/>
              </w:rPr>
              <w:t>riparian area/shore  - Flood protection</w:t>
            </w:r>
          </w:p>
        </w:tc>
        <w:tc>
          <w:tcPr>
            <w:tcW w:w="2260" w:type="dxa"/>
            <w:tcBorders>
              <w:top w:val="single" w:sz="4" w:space="0" w:color="auto"/>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Flood</w:t>
            </w:r>
            <w:r>
              <w:rPr>
                <w:color w:val="000000"/>
                <w:sz w:val="22"/>
                <w:szCs w:val="22"/>
                <w:u w:val="single"/>
                <w:lang w:eastAsia="en-GB"/>
              </w:rPr>
              <w:t xml:space="preserve"> </w:t>
            </w:r>
            <w:r>
              <w:rPr>
                <w:color w:val="000000"/>
                <w:sz w:val="22"/>
                <w:szCs w:val="22"/>
                <w:lang w:eastAsia="en-GB"/>
              </w:rPr>
              <w:t>protection</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of water bodies affected by alterations for flood protection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remeandering of straightened river channels required for the achievement of objectives</w:t>
            </w:r>
          </w:p>
        </w:tc>
      </w:tr>
      <w:tr w:rsidR="00BF0382" w:rsidRPr="00D95552" w:rsidTr="00BB474C">
        <w:trPr>
          <w:trHeight w:val="510"/>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river with bed restoration measures required for the achievement of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23 Natural water retention measures</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sustainable drainage systems required for the achievement of objectives</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Length/area of water bodies required to be restored or reconnected to floodplains for the achievement of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4.1.2 - Physical alteration of channel/bed</w:t>
            </w:r>
            <w:r w:rsidRPr="008D6A99">
              <w:rPr>
                <w:color w:val="000000"/>
                <w:sz w:val="22"/>
                <w:szCs w:val="22"/>
                <w:u w:val="single"/>
                <w:lang w:val="en-GB" w:eastAsia="en-GB"/>
              </w:rPr>
              <w:t>/</w:t>
            </w:r>
            <w:r w:rsidRPr="008D6A99">
              <w:rPr>
                <w:color w:val="000000"/>
                <w:sz w:val="22"/>
                <w:szCs w:val="22"/>
                <w:lang w:val="en-GB" w:eastAsia="en-GB"/>
              </w:rPr>
              <w:t>riparian area/shore  - Agriculture</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of water bodies affected by alterations for agriculture not compatible with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remeandering of straightened river channels required for the achievement of objectives</w:t>
            </w:r>
          </w:p>
        </w:tc>
      </w:tr>
      <w:tr w:rsidR="00BF0382" w:rsidRPr="00D95552" w:rsidTr="00BB474C">
        <w:trPr>
          <w:trHeight w:val="1275"/>
        </w:trPr>
        <w:tc>
          <w:tcPr>
            <w:tcW w:w="2560"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river with bed restoration measures required for the achievement of objectives.</w:t>
            </w:r>
          </w:p>
        </w:tc>
      </w:tr>
      <w:tr w:rsidR="00BF0382" w:rsidRPr="00D95552" w:rsidTr="00BB474C">
        <w:trPr>
          <w:trHeight w:val="1275"/>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Length or area of bank/shore that will require rehabilitation and/or restoration measures for the achievement of objectives </w:t>
            </w:r>
          </w:p>
        </w:tc>
      </w:tr>
      <w:tr w:rsidR="00BF0382" w:rsidRPr="00D95552" w:rsidTr="00BB474C">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or area of bank/shore that will require removal of hard infrastructure for the achievement of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4.1.3 - Physical alteration of channel/bed</w:t>
            </w:r>
            <w:r w:rsidRPr="008D6A99">
              <w:rPr>
                <w:color w:val="000000"/>
                <w:sz w:val="22"/>
                <w:szCs w:val="22"/>
                <w:u w:val="single"/>
                <w:lang w:val="en-GB" w:eastAsia="en-GB"/>
              </w:rPr>
              <w:t>/</w:t>
            </w:r>
            <w:r w:rsidRPr="008D6A99">
              <w:rPr>
                <w:color w:val="000000"/>
                <w:sz w:val="22"/>
                <w:szCs w:val="22"/>
                <w:lang w:val="en-GB" w:eastAsia="en-GB"/>
              </w:rPr>
              <w:t>riparian area/shore  - Navigation</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of water bodies affected by alterations for navigation not compatible with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remeandering of straightened river channels required for the achievement of objectives</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river with bed restoration measures required for the achievement of objectives.</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Length or area of bank/shore that will require rehabilitation and/or restoration measures for the achievement of objectives </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or area of bank/shore that will require removal of hard infrastructure for the achievement of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4.1.4 - Physical alteration of channel/bed</w:t>
            </w:r>
            <w:r w:rsidRPr="008D6A99">
              <w:rPr>
                <w:color w:val="000000"/>
                <w:sz w:val="22"/>
                <w:szCs w:val="22"/>
                <w:u w:val="single"/>
                <w:lang w:val="en-GB" w:eastAsia="en-GB"/>
              </w:rPr>
              <w:t>/</w:t>
            </w:r>
            <w:r w:rsidRPr="008D6A99">
              <w:rPr>
                <w:color w:val="000000"/>
                <w:sz w:val="22"/>
                <w:szCs w:val="22"/>
                <w:lang w:val="en-GB" w:eastAsia="en-GB"/>
              </w:rPr>
              <w:t>riparian area/shore – Other</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of water bodies affected by alterations for other purposes not compatible with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remeandering of straightened river channels required for the achievement of objectives</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river with bed restoration measures required for the achievement of objectives.</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Length or area of bank/shore that will require rehabilitation and/or restoration measures for the achievement of objectives </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or area of bank/shore that will require removal of hard infrastructure for the achievement of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4.1.5 - Physical alteration of channel/bed/riparian area/shore – Unknown or obsolete</w:t>
            </w:r>
          </w:p>
        </w:tc>
        <w:tc>
          <w:tcPr>
            <w:tcW w:w="226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of water bodies affected by alterations for unknown purposes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remeandering of straightened river channels required for the achievement of objectives</w:t>
            </w:r>
          </w:p>
        </w:tc>
      </w:tr>
      <w:tr w:rsidR="00BF0382" w:rsidRPr="00D95552" w:rsidTr="00BB474C">
        <w:trPr>
          <w:trHeight w:val="1275"/>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river with bed restoration measures required for the achievement of objectives.</w:t>
            </w:r>
          </w:p>
        </w:tc>
      </w:tr>
      <w:tr w:rsidR="00BF0382" w:rsidRPr="00D95552" w:rsidTr="00BB474C">
        <w:trPr>
          <w:trHeight w:val="127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Length or area of bank/shore that will require rehabilitation and/or restoration measures for the achievement of objectives </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or area of bank/shore that will require removal of hard infrastructure for the achievement of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65"/>
        </w:trPr>
        <w:tc>
          <w:tcPr>
            <w:tcW w:w="2560" w:type="dxa"/>
            <w:vMerge w:val="restart"/>
            <w:tcBorders>
              <w:top w:val="nil"/>
              <w:left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4.2.1 - Dams, barriers and locks  -  Hydropower</w:t>
            </w:r>
          </w:p>
          <w:p w:rsidR="00BF0382" w:rsidRDefault="00BF0382" w:rsidP="00BB474C">
            <w:pPr>
              <w:spacing w:after="0"/>
              <w:jc w:val="both"/>
              <w:rPr>
                <w:color w:val="000000"/>
                <w:sz w:val="22"/>
                <w:szCs w:val="22"/>
                <w:lang w:eastAsia="en-GB"/>
              </w:rPr>
            </w:pPr>
            <w:r>
              <w:rPr>
                <w:color w:val="000000"/>
                <w:sz w:val="22"/>
                <w:szCs w:val="22"/>
                <w:lang w:eastAsia="en-GB"/>
              </w:rPr>
              <w:t> </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Energy – hydropower</w:t>
            </w:r>
          </w:p>
          <w:p w:rsidR="00BF0382" w:rsidRDefault="00BF0382" w:rsidP="00BB474C">
            <w:pPr>
              <w:spacing w:after="0"/>
              <w:jc w:val="both"/>
              <w:rPr>
                <w:color w:val="000000"/>
                <w:sz w:val="22"/>
                <w:szCs w:val="22"/>
                <w:lang w:eastAsia="en-GB"/>
              </w:rPr>
            </w:pPr>
            <w:r>
              <w:rPr>
                <w:color w:val="000000"/>
                <w:sz w:val="22"/>
                <w:szCs w:val="22"/>
                <w:lang w:eastAsia="en-GB"/>
              </w:rPr>
              <w:t> </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dams, weirs, barriers and locks associated with hydropower that have conditions not compatible with the achievement of good ecological status/good ecological potential</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5 Improving longitudinal continuity (e.g. establishing fish passes, demolishing old dams).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barriers required to be tackled for the achievement of objectives</w:t>
            </w:r>
          </w:p>
        </w:tc>
      </w:tr>
      <w:tr w:rsidR="00BF0382" w:rsidRPr="00D95552" w:rsidTr="00BB474C">
        <w:trPr>
          <w:trHeight w:val="795"/>
        </w:trPr>
        <w:tc>
          <w:tcPr>
            <w:tcW w:w="2560" w:type="dxa"/>
            <w:vMerge/>
            <w:tcBorders>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or area (km</w:t>
            </w:r>
            <w:r w:rsidRPr="008D6A99">
              <w:rPr>
                <w:color w:val="000000"/>
                <w:sz w:val="22"/>
                <w:szCs w:val="22"/>
                <w:vertAlign w:val="superscript"/>
                <w:lang w:val="en-GB" w:eastAsia="en-GB"/>
              </w:rPr>
              <w:t>2</w:t>
            </w:r>
            <w:r w:rsidRPr="008D6A99">
              <w:rPr>
                <w:color w:val="000000"/>
                <w:sz w:val="22"/>
                <w:szCs w:val="22"/>
                <w:lang w:val="en-GB" w:eastAsia="en-GB"/>
              </w:rPr>
              <w:t>) of river network that will be affected by the measures required to achieve objectives</w:t>
            </w:r>
          </w:p>
        </w:tc>
      </w:tr>
      <w:tr w:rsidR="00BF0382" w:rsidRPr="00D95552" w:rsidTr="00BB474C">
        <w:trPr>
          <w:trHeight w:val="510"/>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fish/continuity passes required to be installed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4.2.2 - Dams, barriers and locks  - Flood protection</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Flood Protection</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dams, weirs, barriers and locks associated with flood protection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barriers required to be tackled for the achievement of objectives</w:t>
            </w:r>
          </w:p>
        </w:tc>
      </w:tr>
      <w:tr w:rsidR="00BF0382" w:rsidRPr="00D95552" w:rsidTr="00BB474C">
        <w:trPr>
          <w:trHeight w:val="79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or area (km</w:t>
            </w:r>
            <w:r w:rsidRPr="008D6A99">
              <w:rPr>
                <w:color w:val="000000"/>
                <w:sz w:val="22"/>
                <w:szCs w:val="22"/>
                <w:vertAlign w:val="superscript"/>
                <w:lang w:val="en-GB" w:eastAsia="en-GB"/>
              </w:rPr>
              <w:t>2</w:t>
            </w:r>
            <w:r w:rsidRPr="008D6A99">
              <w:rPr>
                <w:color w:val="000000"/>
                <w:sz w:val="22"/>
                <w:szCs w:val="22"/>
                <w:lang w:val="en-GB" w:eastAsia="en-GB"/>
              </w:rPr>
              <w:t>) of river network that will be affected by the measures required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fish/continuity passes required to be installed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4.2.3 - Dams, barriers and locks  - Drinking water</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dams, weirs, barriers and locks associated with drinking water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barriers required to be tackled for the achievement of objectives</w:t>
            </w:r>
          </w:p>
        </w:tc>
      </w:tr>
      <w:tr w:rsidR="00BF0382" w:rsidRPr="00D95552" w:rsidTr="00BB474C">
        <w:trPr>
          <w:trHeight w:val="79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or area (km</w:t>
            </w:r>
            <w:r w:rsidRPr="008D6A99">
              <w:rPr>
                <w:color w:val="000000"/>
                <w:sz w:val="22"/>
                <w:szCs w:val="22"/>
                <w:vertAlign w:val="superscript"/>
                <w:lang w:val="en-GB" w:eastAsia="en-GB"/>
              </w:rPr>
              <w:t>2</w:t>
            </w:r>
            <w:r w:rsidRPr="008D6A99">
              <w:rPr>
                <w:color w:val="000000"/>
                <w:sz w:val="22"/>
                <w:szCs w:val="22"/>
                <w:lang w:val="en-GB" w:eastAsia="en-GB"/>
              </w:rPr>
              <w:t>) of river network that will be affected by the measures required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fish/continuity passes required to be installed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4.2.4 - Dams, barriers and locks  - Irrigation</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dams, weirs, barriers and locks associated with irrigation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barriers required to be tackled for the achievement of objectives</w:t>
            </w:r>
          </w:p>
        </w:tc>
      </w:tr>
      <w:tr w:rsidR="00BF0382" w:rsidRPr="00D95552" w:rsidTr="00BB474C">
        <w:trPr>
          <w:trHeight w:val="79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or area (km</w:t>
            </w:r>
            <w:r w:rsidRPr="008D6A99">
              <w:rPr>
                <w:color w:val="000000"/>
                <w:sz w:val="22"/>
                <w:szCs w:val="22"/>
                <w:vertAlign w:val="superscript"/>
                <w:lang w:val="en-GB" w:eastAsia="en-GB"/>
              </w:rPr>
              <w:t>2</w:t>
            </w:r>
            <w:r w:rsidRPr="008D6A99">
              <w:rPr>
                <w:color w:val="000000"/>
                <w:sz w:val="22"/>
                <w:szCs w:val="22"/>
                <w:lang w:val="en-GB" w:eastAsia="en-GB"/>
              </w:rPr>
              <w:t>) of river network that will be affected by the measures required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fish/continuity passes required to be installed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vMerge w:val="restart"/>
            <w:tcBorders>
              <w:top w:val="nil"/>
              <w:left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4.2.5 - Dams, barriers and locks  - Recreation</w:t>
            </w:r>
          </w:p>
          <w:p w:rsidR="00BF0382" w:rsidRDefault="00BF0382" w:rsidP="00BB474C">
            <w:pPr>
              <w:spacing w:after="0"/>
              <w:jc w:val="both"/>
              <w:rPr>
                <w:color w:val="000000"/>
                <w:sz w:val="22"/>
                <w:szCs w:val="22"/>
                <w:lang w:eastAsia="en-GB"/>
              </w:rPr>
            </w:pPr>
            <w:r>
              <w:rPr>
                <w:color w:val="000000"/>
                <w:sz w:val="22"/>
                <w:szCs w:val="22"/>
                <w:lang w:eastAsia="en-GB"/>
              </w:rPr>
              <w:t> </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Tourism and recreation</w:t>
            </w:r>
          </w:p>
          <w:p w:rsidR="00BF0382" w:rsidRDefault="00BF0382" w:rsidP="00BB474C">
            <w:pPr>
              <w:spacing w:after="0"/>
              <w:jc w:val="both"/>
              <w:rPr>
                <w:color w:val="000000"/>
                <w:sz w:val="22"/>
                <w:szCs w:val="22"/>
                <w:lang w:eastAsia="en-GB"/>
              </w:rPr>
            </w:pPr>
            <w:r>
              <w:rPr>
                <w:color w:val="000000"/>
                <w:sz w:val="22"/>
                <w:szCs w:val="22"/>
                <w:lang w:eastAsia="en-GB"/>
              </w:rPr>
              <w:t> </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dams, weirs, barriers and locks associated with recreation that have conditions not compatible with the achievement of good ecological status/good ecological potential</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5 Improving longitudinal continuity (e.g. establishing fish passes, demolishing old dams).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barriers required to be tackled for the achievement of objectives</w:t>
            </w:r>
          </w:p>
        </w:tc>
      </w:tr>
      <w:tr w:rsidR="00BF0382" w:rsidRPr="00D95552" w:rsidTr="00BB474C">
        <w:trPr>
          <w:trHeight w:val="795"/>
        </w:trPr>
        <w:tc>
          <w:tcPr>
            <w:tcW w:w="2560" w:type="dxa"/>
            <w:vMerge/>
            <w:tcBorders>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or area (km</w:t>
            </w:r>
            <w:r w:rsidRPr="008D6A99">
              <w:rPr>
                <w:color w:val="000000"/>
                <w:sz w:val="22"/>
                <w:szCs w:val="22"/>
                <w:vertAlign w:val="superscript"/>
                <w:lang w:val="en-GB" w:eastAsia="en-GB"/>
              </w:rPr>
              <w:t>2</w:t>
            </w:r>
            <w:r w:rsidRPr="008D6A99">
              <w:rPr>
                <w:color w:val="000000"/>
                <w:sz w:val="22"/>
                <w:szCs w:val="22"/>
                <w:lang w:val="en-GB" w:eastAsia="en-GB"/>
              </w:rPr>
              <w:t>) of river network that will be affected by the measures required to achieve objectives</w:t>
            </w:r>
          </w:p>
        </w:tc>
      </w:tr>
      <w:tr w:rsidR="00BF0382" w:rsidRPr="00D95552" w:rsidTr="00BB474C">
        <w:trPr>
          <w:trHeight w:val="510"/>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fish/continuity passes required to be installed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4.2.6 - Dams, barriers and locks  - Industry </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 Energy - non-hydropower</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dams, weirs, barriers and locks associated with industry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barriers required to be tackled for the achievement of objectives</w:t>
            </w:r>
          </w:p>
        </w:tc>
      </w:tr>
      <w:tr w:rsidR="00BF0382" w:rsidRPr="00D95552" w:rsidTr="00BB474C">
        <w:trPr>
          <w:trHeight w:val="79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or area (km</w:t>
            </w:r>
            <w:r w:rsidRPr="008D6A99">
              <w:rPr>
                <w:color w:val="000000"/>
                <w:sz w:val="22"/>
                <w:szCs w:val="22"/>
                <w:vertAlign w:val="superscript"/>
                <w:lang w:val="en-GB" w:eastAsia="en-GB"/>
              </w:rPr>
              <w:t>2</w:t>
            </w:r>
            <w:r w:rsidRPr="008D6A99">
              <w:rPr>
                <w:color w:val="000000"/>
                <w:sz w:val="22"/>
                <w:szCs w:val="22"/>
                <w:lang w:val="en-GB" w:eastAsia="en-GB"/>
              </w:rPr>
              <w:t>) of river network that will be affected by the measures required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fish/continuity passes required to be installed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vMerge w:val="restart"/>
            <w:tcBorders>
              <w:top w:val="single" w:sz="4" w:space="0" w:color="auto"/>
              <w:left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4.2.7 - Dams, barriers and locks  - Navigation</w:t>
            </w:r>
          </w:p>
          <w:p w:rsidR="00BF0382" w:rsidRDefault="00BF0382" w:rsidP="00BB474C">
            <w:pPr>
              <w:spacing w:after="0"/>
              <w:jc w:val="both"/>
              <w:rPr>
                <w:color w:val="000000"/>
                <w:sz w:val="22"/>
                <w:szCs w:val="22"/>
                <w:lang w:eastAsia="en-GB"/>
              </w:rPr>
            </w:pPr>
            <w:r>
              <w:rPr>
                <w:color w:val="000000"/>
                <w:sz w:val="22"/>
                <w:szCs w:val="22"/>
                <w:lang w:eastAsia="en-GB"/>
              </w:rPr>
              <w:t> </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Transport</w:t>
            </w:r>
          </w:p>
          <w:p w:rsidR="00BF0382" w:rsidRDefault="00BF0382" w:rsidP="00BB474C">
            <w:pPr>
              <w:spacing w:after="0"/>
              <w:jc w:val="both"/>
              <w:rPr>
                <w:color w:val="000000"/>
                <w:sz w:val="22"/>
                <w:szCs w:val="22"/>
                <w:lang w:eastAsia="en-GB"/>
              </w:rPr>
            </w:pPr>
            <w:r>
              <w:rPr>
                <w:color w:val="000000"/>
                <w:sz w:val="22"/>
                <w:szCs w:val="22"/>
                <w:lang w:eastAsia="en-GB"/>
              </w:rPr>
              <w:t> </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dams, weirs, barriers and locks associated with navigation that have conditions not compatible with the achievement of good ecological status/good ecological potential</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5 Improving longitudinal continuity (e.g. establishing fish passes, demolishing old dams).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barriers required to be tackled for the achievement of objectives</w:t>
            </w:r>
          </w:p>
        </w:tc>
      </w:tr>
      <w:tr w:rsidR="00BF0382" w:rsidRPr="00D95552" w:rsidTr="00BB474C">
        <w:trPr>
          <w:trHeight w:val="795"/>
        </w:trPr>
        <w:tc>
          <w:tcPr>
            <w:tcW w:w="2560" w:type="dxa"/>
            <w:vMerge/>
            <w:tcBorders>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or area (km</w:t>
            </w:r>
            <w:r w:rsidRPr="008D6A99">
              <w:rPr>
                <w:color w:val="000000"/>
                <w:sz w:val="22"/>
                <w:szCs w:val="22"/>
                <w:vertAlign w:val="superscript"/>
                <w:lang w:val="en-GB" w:eastAsia="en-GB"/>
              </w:rPr>
              <w:t>2</w:t>
            </w:r>
            <w:r w:rsidRPr="008D6A99">
              <w:rPr>
                <w:color w:val="000000"/>
                <w:sz w:val="22"/>
                <w:szCs w:val="22"/>
                <w:lang w:val="en-GB" w:eastAsia="en-GB"/>
              </w:rPr>
              <w:t>) of river network that will be affected by the measures required to achieve objectives</w:t>
            </w:r>
          </w:p>
        </w:tc>
      </w:tr>
      <w:tr w:rsidR="00BF0382" w:rsidRPr="00D95552" w:rsidTr="00BB474C">
        <w:trPr>
          <w:trHeight w:val="510"/>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fish/continuity passes required to be installed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4.2.8 - Dams, barriers and locks – Other</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dams, weirs, barriers and locks associated with other uses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barriers required to be tackled for the achievement of objectives</w:t>
            </w:r>
          </w:p>
        </w:tc>
      </w:tr>
      <w:tr w:rsidR="00BF0382" w:rsidRPr="00D95552" w:rsidTr="00BB474C">
        <w:trPr>
          <w:trHeight w:val="79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or area (km</w:t>
            </w:r>
            <w:r w:rsidRPr="008D6A99">
              <w:rPr>
                <w:color w:val="000000"/>
                <w:sz w:val="22"/>
                <w:szCs w:val="22"/>
                <w:vertAlign w:val="superscript"/>
                <w:lang w:val="en-GB" w:eastAsia="en-GB"/>
              </w:rPr>
              <w:t>2</w:t>
            </w:r>
            <w:r w:rsidRPr="008D6A99">
              <w:rPr>
                <w:color w:val="000000"/>
                <w:sz w:val="22"/>
                <w:szCs w:val="22"/>
                <w:lang w:val="en-GB" w:eastAsia="en-GB"/>
              </w:rPr>
              <w:t>) of river network that will be affected by the measures required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fish/continuity passes required to be installed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4.2.9 - Dams, barriers and locks – Unknown or obsolete</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dams, weirs, barriers and locks that have conditions not compatible with the achievement of good ecological status/good ecological potential</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5 Improving longitudinal continuity (e.g. establishing fish passes, demolishing old dams).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barriers required to be tackled for the achievement of objectives</w:t>
            </w:r>
          </w:p>
        </w:tc>
      </w:tr>
      <w:tr w:rsidR="00BF0382" w:rsidRPr="00D95552" w:rsidTr="00BB474C">
        <w:trPr>
          <w:trHeight w:val="795"/>
        </w:trPr>
        <w:tc>
          <w:tcPr>
            <w:tcW w:w="2560" w:type="dxa"/>
            <w:vMerge/>
            <w:tcBorders>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or area (km</w:t>
            </w:r>
            <w:r w:rsidRPr="008D6A99">
              <w:rPr>
                <w:color w:val="000000"/>
                <w:sz w:val="22"/>
                <w:szCs w:val="22"/>
                <w:vertAlign w:val="superscript"/>
                <w:lang w:val="en-GB" w:eastAsia="en-GB"/>
              </w:rPr>
              <w:t>2</w:t>
            </w:r>
            <w:r w:rsidRPr="008D6A99">
              <w:rPr>
                <w:color w:val="000000"/>
                <w:sz w:val="22"/>
                <w:szCs w:val="22"/>
                <w:lang w:val="en-GB" w:eastAsia="en-GB"/>
              </w:rPr>
              <w:t>) of river network that will be affected by the measures required to achieve objectives</w:t>
            </w:r>
          </w:p>
        </w:tc>
      </w:tr>
      <w:tr w:rsidR="00BF0382" w:rsidRPr="00D95552" w:rsidTr="00BB474C">
        <w:trPr>
          <w:trHeight w:val="510"/>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fish/continuity passes required to be installed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4.3.1 - Hydrological alteration – Agriculture </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Agriculture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w:t>
            </w:r>
            <w:r w:rsidRPr="008D6A99">
              <w:rPr>
                <w:color w:val="000000"/>
                <w:sz w:val="22"/>
                <w:szCs w:val="22"/>
                <w:vertAlign w:val="superscript"/>
                <w:lang w:val="en-GB" w:eastAsia="en-GB"/>
              </w:rPr>
              <w:t>2</w:t>
            </w:r>
            <w:r w:rsidRPr="008D6A99">
              <w:rPr>
                <w:color w:val="000000"/>
                <w:sz w:val="22"/>
                <w:szCs w:val="22"/>
                <w:lang w:val="en-GB" w:eastAsia="en-GB"/>
              </w:rPr>
              <w:t>) of water bodies where hydrological alterations for agricultural purposes are preventing the achievement of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vMerge w:val="restart"/>
            <w:tcBorders>
              <w:top w:val="nil"/>
              <w:left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4.3.2 - Hydrological alteration – Transport </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Transport</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(km2) of water bodies where hydrological alterations for transport purposes are preventing the achievement of good ecological status/good ecological potential</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Length of rivers (km) affected by the measures required for the achievement of objectives. </w:t>
            </w:r>
          </w:p>
        </w:tc>
      </w:tr>
      <w:tr w:rsidR="00BF0382" w:rsidRPr="00D95552" w:rsidTr="00BB474C">
        <w:trPr>
          <w:trHeight w:val="765"/>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4.3.3 - Hydrological alteration – Hydropower </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Energy – hydropower</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w:t>
            </w:r>
            <w:r w:rsidRPr="008D6A99">
              <w:rPr>
                <w:color w:val="000000"/>
                <w:sz w:val="22"/>
                <w:szCs w:val="22"/>
                <w:vertAlign w:val="superscript"/>
                <w:lang w:val="en-GB" w:eastAsia="en-GB"/>
              </w:rPr>
              <w:t>2</w:t>
            </w:r>
            <w:r w:rsidRPr="008D6A99">
              <w:rPr>
                <w:color w:val="000000"/>
                <w:sz w:val="22"/>
                <w:szCs w:val="22"/>
                <w:lang w:val="en-GB" w:eastAsia="en-GB"/>
              </w:rPr>
              <w:t>) of water bodies where hydrological alterations for hydropower production are preventing the achievement of good ecological status/good ecological potential</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where the operational modification of hydro-peaking is required for the achievement of objectives.</w:t>
            </w:r>
          </w:p>
        </w:tc>
      </w:tr>
      <w:tr w:rsidR="00BF0382" w:rsidRPr="00D95552" w:rsidTr="00BB474C">
        <w:trPr>
          <w:trHeight w:val="76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693"/>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4.3.4 - Hydrological alteration – Public water supply</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w:t>
            </w:r>
            <w:r w:rsidRPr="008D6A99">
              <w:rPr>
                <w:color w:val="000000"/>
                <w:sz w:val="22"/>
                <w:szCs w:val="22"/>
                <w:vertAlign w:val="superscript"/>
                <w:lang w:val="en-GB" w:eastAsia="en-GB"/>
              </w:rPr>
              <w:t>2</w:t>
            </w:r>
            <w:r w:rsidRPr="008D6A99">
              <w:rPr>
                <w:color w:val="000000"/>
                <w:sz w:val="22"/>
                <w:szCs w:val="22"/>
                <w:lang w:val="en-GB" w:eastAsia="en-GB"/>
              </w:rPr>
              <w:t>) of water bodies where hydrological alterations for public water supply purposes are preventing the achievement of good ecological status/good ecological potential</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41"/>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4.3.5 - Hydrological alteration - Aquaculture</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Fisheries and aquaculture</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w:t>
            </w:r>
            <w:r w:rsidRPr="008D6A99">
              <w:rPr>
                <w:color w:val="000000"/>
                <w:sz w:val="22"/>
                <w:szCs w:val="22"/>
                <w:vertAlign w:val="superscript"/>
                <w:lang w:val="en-GB" w:eastAsia="en-GB"/>
              </w:rPr>
              <w:t>2</w:t>
            </w:r>
            <w:r w:rsidRPr="008D6A99">
              <w:rPr>
                <w:color w:val="000000"/>
                <w:sz w:val="22"/>
                <w:szCs w:val="22"/>
                <w:lang w:val="en-GB" w:eastAsia="en-GB"/>
              </w:rPr>
              <w:t>) of water bodies where hydrological alterations for aquaculture purposes are preventing the achievement of good ecological status/good ecological potential</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14"/>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4.3.6 - Hydrological alteration – other</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w:t>
            </w:r>
            <w:r w:rsidRPr="008D6A99">
              <w:rPr>
                <w:color w:val="000000"/>
                <w:sz w:val="22"/>
                <w:szCs w:val="22"/>
                <w:vertAlign w:val="superscript"/>
                <w:lang w:val="en-GB" w:eastAsia="en-GB"/>
              </w:rPr>
              <w:t>2</w:t>
            </w:r>
            <w:r w:rsidRPr="008D6A99">
              <w:rPr>
                <w:color w:val="000000"/>
                <w:sz w:val="22"/>
                <w:szCs w:val="22"/>
                <w:lang w:val="en-GB" w:eastAsia="en-GB"/>
              </w:rPr>
              <w:t>) of water bodies where hydrological alterations for other purposes are preventing the achievement of good ecological status/good ecological potential</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7 Improvements in flow regime and/or establishment of ecological flows.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tc>
      </w:tr>
      <w:tr w:rsidR="00BF0382" w:rsidRPr="00D95552" w:rsidTr="00BB474C">
        <w:trPr>
          <w:trHeight w:val="102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xml:space="preserve">Number of water bodies where ecological flows need to be established to achieve objectives. </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4.4 – Hydromorphological alteration - Physical loss of whole or part of the water body</w:t>
            </w:r>
          </w:p>
        </w:tc>
        <w:tc>
          <w:tcPr>
            <w:tcW w:w="2260" w:type="dxa"/>
            <w:tcBorders>
              <w:top w:val="single" w:sz="4" w:space="0" w:color="auto"/>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Flood Protection, Climate change</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w:t>
            </w:r>
            <w:r w:rsidRPr="008D6A99">
              <w:rPr>
                <w:color w:val="000000"/>
                <w:sz w:val="22"/>
                <w:szCs w:val="22"/>
                <w:vertAlign w:val="superscript"/>
                <w:lang w:val="en-GB" w:eastAsia="en-GB"/>
              </w:rPr>
              <w:t>2</w:t>
            </w:r>
            <w:r w:rsidRPr="008D6A99">
              <w:rPr>
                <w:color w:val="000000"/>
                <w:sz w:val="22"/>
                <w:szCs w:val="22"/>
                <w:lang w:val="en-GB" w:eastAsia="en-GB"/>
              </w:rPr>
              <w:t>) of water bodies where physical loss of habitats are preventing the achievement of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Length/area of water bodies that are required to be restored or reconnected to floodplains for the achievement of objectives.</w:t>
            </w:r>
          </w:p>
        </w:tc>
      </w:tr>
      <w:tr w:rsidR="00BF0382" w:rsidRPr="00D95552" w:rsidTr="00BB474C">
        <w:trPr>
          <w:trHeight w:val="51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Length/area of water bodies that require to be restored to achieve objectives</w:t>
            </w:r>
          </w:p>
        </w:tc>
      </w:tr>
      <w:tr w:rsidR="00BF0382" w:rsidRPr="00D95552" w:rsidTr="00BB474C">
        <w:trPr>
          <w:trHeight w:val="909"/>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affected by the measures required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Length/area of water bodies affected by the measures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530"/>
        </w:trPr>
        <w:tc>
          <w:tcPr>
            <w:tcW w:w="2560" w:type="dxa"/>
            <w:tcBorders>
              <w:top w:val="nil"/>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4.5 - Hydromorphological alteration - Other</w:t>
            </w:r>
          </w:p>
        </w:tc>
        <w:tc>
          <w:tcPr>
            <w:tcW w:w="2260" w:type="dxa"/>
            <w:tcBorders>
              <w:top w:val="nil"/>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water bodies where other hydromorphological alterations are preventing the achievement of good ecological status/good ecological potential</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Length/area of water bodies affected by the measures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275"/>
        </w:trPr>
        <w:tc>
          <w:tcPr>
            <w:tcW w:w="2560" w:type="dxa"/>
            <w:vMerge w:val="restart"/>
            <w:tcBorders>
              <w:top w:val="single" w:sz="4" w:space="0" w:color="auto"/>
              <w:left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5.1 - Introduced species and diseases</w:t>
            </w:r>
          </w:p>
          <w:p w:rsidR="00BF0382" w:rsidRDefault="00BF0382" w:rsidP="00BB474C">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Transport, Fisheries and aquaculture, Tourism and recreation</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introduced species preventing the achievement of GES/GEP</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18 Measures to prevent or control the adverse impacts of invasive alien species and introduced diseases</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species for which codes of practice for reducing the spread of invasive alien species are required to be developed and implemented for the achievement of objectives.</w:t>
            </w:r>
          </w:p>
        </w:tc>
      </w:tr>
      <w:tr w:rsidR="00BF0382" w:rsidRPr="00D95552" w:rsidTr="00BB474C">
        <w:trPr>
          <w:trHeight w:val="510"/>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required to have eradication or control measures for the achievement of objectives</w:t>
            </w:r>
          </w:p>
        </w:tc>
      </w:tr>
      <w:tr w:rsidR="00BF0382" w:rsidRPr="00D95552" w:rsidTr="00BB474C">
        <w:trPr>
          <w:trHeight w:val="1020"/>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Individual Species Action Plans required for species identified as presenting particular risk levels for the achievement of objectives</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introduced diseases preventing the achievement of GES/GEP</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required to have eradication or control measures for the achievement of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838"/>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5.2 - Exploitation  or removal of animals or plants</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Recreation, Fisheries and aquaculture</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w:t>
            </w:r>
            <w:r w:rsidRPr="008D6A99">
              <w:rPr>
                <w:color w:val="000000"/>
                <w:sz w:val="22"/>
                <w:szCs w:val="22"/>
                <w:vertAlign w:val="superscript"/>
                <w:lang w:val="en-GB" w:eastAsia="en-GB"/>
              </w:rPr>
              <w:t>2</w:t>
            </w:r>
            <w:r w:rsidRPr="008D6A99">
              <w:rPr>
                <w:color w:val="000000"/>
                <w:sz w:val="22"/>
                <w:szCs w:val="22"/>
                <w:lang w:val="en-GB" w:eastAsia="en-GB"/>
              </w:rPr>
              <w:t>) of water bodies where the exploitation/removal of animal/plants is preventing the achievement of good ecological status/good ecological potential</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20 Measures to prevent or control the adverse impacts of fishing and other exploitation/removal of animal and plants</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affected by the measures required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Length/area of water bodies affected by the measures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5.3 – Litter or fly tipping </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Urban development, Transport</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of water bodies impacted by litter or fly tipping</w:t>
            </w:r>
          </w:p>
        </w:tc>
        <w:tc>
          <w:tcPr>
            <w:tcW w:w="2920" w:type="dxa"/>
            <w:tcBorders>
              <w:top w:val="nil"/>
              <w:left w:val="nil"/>
              <w:bottom w:val="nil"/>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of water bodies where litter is required to be removed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sources of litter that require control measures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6.1 - Groundwater - recharges</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Agriculture, Energy – non-hydropower, Industry, Urban development</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groundwater bodies not achieving objectives because of groundwater recharges</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water bodies affected by the measures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5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6.2 - Groundwater – Alteration of water level or volume</w:t>
            </w:r>
          </w:p>
        </w:tc>
        <w:tc>
          <w:tcPr>
            <w:tcW w:w="2260" w:type="dxa"/>
            <w:tcBorders>
              <w:top w:val="nil"/>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Industry, Urban development</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groundwater bodies not achieving objectives because of alteration of water levels/volumes</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water bodies affected by the measures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275"/>
        </w:trPr>
        <w:tc>
          <w:tcPr>
            <w:tcW w:w="2560" w:type="dxa"/>
            <w:tcBorders>
              <w:top w:val="nil"/>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7 - Anthropogenic pressure - Other</w:t>
            </w:r>
          </w:p>
        </w:tc>
        <w:tc>
          <w:tcPr>
            <w:tcW w:w="2260" w:type="dxa"/>
            <w:tcBorders>
              <w:top w:val="nil"/>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w:t>
            </w:r>
            <w:r w:rsidRPr="008D6A99">
              <w:rPr>
                <w:color w:val="000000"/>
                <w:sz w:val="22"/>
                <w:szCs w:val="22"/>
                <w:vertAlign w:val="superscript"/>
                <w:lang w:val="en-GB" w:eastAsia="en-GB"/>
              </w:rPr>
              <w:t>2</w:t>
            </w:r>
            <w:r w:rsidRPr="008D6A99">
              <w:rPr>
                <w:color w:val="000000"/>
                <w:sz w:val="22"/>
                <w:szCs w:val="22"/>
                <w:lang w:val="en-GB" w:eastAsia="en-GB"/>
              </w:rPr>
              <w:t>) of water bodies where other anthropogenic pressures are causing the non achievement of objectives</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Length/area of water bodies affected by the measures required to achieve objectives</w:t>
            </w:r>
          </w:p>
        </w:tc>
      </w:tr>
      <w:tr w:rsidR="00BF0382" w:rsidRPr="00D95552" w:rsidTr="00BB474C">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 xml:space="preserve">8 – Anthropogenic pressure -Unknown </w:t>
            </w:r>
          </w:p>
        </w:tc>
        <w:tc>
          <w:tcPr>
            <w:tcW w:w="2260" w:type="dxa"/>
            <w:tcBorders>
              <w:top w:val="nil"/>
              <w:left w:val="nil"/>
              <w:bottom w:val="single" w:sz="4" w:space="0" w:color="auto"/>
              <w:right w:val="single" w:sz="4" w:space="0" w:color="auto"/>
            </w:tcBorders>
            <w:shd w:val="clear" w:color="auto" w:fill="auto"/>
          </w:tcPr>
          <w:p w:rsidR="00BF0382" w:rsidRDefault="00BF0382" w:rsidP="00BB474C">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 /area (km</w:t>
            </w:r>
            <w:r w:rsidRPr="008D6A99">
              <w:rPr>
                <w:color w:val="000000"/>
                <w:sz w:val="22"/>
                <w:szCs w:val="22"/>
                <w:vertAlign w:val="superscript"/>
                <w:lang w:val="en-GB" w:eastAsia="en-GB"/>
              </w:rPr>
              <w:t>2</w:t>
            </w:r>
            <w:r w:rsidRPr="008D6A99">
              <w:rPr>
                <w:color w:val="000000"/>
                <w:sz w:val="22"/>
                <w:szCs w:val="22"/>
                <w:lang w:val="en-GB" w:eastAsia="en-GB"/>
              </w:rPr>
              <w:t>) of water bodies where unknown pressures are causing the non achievement of objectives</w:t>
            </w:r>
          </w:p>
        </w:tc>
        <w:tc>
          <w:tcPr>
            <w:tcW w:w="2920" w:type="dxa"/>
            <w:tcBorders>
              <w:top w:val="nil"/>
              <w:left w:val="nil"/>
              <w:bottom w:val="single" w:sz="4" w:space="0" w:color="auto"/>
              <w:right w:val="nil"/>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Length/area of water bodies affected by the measures required to achieve objectives</w:t>
            </w:r>
          </w:p>
        </w:tc>
      </w:tr>
      <w:tr w:rsidR="00BF0382" w:rsidRPr="00D95552" w:rsidTr="00BB474C">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 number of pressure may be applicable - MS to select those relevant</w:t>
            </w:r>
          </w:p>
        </w:tc>
        <w:tc>
          <w:tcPr>
            <w:tcW w:w="2260" w:type="dxa"/>
            <w:tcBorders>
              <w:top w:val="nil"/>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Any driver</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See list of potential indicators for the selected relevant pressures</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drinking water protection zones required to achieve objectives</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that are required to be affected by drinking water protection measures for the achievement of objectives</w:t>
            </w:r>
          </w:p>
        </w:tc>
      </w:tr>
      <w:tr w:rsidR="00BF0382" w:rsidRPr="00D95552" w:rsidTr="00BB474C">
        <w:trPr>
          <w:trHeight w:val="255"/>
        </w:trPr>
        <w:tc>
          <w:tcPr>
            <w:tcW w:w="2560" w:type="dxa"/>
            <w:tcBorders>
              <w:top w:val="nil"/>
              <w:left w:val="nil"/>
              <w:bottom w:val="nil"/>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765"/>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Any pressure may be applicable - MS to select those relevant</w:t>
            </w:r>
          </w:p>
        </w:tc>
        <w:tc>
          <w:tcPr>
            <w:tcW w:w="2260" w:type="dxa"/>
            <w:tcBorders>
              <w:top w:val="single" w:sz="4" w:space="0" w:color="auto"/>
              <w:left w:val="nil"/>
              <w:bottom w:val="nil"/>
              <w:right w:val="single" w:sz="4" w:space="0" w:color="auto"/>
            </w:tcBorders>
            <w:shd w:val="clear" w:color="auto" w:fill="auto"/>
          </w:tcPr>
          <w:p w:rsidR="00BF0382" w:rsidRDefault="00BF0382" w:rsidP="00BB474C">
            <w:pPr>
              <w:spacing w:after="0"/>
              <w:jc w:val="both"/>
              <w:rPr>
                <w:color w:val="000000"/>
                <w:sz w:val="22"/>
                <w:szCs w:val="22"/>
                <w:lang w:eastAsia="en-GB"/>
              </w:rPr>
            </w:pPr>
            <w:r>
              <w:rPr>
                <w:color w:val="000000"/>
                <w:sz w:val="22"/>
                <w:szCs w:val="22"/>
                <w:lang w:eastAsia="en-GB"/>
              </w:rPr>
              <w:t>Any driver</w:t>
            </w: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See list of potential indicators for the selected relevant pressures</w:t>
            </w: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14 Research, improvement of knowledge base reducing uncertainty.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the research studies etc. that are required to achieve objectives.</w:t>
            </w:r>
          </w:p>
        </w:tc>
      </w:tr>
      <w:tr w:rsidR="00BF0382" w:rsidRPr="00D95552" w:rsidTr="00BB474C">
        <w:trPr>
          <w:trHeight w:val="765"/>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that are expected to achieve objectives as a result of research etc.</w:t>
            </w:r>
          </w:p>
        </w:tc>
      </w:tr>
      <w:tr w:rsidR="00BF0382" w:rsidRPr="00D95552" w:rsidTr="00BB474C">
        <w:trPr>
          <w:trHeight w:val="255"/>
        </w:trPr>
        <w:tc>
          <w:tcPr>
            <w:tcW w:w="2560" w:type="dxa"/>
            <w:tcBorders>
              <w:top w:val="nil"/>
              <w:left w:val="nil"/>
              <w:bottom w:val="nil"/>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697"/>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Failure of good chemical status by a Priority Substance</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Agriculture, urban development, industry, transport</w:t>
            </w:r>
          </w:p>
        </w:tc>
        <w:tc>
          <w:tcPr>
            <w:tcW w:w="2920" w:type="dxa"/>
            <w:vMerge w:val="restart"/>
            <w:tcBorders>
              <w:top w:val="single" w:sz="4" w:space="0" w:color="auto"/>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Loads of priority substances that require to be reduced (in tonnes) to achieve objectives.</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single" w:sz="4" w:space="0" w:color="auto"/>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15 Measures for the phasing-out of emissions, discharges and losses of priority hazardous substances or for the reduction of emissions, discharges and losses of priority substances.</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revised permit required to achieve objectives</w:t>
            </w:r>
          </w:p>
          <w:p w:rsidR="00BF0382" w:rsidRPr="008D6A99" w:rsidRDefault="00BF0382" w:rsidP="00BB474C">
            <w:pPr>
              <w:spacing w:after="0"/>
              <w:jc w:val="both"/>
              <w:rPr>
                <w:color w:val="000000"/>
                <w:sz w:val="22"/>
                <w:szCs w:val="22"/>
                <w:lang w:val="en-GB" w:eastAsia="en-GB"/>
              </w:rPr>
            </w:pP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 where upgrades or improvements are required to achieve objectives</w:t>
            </w:r>
          </w:p>
        </w:tc>
      </w:tr>
      <w:tr w:rsidR="00BF0382" w:rsidRPr="00D95552" w:rsidTr="00BB474C">
        <w:trPr>
          <w:trHeight w:val="25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substances requiring restrictions or bans on uses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priority substances</w:t>
            </w:r>
          </w:p>
        </w:tc>
        <w:tc>
          <w:tcPr>
            <w:tcW w:w="2920" w:type="dxa"/>
            <w:tcBorders>
              <w:top w:val="nil"/>
              <w:left w:val="nil"/>
              <w:bottom w:val="nil"/>
              <w:right w:val="single" w:sz="4" w:space="0" w:color="auto"/>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agricultural land required to be covered by measures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buffer strips required to achieve objectives.</w:t>
            </w:r>
          </w:p>
        </w:tc>
      </w:tr>
      <w:tr w:rsidR="00BF0382" w:rsidRPr="00D95552" w:rsidTr="00BB474C">
        <w:trPr>
          <w:trHeight w:val="1020"/>
        </w:trPr>
        <w:tc>
          <w:tcPr>
            <w:tcW w:w="2560"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(km</w:t>
            </w:r>
            <w:r w:rsidRPr="008D6A99">
              <w:rPr>
                <w:color w:val="000000"/>
                <w:sz w:val="22"/>
                <w:szCs w:val="22"/>
                <w:vertAlign w:val="superscript"/>
                <w:lang w:val="en-GB" w:eastAsia="en-GB"/>
              </w:rPr>
              <w:t>2</w:t>
            </w:r>
            <w:r w:rsidRPr="008D6A99">
              <w:rPr>
                <w:color w:val="000000"/>
                <w:sz w:val="22"/>
                <w:szCs w:val="22"/>
                <w:lang w:val="en-GB" w:eastAsia="en-GB"/>
              </w:rPr>
              <w:t>) of land required to be covered by measures to achieve objectives.</w:t>
            </w:r>
          </w:p>
        </w:tc>
      </w:tr>
      <w:tr w:rsidR="00BF0382" w:rsidRPr="00D95552" w:rsidTr="00BB474C">
        <w:trPr>
          <w:trHeight w:val="510"/>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sites requiring measures to achieve objectives</w:t>
            </w:r>
          </w:p>
        </w:tc>
      </w:tr>
      <w:tr w:rsidR="00BF0382" w:rsidRPr="00D95552" w:rsidTr="00BB474C">
        <w:trPr>
          <w:trHeight w:val="1020"/>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drinking water protection zones required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land required to be covered by drinking water protection zones to achieve objectives</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 where upgrades or improvements are required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new permits required, or require to be updated, to achieve objectives.</w:t>
            </w:r>
          </w:p>
          <w:p w:rsidR="00BF0382" w:rsidRPr="008D6A99" w:rsidRDefault="00BF0382" w:rsidP="00BB474C">
            <w:pPr>
              <w:spacing w:after="0"/>
              <w:jc w:val="both"/>
              <w:rPr>
                <w:color w:val="000000"/>
                <w:sz w:val="22"/>
                <w:szCs w:val="22"/>
                <w:lang w:val="en-GB" w:eastAsia="en-GB"/>
              </w:rPr>
            </w:pP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sustainable drainage systems required to achieve objectives</w:t>
            </w:r>
          </w:p>
        </w:tc>
      </w:tr>
      <w:tr w:rsidR="00BF0382" w:rsidRPr="00D95552" w:rsidTr="00BB474C">
        <w:trPr>
          <w:trHeight w:val="510"/>
        </w:trPr>
        <w:tc>
          <w:tcPr>
            <w:tcW w:w="2560"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upgraded storm overflows required to achieve objectives</w:t>
            </w:r>
          </w:p>
        </w:tc>
      </w:tr>
      <w:tr w:rsidR="00BF0382" w:rsidRPr="00D95552" w:rsidTr="00BB474C">
        <w:trPr>
          <w:trHeight w:val="510"/>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pesticides and other chemicals requiring restrictions or bans on uses to achieve objectives</w:t>
            </w:r>
          </w:p>
        </w:tc>
      </w:tr>
      <w:tr w:rsidR="00BF0382" w:rsidRPr="00D95552" w:rsidTr="00BB474C">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surface water interceptors and treatment systems required to achieve objectives.</w:t>
            </w:r>
          </w:p>
        </w:tc>
      </w:tr>
      <w:tr w:rsidR="00BF0382" w:rsidRPr="00D95552" w:rsidTr="00BB474C">
        <w:trPr>
          <w:trHeight w:val="255"/>
        </w:trPr>
        <w:tc>
          <w:tcPr>
            <w:tcW w:w="2560" w:type="dxa"/>
            <w:tcBorders>
              <w:top w:val="nil"/>
              <w:left w:val="nil"/>
              <w:bottom w:val="nil"/>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nil"/>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nil"/>
            </w:tcBorders>
            <w:shd w:val="clear" w:color="000000" w:fill="A6A6A6"/>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r>
      <w:tr w:rsidR="00BF0382" w:rsidRPr="00D95552" w:rsidTr="00BB474C">
        <w:trPr>
          <w:trHeight w:val="1020"/>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Failure of good ecological status by a River Basin Specific Pollutant</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Agriculture, urban development, industry, transport, forestry, aquaculture, energy</w:t>
            </w: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Loads of river basin specific pollutants that require to be reduced (in tonnes) to achieve objectives</w:t>
            </w:r>
          </w:p>
        </w:tc>
        <w:tc>
          <w:tcPr>
            <w:tcW w:w="2920" w:type="dxa"/>
            <w:tcBorders>
              <w:top w:val="single" w:sz="4" w:space="0" w:color="auto"/>
              <w:left w:val="nil"/>
              <w:bottom w:val="nil"/>
              <w:right w:val="single" w:sz="4" w:space="0" w:color="auto"/>
            </w:tcBorders>
            <w:shd w:val="clear" w:color="auto" w:fill="auto"/>
          </w:tcPr>
          <w:p w:rsidR="00BF0382" w:rsidRDefault="00BF0382" w:rsidP="00BB474C">
            <w:pPr>
              <w:tabs>
                <w:tab w:val="left" w:pos="2653"/>
              </w:tabs>
              <w:spacing w:after="0"/>
              <w:jc w:val="both"/>
              <w:rPr>
                <w:color w:val="000000"/>
                <w:sz w:val="22"/>
                <w:szCs w:val="22"/>
                <w:lang w:eastAsia="en-GB"/>
              </w:rPr>
            </w:pPr>
            <w:r>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agricultural land required to be covered by measures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buffer strips required to achieve objectives.</w:t>
            </w: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(km</w:t>
            </w:r>
            <w:r w:rsidRPr="008D6A99">
              <w:rPr>
                <w:color w:val="000000"/>
                <w:sz w:val="22"/>
                <w:szCs w:val="22"/>
                <w:vertAlign w:val="superscript"/>
                <w:lang w:val="en-GB" w:eastAsia="en-GB"/>
              </w:rPr>
              <w:t>2</w:t>
            </w:r>
            <w:r w:rsidRPr="008D6A99">
              <w:rPr>
                <w:color w:val="000000"/>
                <w:sz w:val="22"/>
                <w:szCs w:val="22"/>
                <w:lang w:val="en-GB" w:eastAsia="en-GB"/>
              </w:rPr>
              <w:t>) of land required to covered by measures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sites requiring measures to achieve objectives</w:t>
            </w:r>
          </w:p>
        </w:tc>
      </w:tr>
      <w:tr w:rsidR="00BF0382" w:rsidRPr="00D95552" w:rsidTr="00BB474C">
        <w:trPr>
          <w:trHeight w:val="1020"/>
        </w:trPr>
        <w:tc>
          <w:tcPr>
            <w:tcW w:w="2560" w:type="dxa"/>
            <w:vMerge w:val="restart"/>
            <w:tcBorders>
              <w:top w:val="nil"/>
              <w:left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vMerge w:val="restart"/>
            <w:tcBorders>
              <w:top w:val="nil"/>
              <w:left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drinking water protection zones required to achieve objectives</w:t>
            </w:r>
          </w:p>
        </w:tc>
      </w:tr>
      <w:tr w:rsidR="00BF0382" w:rsidRPr="00D95552" w:rsidTr="00BB474C">
        <w:trPr>
          <w:trHeight w:val="510"/>
        </w:trPr>
        <w:tc>
          <w:tcPr>
            <w:tcW w:w="2560" w:type="dxa"/>
            <w:vMerge/>
            <w:tcBorders>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26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vMerge/>
            <w:tcBorders>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land required to be covered by drinking water protection zones to achieve objectives</w:t>
            </w:r>
          </w:p>
        </w:tc>
      </w:tr>
      <w:tr w:rsidR="00BF0382" w:rsidRPr="00D95552" w:rsidTr="00BB474C">
        <w:trPr>
          <w:trHeight w:val="1020"/>
        </w:trPr>
        <w:tc>
          <w:tcPr>
            <w:tcW w:w="2560" w:type="dxa"/>
            <w:tcBorders>
              <w:top w:val="single" w:sz="4" w:space="0" w:color="auto"/>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single" w:sz="4" w:space="0" w:color="auto"/>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installation where upgrades or improvements are required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new permits required, or require to be updated, to achieve objectives.</w:t>
            </w:r>
          </w:p>
          <w:p w:rsidR="00BF0382" w:rsidRPr="008D6A99" w:rsidRDefault="00BF0382" w:rsidP="00BB474C">
            <w:pPr>
              <w:spacing w:after="0"/>
              <w:jc w:val="both"/>
              <w:rPr>
                <w:color w:val="000000"/>
                <w:sz w:val="22"/>
                <w:szCs w:val="22"/>
                <w:lang w:val="en-GB" w:eastAsia="en-GB"/>
              </w:rPr>
            </w:pPr>
          </w:p>
        </w:tc>
      </w:tr>
      <w:tr w:rsidR="00BF0382" w:rsidRPr="00D95552" w:rsidTr="00BB474C">
        <w:trPr>
          <w:trHeight w:val="102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sustainable drainage systems required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upgraded storm overflows required to achieve objectives.</w:t>
            </w:r>
          </w:p>
        </w:tc>
      </w:tr>
      <w:tr w:rsidR="00BF0382" w:rsidRPr="00D95552" w:rsidTr="00BB474C">
        <w:trPr>
          <w:trHeight w:val="510"/>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pesticides and other chemicals requiring restrictions or bans on uses to achieve objectives</w:t>
            </w:r>
          </w:p>
        </w:tc>
      </w:tr>
      <w:tr w:rsidR="00BF0382" w:rsidRPr="00D95552" w:rsidTr="00BB474C">
        <w:trPr>
          <w:trHeight w:val="76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Number of surface water interceptors and treatment systems required to achieve objectives.</w:t>
            </w:r>
          </w:p>
        </w:tc>
      </w:tr>
      <w:tr w:rsidR="00BF0382" w:rsidRPr="00D95552" w:rsidTr="00BB474C">
        <w:trPr>
          <w:trHeight w:val="765"/>
        </w:trPr>
        <w:tc>
          <w:tcPr>
            <w:tcW w:w="2560" w:type="dxa"/>
            <w:tcBorders>
              <w:top w:val="nil"/>
              <w:left w:val="single" w:sz="4" w:space="0" w:color="auto"/>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nil"/>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22 Measures to prevent or control the input of pollution from forestry</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Area of forested land (km</w:t>
            </w:r>
            <w:r w:rsidRPr="008D6A99">
              <w:rPr>
                <w:color w:val="000000"/>
                <w:sz w:val="22"/>
                <w:szCs w:val="22"/>
                <w:vertAlign w:val="superscript"/>
                <w:lang w:val="en-GB" w:eastAsia="en-GB"/>
              </w:rPr>
              <w:t>2</w:t>
            </w:r>
            <w:r w:rsidRPr="008D6A99">
              <w:rPr>
                <w:color w:val="000000"/>
                <w:sz w:val="22"/>
                <w:szCs w:val="22"/>
                <w:lang w:val="en-GB" w:eastAsia="en-GB"/>
              </w:rPr>
              <w:t>) required to be covered by measures to achieve objectives.</w:t>
            </w:r>
          </w:p>
        </w:tc>
      </w:tr>
      <w:tr w:rsidR="00BF0382" w:rsidRPr="00D95552" w:rsidTr="00BB474C">
        <w:trPr>
          <w:trHeight w:val="510"/>
        </w:trPr>
        <w:tc>
          <w:tcPr>
            <w:tcW w:w="2560" w:type="dxa"/>
            <w:tcBorders>
              <w:top w:val="nil"/>
              <w:left w:val="single" w:sz="4" w:space="0" w:color="auto"/>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26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 </w:t>
            </w:r>
          </w:p>
        </w:tc>
        <w:tc>
          <w:tcPr>
            <w:tcW w:w="2920" w:type="dxa"/>
            <w:tcBorders>
              <w:top w:val="nil"/>
              <w:left w:val="nil"/>
              <w:bottom w:val="single" w:sz="4" w:space="0" w:color="auto"/>
              <w:right w:val="single" w:sz="4" w:space="0" w:color="auto"/>
            </w:tcBorders>
            <w:shd w:val="clear" w:color="auto" w:fill="auto"/>
          </w:tcPr>
          <w:p w:rsidR="00BF0382" w:rsidRPr="008D6A99" w:rsidRDefault="00BF0382" w:rsidP="00BB474C">
            <w:pPr>
              <w:tabs>
                <w:tab w:val="left" w:pos="2653"/>
              </w:tabs>
              <w:spacing w:after="0"/>
              <w:jc w:val="both"/>
              <w:rPr>
                <w:color w:val="000000"/>
                <w:sz w:val="22"/>
                <w:szCs w:val="22"/>
                <w:lang w:val="en-GB" w:eastAsia="en-GB"/>
              </w:rPr>
            </w:pPr>
            <w:r w:rsidRPr="008D6A99">
              <w:rPr>
                <w:color w:val="000000"/>
                <w:sz w:val="22"/>
                <w:szCs w:val="22"/>
                <w:lang w:val="en-GB" w:eastAsia="en-GB"/>
              </w:rPr>
              <w:t> </w:t>
            </w:r>
          </w:p>
        </w:tc>
        <w:tc>
          <w:tcPr>
            <w:tcW w:w="3247" w:type="dxa"/>
            <w:tcBorders>
              <w:top w:val="nil"/>
              <w:left w:val="nil"/>
              <w:bottom w:val="single" w:sz="4" w:space="0" w:color="auto"/>
              <w:right w:val="single" w:sz="4" w:space="0" w:color="auto"/>
            </w:tcBorders>
            <w:shd w:val="clear" w:color="auto" w:fill="auto"/>
          </w:tcPr>
          <w:p w:rsidR="00BF0382" w:rsidRPr="008D6A99" w:rsidRDefault="00BF0382" w:rsidP="00BB474C">
            <w:pPr>
              <w:spacing w:after="0"/>
              <w:jc w:val="both"/>
              <w:rPr>
                <w:color w:val="000000"/>
                <w:sz w:val="22"/>
                <w:szCs w:val="22"/>
                <w:lang w:val="en-GB" w:eastAsia="en-GB"/>
              </w:rPr>
            </w:pPr>
            <w:r w:rsidRPr="008D6A99">
              <w:rPr>
                <w:color w:val="000000"/>
                <w:sz w:val="22"/>
                <w:szCs w:val="22"/>
                <w:lang w:val="en-GB" w:eastAsia="en-GB"/>
              </w:rPr>
              <w:t>Length (km)/area (km</w:t>
            </w:r>
            <w:r w:rsidRPr="008D6A99">
              <w:rPr>
                <w:color w:val="000000"/>
                <w:sz w:val="22"/>
                <w:szCs w:val="22"/>
                <w:vertAlign w:val="superscript"/>
                <w:lang w:val="en-GB" w:eastAsia="en-GB"/>
              </w:rPr>
              <w:t>2</w:t>
            </w:r>
            <w:r w:rsidRPr="008D6A99">
              <w:rPr>
                <w:color w:val="000000"/>
                <w:sz w:val="22"/>
                <w:szCs w:val="22"/>
                <w:lang w:val="en-GB" w:eastAsia="en-GB"/>
              </w:rPr>
              <w:t>) of buffer strips required to achieve objectives.</w:t>
            </w:r>
          </w:p>
        </w:tc>
      </w:tr>
    </w:tbl>
    <w:p w:rsidR="00BF0382" w:rsidRPr="008D6A99" w:rsidRDefault="00BF0382" w:rsidP="00BF0382">
      <w:pPr>
        <w:jc w:val="both"/>
        <w:rPr>
          <w:lang w:val="en-GB"/>
        </w:rPr>
        <w:sectPr w:rsidR="00BF0382" w:rsidRPr="008D6A99">
          <w:pgSz w:w="16838" w:h="11906" w:orient="landscape"/>
          <w:pgMar w:top="1418" w:right="1021" w:bottom="851" w:left="1021" w:header="601" w:footer="1077" w:gutter="0"/>
          <w:cols w:space="720"/>
          <w:docGrid w:linePitch="326"/>
        </w:sectPr>
      </w:pPr>
    </w:p>
    <w:p w:rsidR="00BF0382" w:rsidRPr="008D6A99" w:rsidRDefault="00BF0382" w:rsidP="00BF0382">
      <w:pPr>
        <w:jc w:val="both"/>
        <w:outlineLvl w:val="0"/>
        <w:rPr>
          <w:lang w:val="en-GB"/>
        </w:rPr>
      </w:pPr>
      <w:bookmarkStart w:id="864" w:name="_Toc386462460"/>
      <w:bookmarkStart w:id="865" w:name="_Toc386464265"/>
      <w:bookmarkStart w:id="866" w:name="_Toc388524209"/>
      <w:bookmarkStart w:id="867" w:name="_Toc389206530"/>
      <w:bookmarkStart w:id="868" w:name="_Toc432666112"/>
      <w:bookmarkStart w:id="869" w:name="_Toc437520308"/>
      <w:r w:rsidRPr="008D6A99">
        <w:rPr>
          <w:b/>
          <w:lang w:val="en-GB"/>
        </w:rPr>
        <w:t>Annex 4:</w:t>
      </w:r>
      <w:r w:rsidRPr="008D6A99">
        <w:rPr>
          <w:b/>
          <w:lang w:val="en-GB"/>
        </w:rPr>
        <w:tab/>
        <w:t>Groundwater bodies and horizon assignment</w:t>
      </w:r>
      <w:bookmarkEnd w:id="864"/>
      <w:bookmarkEnd w:id="865"/>
      <w:bookmarkEnd w:id="866"/>
      <w:bookmarkEnd w:id="867"/>
      <w:bookmarkEnd w:id="868"/>
      <w:bookmarkEnd w:id="869"/>
    </w:p>
    <w:p w:rsidR="00BF0382" w:rsidRPr="008D6A99" w:rsidRDefault="00BF0382" w:rsidP="00BF0382">
      <w:pPr>
        <w:jc w:val="both"/>
        <w:rPr>
          <w:lang w:val="en-GB"/>
        </w:rPr>
      </w:pPr>
    </w:p>
    <w:p w:rsidR="00BF0382" w:rsidRDefault="00BF0382" w:rsidP="00BF0382">
      <w:pPr>
        <w:rPr>
          <w:caps/>
        </w:rPr>
      </w:pPr>
      <w:r>
        <w:rPr>
          <w:b/>
          <w:caps/>
        </w:rPr>
        <w:t>Groundwater bodies and horizon assignment</w:t>
      </w:r>
    </w:p>
    <w:p w:rsidR="00BF0382" w:rsidRDefault="00BF0382" w:rsidP="00BF0382">
      <w:pPr>
        <w:pStyle w:val="Rubrik1"/>
        <w:numPr>
          <w:ilvl w:val="0"/>
          <w:numId w:val="19"/>
        </w:numPr>
        <w:jc w:val="both"/>
      </w:pPr>
      <w:bookmarkStart w:id="870" w:name="_Toc386462461"/>
      <w:bookmarkStart w:id="871" w:name="_Toc386464266"/>
      <w:bookmarkStart w:id="872" w:name="_Toc388524210"/>
      <w:bookmarkStart w:id="873" w:name="_Toc389206531"/>
      <w:bookmarkStart w:id="874" w:name="_Toc403040984"/>
      <w:bookmarkStart w:id="875" w:name="_Toc432666113"/>
      <w:bookmarkStart w:id="876" w:name="_Toc437520309"/>
      <w:r>
        <w:t>Background</w:t>
      </w:r>
      <w:bookmarkEnd w:id="870"/>
      <w:bookmarkEnd w:id="871"/>
      <w:bookmarkEnd w:id="872"/>
      <w:bookmarkEnd w:id="873"/>
      <w:bookmarkEnd w:id="874"/>
      <w:bookmarkEnd w:id="875"/>
      <w:bookmarkEnd w:id="876"/>
    </w:p>
    <w:p w:rsidR="00BF0382" w:rsidRDefault="00BF0382" w:rsidP="00BF0382">
      <w:pPr>
        <w:pStyle w:val="Rubrik2"/>
        <w:jc w:val="both"/>
      </w:pPr>
      <w:bookmarkStart w:id="877" w:name="_Toc386462462"/>
      <w:bookmarkStart w:id="878" w:name="_Toc386464267"/>
      <w:bookmarkStart w:id="879" w:name="_Toc388524211"/>
      <w:bookmarkStart w:id="880" w:name="_Toc389206532"/>
      <w:bookmarkStart w:id="881" w:name="_Toc403040985"/>
      <w:bookmarkStart w:id="882" w:name="_Toc432666114"/>
      <w:bookmarkStart w:id="883" w:name="_Toc437520310"/>
      <w:r>
        <w:t>Water Framework Directive (WFD)</w:t>
      </w:r>
      <w:bookmarkEnd w:id="877"/>
      <w:bookmarkEnd w:id="878"/>
      <w:bookmarkEnd w:id="879"/>
      <w:bookmarkEnd w:id="880"/>
      <w:bookmarkEnd w:id="881"/>
      <w:bookmarkEnd w:id="882"/>
      <w:bookmarkEnd w:id="883"/>
    </w:p>
    <w:p w:rsidR="00BF0382" w:rsidRPr="008D6A99" w:rsidRDefault="00BF0382" w:rsidP="00BF0382">
      <w:pPr>
        <w:rPr>
          <w:lang w:val="en-GB"/>
        </w:rPr>
      </w:pPr>
      <w:r w:rsidRPr="008D6A99">
        <w:rPr>
          <w:lang w:val="en-GB"/>
        </w:rPr>
        <w:t>The Water Framework Directive (WFD, 2000/60/EC) considers a groundwater body (GWB) as a coherent management unit assigned to a River Basin District (RBD) which has to meet the Environmental Objectives (Article 4) . The term “body of groundwater” should therefore be understood in the context of the hierarchy of relevant definitions provided under Article 2 of the WFD:</w:t>
      </w:r>
    </w:p>
    <w:p w:rsidR="00BF0382" w:rsidRPr="008D6A99" w:rsidRDefault="00BF0382" w:rsidP="00BF0382">
      <w:pPr>
        <w:pStyle w:val="Liststycke"/>
        <w:numPr>
          <w:ilvl w:val="0"/>
          <w:numId w:val="57"/>
        </w:numPr>
        <w:spacing w:after="120" w:line="276" w:lineRule="auto"/>
        <w:jc w:val="both"/>
        <w:rPr>
          <w:lang w:val="en-GB"/>
        </w:rPr>
      </w:pPr>
      <w:r w:rsidRPr="008D6A99">
        <w:rPr>
          <w:lang w:val="en-GB"/>
        </w:rPr>
        <w:t>According to WFD Article 2.2, “Groundwater” means all water, which is below the surface of the ground in the saturated zone and in direct contact with the ground or sub-soil;</w:t>
      </w:r>
    </w:p>
    <w:p w:rsidR="00BF0382" w:rsidRPr="008D6A99" w:rsidRDefault="00BF0382" w:rsidP="00BF0382">
      <w:pPr>
        <w:pStyle w:val="Liststycke"/>
        <w:numPr>
          <w:ilvl w:val="0"/>
          <w:numId w:val="57"/>
        </w:numPr>
        <w:spacing w:after="120" w:line="276" w:lineRule="auto"/>
        <w:jc w:val="both"/>
        <w:rPr>
          <w:lang w:val="en-GB"/>
        </w:rPr>
      </w:pPr>
      <w:r w:rsidRPr="008D6A99">
        <w:rPr>
          <w:lang w:val="en-GB"/>
        </w:rPr>
        <w:t>According to Article 2.11, “Aquifer” means a subsurface layer or layers of rock or other geological strata of sufficient porosity and permeability to allow either a significant flow of groundwater or the abstraction of significant quantities of groundwater;</w:t>
      </w:r>
    </w:p>
    <w:p w:rsidR="00BF0382" w:rsidRPr="008D6A99" w:rsidRDefault="00BF0382" w:rsidP="00BF0382">
      <w:pPr>
        <w:pStyle w:val="Liststycke"/>
        <w:numPr>
          <w:ilvl w:val="0"/>
          <w:numId w:val="57"/>
        </w:numPr>
        <w:spacing w:after="120" w:line="276" w:lineRule="auto"/>
        <w:jc w:val="both"/>
        <w:rPr>
          <w:lang w:val="en-GB"/>
        </w:rPr>
      </w:pPr>
      <w:r w:rsidRPr="008D6A99">
        <w:rPr>
          <w:lang w:val="en-GB"/>
        </w:rPr>
        <w:t>According to Article 2.12, “Groundwater body” means a distinct volume of groundwater within an aquifer or aquifers.</w:t>
      </w:r>
    </w:p>
    <w:p w:rsidR="00BF0382" w:rsidRPr="008D6A99" w:rsidRDefault="00BF0382" w:rsidP="00BF0382">
      <w:pPr>
        <w:rPr>
          <w:lang w:val="en-GB"/>
        </w:rPr>
      </w:pPr>
      <w:r w:rsidRPr="008D6A99">
        <w:rPr>
          <w:lang w:val="en-GB"/>
        </w:rPr>
        <w:t xml:space="preserve">According to the definitions and the specifications laid down in the WFD, groundwater bodies are management units with the main purpose of enabling their quantitative and qualitative status to be accurately described and compared to the Environmental Objectives and of implementing the measures necessary for achieving these objectives. Groundwater management has to consider groundwater in relation to its uses and functions and its interactions with aquatic and terrestrial ecosystems and in relation to the natural conditions (geology, hydrogeology etc.) and anthropogenic influences (pressures). </w:t>
      </w:r>
    </w:p>
    <w:p w:rsidR="00BF0382" w:rsidRDefault="00BF0382" w:rsidP="00BF0382">
      <w:pPr>
        <w:pStyle w:val="Rubrik2"/>
        <w:jc w:val="both"/>
      </w:pPr>
      <w:bookmarkStart w:id="884" w:name="_Toc386462463"/>
      <w:bookmarkStart w:id="885" w:name="_Toc386464268"/>
      <w:bookmarkStart w:id="886" w:name="_Toc388524212"/>
      <w:bookmarkStart w:id="887" w:name="_Toc389206533"/>
      <w:bookmarkStart w:id="888" w:name="_Toc403040986"/>
      <w:bookmarkStart w:id="889" w:name="_Toc432666115"/>
      <w:bookmarkStart w:id="890" w:name="_Toc437520311"/>
      <w:r>
        <w:t>GWB delineation – horizontal dimension</w:t>
      </w:r>
      <w:bookmarkEnd w:id="884"/>
      <w:bookmarkEnd w:id="885"/>
      <w:bookmarkEnd w:id="886"/>
      <w:bookmarkEnd w:id="887"/>
      <w:bookmarkEnd w:id="888"/>
      <w:bookmarkEnd w:id="889"/>
      <w:bookmarkEnd w:id="890"/>
    </w:p>
    <w:p w:rsidR="00BF0382" w:rsidRPr="008D6A99" w:rsidRDefault="00BF0382" w:rsidP="00BF0382">
      <w:pPr>
        <w:rPr>
          <w:lang w:val="en-GB"/>
        </w:rPr>
      </w:pPr>
      <w:r w:rsidRPr="008D6A99">
        <w:rPr>
          <w:lang w:val="en-GB"/>
        </w:rPr>
        <w:t>The delineation of GWBs comprises both, the horizontal and the vertical dimension, considering the following features:</w:t>
      </w:r>
    </w:p>
    <w:p w:rsidR="00BF0382" w:rsidRPr="008D6A99" w:rsidRDefault="00BF0382" w:rsidP="00BF0382">
      <w:pPr>
        <w:pStyle w:val="Liststycke"/>
        <w:numPr>
          <w:ilvl w:val="0"/>
          <w:numId w:val="56"/>
        </w:numPr>
        <w:spacing w:after="120" w:line="276" w:lineRule="auto"/>
        <w:jc w:val="both"/>
        <w:rPr>
          <w:lang w:val="en-GB"/>
        </w:rPr>
      </w:pPr>
      <w:r w:rsidRPr="008D6A99">
        <w:rPr>
          <w:lang w:val="en-GB"/>
        </w:rPr>
        <w:t>Groundwater flow divides, using surface water catchments and geological boundaries as proxies where information is limited.</w:t>
      </w:r>
    </w:p>
    <w:p w:rsidR="00BF0382" w:rsidRPr="008D6A99" w:rsidRDefault="00BF0382" w:rsidP="00BF0382">
      <w:pPr>
        <w:pStyle w:val="Liststycke"/>
        <w:numPr>
          <w:ilvl w:val="0"/>
          <w:numId w:val="56"/>
        </w:numPr>
        <w:spacing w:after="120" w:line="276" w:lineRule="auto"/>
        <w:jc w:val="both"/>
        <w:rPr>
          <w:lang w:val="en-GB"/>
        </w:rPr>
      </w:pPr>
      <w:r w:rsidRPr="008D6A99">
        <w:rPr>
          <w:lang w:val="en-GB"/>
        </w:rPr>
        <w:t>Pressure variations, where these are significant at a river basin level and where they require different management.</w:t>
      </w:r>
    </w:p>
    <w:p w:rsidR="00BF0382" w:rsidRPr="008D6A99" w:rsidRDefault="00BF0382" w:rsidP="00BF0382">
      <w:pPr>
        <w:pStyle w:val="Liststycke"/>
        <w:numPr>
          <w:ilvl w:val="0"/>
          <w:numId w:val="56"/>
        </w:numPr>
        <w:spacing w:after="120" w:line="276" w:lineRule="auto"/>
        <w:jc w:val="both"/>
        <w:rPr>
          <w:lang w:val="en-GB"/>
        </w:rPr>
      </w:pPr>
      <w:r w:rsidRPr="008D6A99">
        <w:rPr>
          <w:lang w:val="en-GB"/>
        </w:rPr>
        <w:t>Variations in natural background levels (NBL).</w:t>
      </w:r>
    </w:p>
    <w:p w:rsidR="00BF0382" w:rsidRPr="008D6A99" w:rsidRDefault="00BF0382" w:rsidP="00BF0382">
      <w:pPr>
        <w:pStyle w:val="Liststycke"/>
        <w:numPr>
          <w:ilvl w:val="0"/>
          <w:numId w:val="56"/>
        </w:numPr>
        <w:spacing w:after="120" w:line="276" w:lineRule="auto"/>
        <w:jc w:val="both"/>
        <w:rPr>
          <w:lang w:val="en-GB"/>
        </w:rPr>
      </w:pPr>
      <w:r w:rsidRPr="008D6A99">
        <w:rPr>
          <w:lang w:val="en-GB"/>
        </w:rPr>
        <w:t>Coastline, unless there is specific evidence that groundwater beyond the coastline has a resource value in terms of legitimate uses.</w:t>
      </w:r>
    </w:p>
    <w:p w:rsidR="00BF0382" w:rsidRPr="008D6A99" w:rsidRDefault="00BF0382" w:rsidP="00BF0382">
      <w:pPr>
        <w:pStyle w:val="Liststycke"/>
        <w:numPr>
          <w:ilvl w:val="0"/>
          <w:numId w:val="56"/>
        </w:numPr>
        <w:spacing w:after="120" w:line="276" w:lineRule="auto"/>
        <w:jc w:val="both"/>
        <w:rPr>
          <w:lang w:val="en-GB"/>
        </w:rPr>
      </w:pPr>
      <w:r w:rsidRPr="008D6A99">
        <w:rPr>
          <w:lang w:val="en-GB"/>
        </w:rPr>
        <w:t>Association to aquatic ecosystems or groundwater dependency of terrestrial ecosystems.</w:t>
      </w:r>
    </w:p>
    <w:p w:rsidR="00BF0382" w:rsidRPr="008D6A99" w:rsidRDefault="00BF0382" w:rsidP="00BF0382">
      <w:pPr>
        <w:pStyle w:val="Liststycke"/>
        <w:numPr>
          <w:ilvl w:val="0"/>
          <w:numId w:val="56"/>
        </w:numPr>
        <w:spacing w:after="120" w:line="276" w:lineRule="auto"/>
        <w:jc w:val="both"/>
        <w:rPr>
          <w:lang w:val="en-GB"/>
        </w:rPr>
      </w:pPr>
      <w:r w:rsidRPr="008D6A99">
        <w:rPr>
          <w:lang w:val="en-GB"/>
        </w:rPr>
        <w:t>Boundary of a hydrographical entity that is already subject to a local management plan.</w:t>
      </w:r>
    </w:p>
    <w:p w:rsidR="00BF0382" w:rsidRDefault="00BF0382" w:rsidP="00BF0382">
      <w:pPr>
        <w:pStyle w:val="Rubrik2"/>
        <w:jc w:val="both"/>
      </w:pPr>
      <w:bookmarkStart w:id="891" w:name="_Toc386462464"/>
      <w:bookmarkStart w:id="892" w:name="_Toc386464269"/>
      <w:bookmarkStart w:id="893" w:name="_Toc388524213"/>
      <w:bookmarkStart w:id="894" w:name="_Toc389206534"/>
      <w:bookmarkStart w:id="895" w:name="_Toc403040987"/>
      <w:bookmarkStart w:id="896" w:name="_Toc432666116"/>
      <w:bookmarkStart w:id="897" w:name="_Toc437520312"/>
      <w:r>
        <w:t>GWB delineation – vertical dimension</w:t>
      </w:r>
      <w:bookmarkEnd w:id="891"/>
      <w:bookmarkEnd w:id="892"/>
      <w:bookmarkEnd w:id="893"/>
      <w:bookmarkEnd w:id="894"/>
      <w:bookmarkEnd w:id="895"/>
      <w:bookmarkEnd w:id="896"/>
      <w:bookmarkEnd w:id="897"/>
    </w:p>
    <w:p w:rsidR="00BF0382" w:rsidRPr="008D6A99" w:rsidRDefault="00BF0382" w:rsidP="00BF0382">
      <w:pPr>
        <w:rPr>
          <w:lang w:val="en-GB"/>
        </w:rPr>
      </w:pPr>
      <w:r w:rsidRPr="008D6A99">
        <w:rPr>
          <w:lang w:val="en-GB"/>
        </w:rPr>
        <w:t xml:space="preserve">The vertical characterization of a GWB depends on: </w:t>
      </w:r>
    </w:p>
    <w:p w:rsidR="00BF0382" w:rsidRPr="008D6A99" w:rsidRDefault="00BF0382" w:rsidP="00BF0382">
      <w:pPr>
        <w:pStyle w:val="Liststycke"/>
        <w:numPr>
          <w:ilvl w:val="0"/>
          <w:numId w:val="58"/>
        </w:numPr>
        <w:spacing w:after="120" w:line="276" w:lineRule="auto"/>
        <w:jc w:val="both"/>
        <w:rPr>
          <w:lang w:val="en-GB"/>
        </w:rPr>
      </w:pPr>
      <w:r w:rsidRPr="008D6A99">
        <w:rPr>
          <w:lang w:val="en-GB"/>
        </w:rPr>
        <w:t>whether the volume of the groundwater concerned is located within one or within several aquifers;</w:t>
      </w:r>
    </w:p>
    <w:p w:rsidR="00BF0382" w:rsidRPr="008D6A99" w:rsidRDefault="00BF0382" w:rsidP="00BF0382">
      <w:pPr>
        <w:pStyle w:val="Liststycke"/>
        <w:numPr>
          <w:ilvl w:val="0"/>
          <w:numId w:val="58"/>
        </w:numPr>
        <w:spacing w:after="120" w:line="276" w:lineRule="auto"/>
        <w:jc w:val="both"/>
        <w:rPr>
          <w:lang w:val="en-GB"/>
        </w:rPr>
      </w:pPr>
      <w:r w:rsidRPr="008D6A99">
        <w:rPr>
          <w:lang w:val="en-GB"/>
        </w:rPr>
        <w:t>The risks according to the objectives of the WFD.</w:t>
      </w:r>
    </w:p>
    <w:p w:rsidR="00BF0382" w:rsidRPr="008D6A99" w:rsidRDefault="00BF0382" w:rsidP="00BF0382">
      <w:pPr>
        <w:rPr>
          <w:lang w:val="en-GB"/>
        </w:rPr>
      </w:pPr>
      <w:r w:rsidRPr="008D6A99">
        <w:rPr>
          <w:lang w:val="en-GB"/>
        </w:rPr>
        <w:t>It is up to each Member State and its national groundwater management strategy how GWBs are delineated (in accordance with the definitions under WFD Article 2), whether GWBs are defined separately for each individual stratum overlying each other or merging different strata.</w:t>
      </w:r>
    </w:p>
    <w:p w:rsidR="00BF0382" w:rsidRPr="008D6A99" w:rsidRDefault="00BF0382" w:rsidP="00BF0382">
      <w:pPr>
        <w:rPr>
          <w:lang w:val="en-GB"/>
        </w:rPr>
      </w:pPr>
      <w:r w:rsidRPr="008D6A99">
        <w:rPr>
          <w:lang w:val="en-GB"/>
        </w:rPr>
        <w:t>The vertical heterogeneity/variability of a hydrogeological setting can lead to many different arrangements of differently delineated GWBs. If hydrogeology is not the only factor considered (which is probably the case), many additional ways of delineation and types of configuration are possible.</w:t>
      </w:r>
    </w:p>
    <w:p w:rsidR="00BF0382" w:rsidRPr="008D6A99" w:rsidRDefault="00BF0382" w:rsidP="00BF0382">
      <w:pPr>
        <w:rPr>
          <w:lang w:val="en-GB"/>
        </w:rPr>
      </w:pPr>
      <w:r>
        <w:fldChar w:fldCharType="begin"/>
      </w:r>
      <w:r w:rsidRPr="008D6A99">
        <w:rPr>
          <w:lang w:val="en-GB"/>
        </w:rPr>
        <w:instrText xml:space="preserve"> REF _Ref381101389 \h  \* MERGEFORMAT </w:instrText>
      </w:r>
      <w:r>
        <w:fldChar w:fldCharType="separate"/>
      </w:r>
      <w:r w:rsidRPr="008D6A99">
        <w:rPr>
          <w:lang w:val="en-GB"/>
        </w:rPr>
        <w:t>Figure 6</w:t>
      </w:r>
      <w:r>
        <w:fldChar w:fldCharType="end"/>
      </w:r>
      <w:r w:rsidRPr="008D6A99">
        <w:rPr>
          <w:lang w:val="en-GB"/>
        </w:rPr>
        <w:t xml:space="preserve"> illustrates one example hydrogeological setting and four different (non-exhaustive) options of GWB delineation and arrangements which are in the following used to illustrate the challenge and proposed procedure of horizon assignment.</w:t>
      </w:r>
    </w:p>
    <w:p w:rsidR="00BF0382" w:rsidRPr="008D6A99" w:rsidRDefault="00BF0382" w:rsidP="00BF0382">
      <w:pPr>
        <w:pStyle w:val="Beskrivning"/>
        <w:rPr>
          <w:lang w:val="en-GB"/>
        </w:rPr>
      </w:pPr>
      <w:bookmarkStart w:id="898" w:name="_Ref381101389"/>
      <w:r w:rsidRPr="008D6A99">
        <w:rPr>
          <w:lang w:val="en-GB"/>
        </w:rPr>
        <w:t xml:space="preserve">Figure </w:t>
      </w:r>
      <w:r w:rsidR="00042B6E">
        <w:fldChar w:fldCharType="begin"/>
      </w:r>
      <w:r w:rsidR="00042B6E" w:rsidRPr="008D6A99">
        <w:rPr>
          <w:lang w:val="en-GB"/>
        </w:rPr>
        <w:instrText xml:space="preserve"> SEQ Figure \* ARABIC </w:instrText>
      </w:r>
      <w:r w:rsidR="00042B6E">
        <w:fldChar w:fldCharType="separate"/>
      </w:r>
      <w:r w:rsidRPr="008D6A99">
        <w:rPr>
          <w:noProof/>
          <w:lang w:val="en-GB"/>
        </w:rPr>
        <w:t>6</w:t>
      </w:r>
      <w:r w:rsidR="00042B6E">
        <w:rPr>
          <w:noProof/>
        </w:rPr>
        <w:fldChar w:fldCharType="end"/>
      </w:r>
      <w:bookmarkEnd w:id="898"/>
      <w:r w:rsidRPr="008D6A99">
        <w:rPr>
          <w:lang w:val="en-GB"/>
        </w:rPr>
        <w:t>: Four different (non-exhaustive) options of GWB delineation for one specific hydrogeological context</w:t>
      </w:r>
    </w:p>
    <w:p w:rsidR="00BF0382" w:rsidRPr="008D6A99" w:rsidRDefault="00BF0382" w:rsidP="00BF0382">
      <w:pPr>
        <w:jc w:val="center"/>
        <w:rPr>
          <w:noProof/>
          <w:lang w:val="en-GB"/>
        </w:rPr>
      </w:pPr>
      <w:r>
        <w:rPr>
          <w:noProof/>
          <w:lang w:bidi="ar-SA"/>
        </w:rPr>
        <mc:AlternateContent>
          <mc:Choice Requires="wps">
            <w:drawing>
              <wp:anchor distT="0" distB="0" distL="114300" distR="114300" simplePos="0" relativeHeight="251676672" behindDoc="0" locked="0" layoutInCell="1" allowOverlap="1" wp14:anchorId="6B0DFBCB" wp14:editId="12817BC8">
                <wp:simplePos x="0" y="0"/>
                <wp:positionH relativeFrom="column">
                  <wp:posOffset>2743835</wp:posOffset>
                </wp:positionH>
                <wp:positionV relativeFrom="paragraph">
                  <wp:posOffset>1866900</wp:posOffset>
                </wp:positionV>
                <wp:extent cx="654685" cy="1534795"/>
                <wp:effectExtent l="19050" t="19050" r="88265" b="4635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685" cy="1534795"/>
                        </a:xfrm>
                        <a:prstGeom prst="straightConnector1">
                          <a:avLst/>
                        </a:prstGeom>
                        <a:noFill/>
                        <a:ln w="34925" cap="flat" cmpd="sng" algn="ctr">
                          <a:solidFill>
                            <a:sysClr val="windowText" lastClr="000000"/>
                          </a:solidFill>
                          <a:prstDash val="solid"/>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0" o:spid="_x0000_s1026" type="#_x0000_t32" style="position:absolute;margin-left:216.05pt;margin-top:147pt;width:51.55pt;height:12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" strokecolor="windowText" strokeweight="2.75pt">
                <v:stroke endarrow="block" endarrowwidth="wide" endarrowlength="long"/>
                <o:lock v:ext="edit" shapetype="f"/>
              </v:shape>
            </w:pict>
          </mc:Fallback>
        </mc:AlternateContent>
      </w:r>
      <w:r>
        <w:rPr>
          <w:noProof/>
          <w:lang w:bidi="ar-SA"/>
        </w:rPr>
        <mc:AlternateContent>
          <mc:Choice Requires="wps">
            <w:drawing>
              <wp:anchor distT="0" distB="0" distL="114300" distR="114300" simplePos="0" relativeHeight="251664384" behindDoc="0" locked="0" layoutInCell="1" allowOverlap="1" wp14:anchorId="0C7663D4" wp14:editId="34E06A06">
                <wp:simplePos x="0" y="0"/>
                <wp:positionH relativeFrom="column">
                  <wp:posOffset>4868545</wp:posOffset>
                </wp:positionH>
                <wp:positionV relativeFrom="paragraph">
                  <wp:posOffset>3332480</wp:posOffset>
                </wp:positionV>
                <wp:extent cx="720725" cy="254000"/>
                <wp:effectExtent l="0" t="0" r="127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rsidR="003F7836" w:rsidRDefault="003F7836" w:rsidP="00BF0382">
                            <w:pPr>
                              <w:rPr>
                                <w:lang w:val="de-AT"/>
                              </w:rPr>
                            </w:pPr>
                            <w:r>
                              <w:rPr>
                                <w:lang w:val="de-AT"/>
                              </w:rPr>
                              <w:t>Option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9" o:spid="_x0000_s1030" type="#_x0000_t202" style="position:absolute;left:0;text-align:left;margin-left:383.35pt;margin-top:262.4pt;width:56.75pt;height:20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" fillcolor="window" stroked="f" strokeweight=".5pt">
                <v:path arrowok="t"/>
                <v:textbox>
                  <w:txbxContent>
                    <w:p w:rsidR="003F7836" w:rsidRDefault="003F7836" w:rsidP="00BF0382">
                      <w:pPr>
                        <w:rPr>
                          <w:lang w:val="de-AT"/>
                        </w:rPr>
                      </w:pPr>
                      <w:r>
                        <w:rPr>
                          <w:lang w:val="de-AT"/>
                        </w:rPr>
                        <w:t>Option 3</w:t>
                      </w:r>
                    </w:p>
                  </w:txbxContent>
                </v:textbox>
              </v:shape>
            </w:pict>
          </mc:Fallback>
        </mc:AlternateContent>
      </w:r>
      <w:r>
        <w:rPr>
          <w:noProof/>
          <w:lang w:bidi="ar-SA"/>
        </w:rPr>
        <w:drawing>
          <wp:anchor distT="0" distB="0" distL="114300" distR="114300" simplePos="0" relativeHeight="251659264" behindDoc="0" locked="0" layoutInCell="1" allowOverlap="1" wp14:anchorId="20502FE3" wp14:editId="3F49EAC9">
            <wp:simplePos x="0" y="0"/>
            <wp:positionH relativeFrom="column">
              <wp:posOffset>3255010</wp:posOffset>
            </wp:positionH>
            <wp:positionV relativeFrom="paragraph">
              <wp:posOffset>3265170</wp:posOffset>
            </wp:positionV>
            <wp:extent cx="1995805" cy="1362710"/>
            <wp:effectExtent l="0" t="0" r="0" b="0"/>
            <wp:wrapNone/>
            <wp:docPr id="16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5805" cy="1362710"/>
                    </a:xfrm>
                    <a:prstGeom prst="rect">
                      <a:avLst/>
                    </a:prstGeom>
                    <a:noFill/>
                  </pic:spPr>
                </pic:pic>
              </a:graphicData>
            </a:graphic>
          </wp:anchor>
        </w:drawing>
      </w:r>
      <w:r>
        <w:rPr>
          <w:noProof/>
          <w:lang w:bidi="ar-SA"/>
        </w:rPr>
        <mc:AlternateContent>
          <mc:Choice Requires="wps">
            <w:drawing>
              <wp:anchor distT="0" distB="0" distL="114300" distR="114300" simplePos="0" relativeHeight="251661312" behindDoc="0" locked="0" layoutInCell="1" allowOverlap="1" wp14:anchorId="11C0FA43" wp14:editId="334D9CA1">
                <wp:simplePos x="0" y="0"/>
                <wp:positionH relativeFrom="column">
                  <wp:posOffset>5317490</wp:posOffset>
                </wp:positionH>
                <wp:positionV relativeFrom="paragraph">
                  <wp:posOffset>1905</wp:posOffset>
                </wp:positionV>
                <wp:extent cx="720725" cy="254000"/>
                <wp:effectExtent l="0" t="0" r="127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rsidR="003F7836" w:rsidRDefault="003F7836" w:rsidP="00BF0382">
                            <w:pPr>
                              <w:rPr>
                                <w:lang w:val="de-AT"/>
                              </w:rPr>
                            </w:pPr>
                            <w:r>
                              <w:rPr>
                                <w:lang w:val="de-AT"/>
                              </w:rPr>
                              <w:t>Option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 o:spid="_x0000_s1031" type="#_x0000_t202" style="position:absolute;left:0;text-align:left;margin-left:418.7pt;margin-top:.15pt;width:56.75pt;height:20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" fillcolor="window" stroked="f" strokeweight=".5pt">
                <v:path arrowok="t"/>
                <v:textbox>
                  <w:txbxContent>
                    <w:p w:rsidR="003F7836" w:rsidRDefault="003F7836" w:rsidP="00BF0382">
                      <w:pPr>
                        <w:rPr>
                          <w:lang w:val="de-AT"/>
                        </w:rPr>
                      </w:pPr>
                      <w:r>
                        <w:rPr>
                          <w:lang w:val="de-AT"/>
                        </w:rPr>
                        <w:t>Option 1</w:t>
                      </w:r>
                    </w:p>
                  </w:txbxContent>
                </v:textbox>
              </v:shape>
            </w:pict>
          </mc:Fallback>
        </mc:AlternateContent>
      </w:r>
      <w:r>
        <w:rPr>
          <w:noProof/>
          <w:lang w:bidi="ar-SA"/>
        </w:rPr>
        <mc:AlternateContent>
          <mc:Choice Requires="wps">
            <w:drawing>
              <wp:anchor distT="0" distB="0" distL="114300" distR="114300" simplePos="0" relativeHeight="251665408" behindDoc="0" locked="0" layoutInCell="1" allowOverlap="1" wp14:anchorId="437EA07C" wp14:editId="6BDF8046">
                <wp:simplePos x="0" y="0"/>
                <wp:positionH relativeFrom="column">
                  <wp:posOffset>944880</wp:posOffset>
                </wp:positionH>
                <wp:positionV relativeFrom="paragraph">
                  <wp:posOffset>83185</wp:posOffset>
                </wp:positionV>
                <wp:extent cx="1651635" cy="254000"/>
                <wp:effectExtent l="0" t="0" r="889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254000"/>
                        </a:xfrm>
                        <a:prstGeom prst="rect">
                          <a:avLst/>
                        </a:prstGeom>
                        <a:solidFill>
                          <a:sysClr val="window" lastClr="FFFFFF"/>
                        </a:solidFill>
                        <a:ln w="6350">
                          <a:noFill/>
                        </a:ln>
                        <a:effectLst/>
                      </wps:spPr>
                      <wps:txbx>
                        <w:txbxContent>
                          <w:p w:rsidR="003F7836" w:rsidRDefault="003F7836" w:rsidP="00BF0382">
                            <w:pPr>
                              <w:rPr>
                                <w:lang w:val="de-AT"/>
                              </w:rPr>
                            </w:pPr>
                            <w:r>
                              <w:rPr>
                                <w:lang w:val="de-AT"/>
                              </w:rPr>
                              <w:t>Hydrogeological setting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6" o:spid="_x0000_s1032" type="#_x0000_t202" style="position:absolute;left:0;text-align:left;margin-left:74.4pt;margin-top:6.55pt;width:130.05pt;height:20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" fillcolor="window" stroked="f" strokeweight=".5pt">
                <v:path arrowok="t"/>
                <v:textbox>
                  <w:txbxContent>
                    <w:p w:rsidR="003F7836" w:rsidRDefault="003F7836" w:rsidP="00BF0382">
                      <w:pPr>
                        <w:rPr>
                          <w:lang w:val="de-AT"/>
                        </w:rPr>
                      </w:pPr>
                      <w:r>
                        <w:rPr>
                          <w:lang w:val="de-AT"/>
                        </w:rPr>
                        <w:t>Hydrogeological setting</w:t>
                      </w: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14:anchorId="7848E55A" wp14:editId="1F93AB81">
                <wp:simplePos x="0" y="0"/>
                <wp:positionH relativeFrom="column">
                  <wp:posOffset>5105400</wp:posOffset>
                </wp:positionH>
                <wp:positionV relativeFrom="paragraph">
                  <wp:posOffset>1967230</wp:posOffset>
                </wp:positionV>
                <wp:extent cx="720725" cy="254000"/>
                <wp:effectExtent l="0" t="0" r="127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rsidR="003F7836" w:rsidRDefault="003F7836" w:rsidP="00BF0382">
                            <w:pPr>
                              <w:rPr>
                                <w:lang w:val="de-AT"/>
                              </w:rPr>
                            </w:pPr>
                            <w:r>
                              <w:rPr>
                                <w:lang w:val="de-AT"/>
                              </w:rPr>
                              <w:t>Option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5" o:spid="_x0000_s1033" type="#_x0000_t202" style="position:absolute;left:0;text-align:left;margin-left:402pt;margin-top:154.9pt;width:56.75pt;height:20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" fillcolor="window" stroked="f" strokeweight=".5pt">
                <v:path arrowok="t"/>
                <v:textbox>
                  <w:txbxContent>
                    <w:p w:rsidR="003F7836" w:rsidRDefault="003F7836" w:rsidP="00BF0382">
                      <w:pPr>
                        <w:rPr>
                          <w:lang w:val="de-AT"/>
                        </w:rPr>
                      </w:pPr>
                      <w:r>
                        <w:rPr>
                          <w:lang w:val="de-AT"/>
                        </w:rPr>
                        <w:t>Option 2</w:t>
                      </w:r>
                    </w:p>
                  </w:txbxContent>
                </v:textbox>
              </v:shape>
            </w:pict>
          </mc:Fallback>
        </mc:AlternateContent>
      </w:r>
      <w:r>
        <w:rPr>
          <w:noProof/>
          <w:lang w:bidi="ar-SA"/>
        </w:rPr>
        <mc:AlternateContent>
          <mc:Choice Requires="wps">
            <w:drawing>
              <wp:anchor distT="0" distB="0" distL="114300" distR="114300" simplePos="0" relativeHeight="251662336" behindDoc="0" locked="0" layoutInCell="1" allowOverlap="1" wp14:anchorId="7F272670" wp14:editId="1BFA87D5">
                <wp:simplePos x="0" y="0"/>
                <wp:positionH relativeFrom="column">
                  <wp:posOffset>459105</wp:posOffset>
                </wp:positionH>
                <wp:positionV relativeFrom="paragraph">
                  <wp:posOffset>2233930</wp:posOffset>
                </wp:positionV>
                <wp:extent cx="720725" cy="254000"/>
                <wp:effectExtent l="0" t="0" r="127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rsidR="003F7836" w:rsidRDefault="003F7836" w:rsidP="00BF0382">
                            <w:pPr>
                              <w:rPr>
                                <w:lang w:val="de-AT"/>
                              </w:rPr>
                            </w:pPr>
                            <w:r>
                              <w:rPr>
                                <w:lang w:val="de-AT"/>
                              </w:rPr>
                              <w:t>Option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4" o:spid="_x0000_s1034" type="#_x0000_t202" style="position:absolute;left:0;text-align:left;margin-left:36.15pt;margin-top:175.9pt;width:56.75pt;height:20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" fillcolor="window" stroked="f" strokeweight=".5pt">
                <v:path arrowok="t"/>
                <v:textbox>
                  <w:txbxContent>
                    <w:p w:rsidR="003F7836" w:rsidRDefault="003F7836" w:rsidP="00BF0382">
                      <w:pPr>
                        <w:rPr>
                          <w:lang w:val="de-AT"/>
                        </w:rPr>
                      </w:pPr>
                      <w:r>
                        <w:rPr>
                          <w:lang w:val="de-AT"/>
                        </w:rPr>
                        <w:t>Option 4</w:t>
                      </w:r>
                    </w:p>
                  </w:txbxContent>
                </v:textbox>
              </v:shape>
            </w:pict>
          </mc:Fallback>
        </mc:AlternateContent>
      </w:r>
      <w:r>
        <w:rPr>
          <w:noProof/>
          <w:lang w:bidi="ar-SA"/>
        </w:rPr>
        <w:drawing>
          <wp:inline distT="0" distB="0" distL="0" distR="0" wp14:anchorId="7539B47E" wp14:editId="41CE35DE">
            <wp:extent cx="5518785" cy="3406775"/>
            <wp:effectExtent l="0" t="0" r="0" b="0"/>
            <wp:docPr id="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8785" cy="3406775"/>
                    </a:xfrm>
                    <a:prstGeom prst="rect">
                      <a:avLst/>
                    </a:prstGeom>
                    <a:noFill/>
                    <a:ln>
                      <a:noFill/>
                    </a:ln>
                  </pic:spPr>
                </pic:pic>
              </a:graphicData>
            </a:graphic>
          </wp:inline>
        </w:drawing>
      </w:r>
      <w:r w:rsidRPr="008D6A99">
        <w:rPr>
          <w:noProof/>
          <w:lang w:val="en-GB"/>
        </w:rPr>
        <w:t xml:space="preserve"> </w:t>
      </w:r>
    </w:p>
    <w:p w:rsidR="00BF0382" w:rsidRPr="008D6A99" w:rsidRDefault="00BF0382" w:rsidP="00BF0382">
      <w:pPr>
        <w:jc w:val="center"/>
        <w:rPr>
          <w:noProof/>
          <w:lang w:val="en-GB"/>
        </w:rPr>
      </w:pPr>
    </w:p>
    <w:p w:rsidR="00BF0382" w:rsidRPr="008D6A99" w:rsidRDefault="00BF0382" w:rsidP="00BF0382">
      <w:pPr>
        <w:jc w:val="center"/>
        <w:rPr>
          <w:noProof/>
          <w:lang w:val="en-GB"/>
        </w:rPr>
      </w:pPr>
    </w:p>
    <w:p w:rsidR="00BF0382" w:rsidRPr="008D6A99" w:rsidRDefault="00BF0382" w:rsidP="00BF0382">
      <w:pPr>
        <w:jc w:val="center"/>
        <w:rPr>
          <w:noProof/>
          <w:sz w:val="18"/>
          <w:lang w:val="en-GB"/>
        </w:rPr>
      </w:pPr>
    </w:p>
    <w:p w:rsidR="00BF0382" w:rsidRPr="008D6A99" w:rsidRDefault="00BF0382" w:rsidP="00BF0382">
      <w:pPr>
        <w:rPr>
          <w:sz w:val="8"/>
          <w:lang w:val="en-GB"/>
        </w:rPr>
      </w:pPr>
    </w:p>
    <w:p w:rsidR="00BF0382" w:rsidRPr="008D6A99" w:rsidRDefault="00BF0382" w:rsidP="00BF0382">
      <w:pPr>
        <w:rPr>
          <w:lang w:val="en-GB"/>
        </w:rPr>
      </w:pPr>
      <w:r w:rsidRPr="008D6A99">
        <w:rPr>
          <w:lang w:val="en-GB"/>
        </w:rPr>
        <w:t>In addition to the areal variability, the vertical variability makes homogenization work at the pan-European scale very complex, particularly for transboundary GWBs where the connected GWBs may be differently delineated by the Member States because of different national approaches, focuses or management constraints.</w:t>
      </w:r>
    </w:p>
    <w:p w:rsidR="00BF0382" w:rsidRDefault="00BF0382" w:rsidP="00BF0382">
      <w:pPr>
        <w:pStyle w:val="Rubrik2"/>
        <w:jc w:val="both"/>
      </w:pPr>
      <w:bookmarkStart w:id="899" w:name="_Toc386462465"/>
      <w:bookmarkStart w:id="900" w:name="_Toc386464270"/>
      <w:bookmarkStart w:id="901" w:name="_Toc388524214"/>
      <w:bookmarkStart w:id="902" w:name="_Toc389206535"/>
      <w:bookmarkStart w:id="903" w:name="_Toc403040988"/>
      <w:bookmarkStart w:id="904" w:name="_Toc432666117"/>
      <w:bookmarkStart w:id="905" w:name="_Toc437520313"/>
      <w:r>
        <w:t>Horizon assignment</w:t>
      </w:r>
      <w:bookmarkEnd w:id="899"/>
      <w:bookmarkEnd w:id="900"/>
      <w:bookmarkEnd w:id="901"/>
      <w:bookmarkEnd w:id="902"/>
      <w:bookmarkEnd w:id="903"/>
      <w:bookmarkEnd w:id="904"/>
      <w:bookmarkEnd w:id="905"/>
    </w:p>
    <w:p w:rsidR="00BF0382" w:rsidRDefault="00BF0382" w:rsidP="00BF0382">
      <w:pPr>
        <w:pStyle w:val="Rubrik3"/>
        <w:tabs>
          <w:tab w:val="clear" w:pos="3360"/>
          <w:tab w:val="num" w:pos="2835"/>
        </w:tabs>
      </w:pPr>
      <w:r>
        <w:t>Horizons: what for?</w:t>
      </w:r>
    </w:p>
    <w:p w:rsidR="00BF0382" w:rsidRPr="008D6A99" w:rsidRDefault="00BF0382" w:rsidP="00BF0382">
      <w:pPr>
        <w:rPr>
          <w:sz w:val="23"/>
          <w:szCs w:val="23"/>
          <w:lang w:val="en-GB"/>
        </w:rPr>
      </w:pPr>
      <w:r w:rsidRPr="008D6A99">
        <w:rPr>
          <w:sz w:val="23"/>
          <w:szCs w:val="23"/>
          <w:lang w:val="en-GB"/>
        </w:rPr>
        <w:t>GWBs are three-dimensional entities; however the representation of the feature will be as 2-D polygons. Borders of polygons of GWBs are their projection on the surface. It is necessary that multiple overlapping groundwater bodies at different depths with non-identical boundaries are distinguished in different horizons (layers) (EU, 2009). The characterisation of the vertical position of GWBs by ‘horizons’ should:</w:t>
      </w:r>
    </w:p>
    <w:p w:rsidR="00BF0382" w:rsidRPr="008D6A99" w:rsidRDefault="00BF0382" w:rsidP="00BF0382">
      <w:pPr>
        <w:pStyle w:val="Liststycke"/>
        <w:numPr>
          <w:ilvl w:val="0"/>
          <w:numId w:val="60"/>
        </w:numPr>
        <w:spacing w:after="120" w:line="276" w:lineRule="auto"/>
        <w:jc w:val="both"/>
        <w:rPr>
          <w:sz w:val="23"/>
          <w:szCs w:val="23"/>
          <w:lang w:val="en-GB"/>
        </w:rPr>
      </w:pPr>
      <w:r w:rsidRPr="008D6A99">
        <w:rPr>
          <w:sz w:val="23"/>
          <w:szCs w:val="23"/>
          <w:lang w:val="en-GB"/>
        </w:rPr>
        <w:t xml:space="preserve">help to reflect the three-dimensionality of GWBs and their vertical (relative) position to other GWBs. </w:t>
      </w:r>
    </w:p>
    <w:p w:rsidR="00BF0382" w:rsidRPr="008D6A99" w:rsidRDefault="00BF0382" w:rsidP="00BF0382">
      <w:pPr>
        <w:pStyle w:val="Liststycke"/>
        <w:numPr>
          <w:ilvl w:val="0"/>
          <w:numId w:val="60"/>
        </w:numPr>
        <w:spacing w:after="120" w:line="276" w:lineRule="auto"/>
        <w:jc w:val="both"/>
        <w:rPr>
          <w:sz w:val="23"/>
          <w:szCs w:val="23"/>
          <w:lang w:val="en-GB"/>
        </w:rPr>
      </w:pPr>
      <w:r w:rsidRPr="008D6A99">
        <w:rPr>
          <w:sz w:val="23"/>
          <w:szCs w:val="23"/>
          <w:lang w:val="en-GB"/>
        </w:rPr>
        <w:t>enable the stratified visualization of GWBs on maps and</w:t>
      </w:r>
    </w:p>
    <w:p w:rsidR="00BF0382" w:rsidRPr="008D6A99" w:rsidRDefault="00BF0382" w:rsidP="00BF0382">
      <w:pPr>
        <w:pStyle w:val="Liststycke"/>
        <w:numPr>
          <w:ilvl w:val="0"/>
          <w:numId w:val="60"/>
        </w:numPr>
        <w:spacing w:after="120" w:line="276" w:lineRule="auto"/>
        <w:jc w:val="both"/>
        <w:rPr>
          <w:sz w:val="23"/>
          <w:szCs w:val="23"/>
          <w:lang w:val="en-GB"/>
        </w:rPr>
      </w:pPr>
      <w:r w:rsidRPr="008D6A99">
        <w:rPr>
          <w:b/>
          <w:sz w:val="23"/>
          <w:szCs w:val="23"/>
          <w:lang w:val="en-GB"/>
        </w:rPr>
        <w:t>help to identify and visualise those (parts of) GWBs which are probably most exposed to anthropogenic pressures on the surface – the uppermost horizon, the</w:t>
      </w:r>
      <w:r w:rsidRPr="008D6A99">
        <w:rPr>
          <w:sz w:val="23"/>
          <w:szCs w:val="23"/>
          <w:lang w:val="en-GB"/>
        </w:rPr>
        <w:t xml:space="preserve"> </w:t>
      </w:r>
      <w:r w:rsidRPr="008D6A99">
        <w:rPr>
          <w:b/>
          <w:sz w:val="23"/>
          <w:szCs w:val="23"/>
          <w:lang w:val="en-GB"/>
        </w:rPr>
        <w:t>outcrops</w:t>
      </w:r>
      <w:r w:rsidRPr="008D6A99">
        <w:rPr>
          <w:sz w:val="23"/>
          <w:szCs w:val="23"/>
          <w:lang w:val="en-GB"/>
        </w:rPr>
        <w:t xml:space="preserve"> (like for geological maps).</w:t>
      </w:r>
    </w:p>
    <w:p w:rsidR="00BF0382" w:rsidRDefault="00BF0382" w:rsidP="00BF0382">
      <w:pPr>
        <w:pStyle w:val="Rubrik3"/>
        <w:tabs>
          <w:tab w:val="clear" w:pos="3360"/>
          <w:tab w:val="num" w:pos="2835"/>
        </w:tabs>
      </w:pPr>
      <w:r>
        <w:t>Concept – Guidance 2009</w:t>
      </w:r>
    </w:p>
    <w:p w:rsidR="00BF0382" w:rsidRPr="008D6A99" w:rsidRDefault="00BF0382" w:rsidP="00BF0382">
      <w:pPr>
        <w:rPr>
          <w:i/>
          <w:sz w:val="23"/>
          <w:szCs w:val="23"/>
          <w:lang w:val="en-GB"/>
        </w:rPr>
      </w:pPr>
      <w:r w:rsidRPr="008D6A99">
        <w:rPr>
          <w:sz w:val="23"/>
          <w:szCs w:val="23"/>
          <w:lang w:val="en-GB"/>
        </w:rPr>
        <w:t xml:space="preserve">‘Horizon’ was a mandatory reporting element within WFD reporting to WISE. The concept of assignment of whole GWBs to horizons is laid down in the ‘Guidance on the reporting of geographical data for the WFD’ (EU, 2009) and followed a simple numeration in the sense of the numerical position of the GWB starting with the first GWB-horizon from the surface. </w:t>
      </w:r>
    </w:p>
    <w:p w:rsidR="00BF0382" w:rsidRPr="008D6A99" w:rsidRDefault="00BF0382" w:rsidP="00BF0382">
      <w:pPr>
        <w:pStyle w:val="Rubrik3"/>
        <w:tabs>
          <w:tab w:val="clear" w:pos="3360"/>
          <w:tab w:val="num" w:pos="2835"/>
        </w:tabs>
        <w:rPr>
          <w:lang w:val="en-GB"/>
        </w:rPr>
      </w:pPr>
      <w:bookmarkStart w:id="906" w:name="_Toc379898696"/>
      <w:r w:rsidRPr="008D6A99">
        <w:rPr>
          <w:lang w:val="en-GB"/>
        </w:rPr>
        <w:t xml:space="preserve">Results from the first WISE reporting </w:t>
      </w:r>
      <w:bookmarkEnd w:id="906"/>
    </w:p>
    <w:p w:rsidR="00BF0382" w:rsidRPr="008D6A99" w:rsidRDefault="00BF0382" w:rsidP="00BF0382">
      <w:pPr>
        <w:rPr>
          <w:lang w:val="en-GB"/>
        </w:rPr>
      </w:pPr>
      <w:r w:rsidRPr="008D6A99">
        <w:rPr>
          <w:lang w:val="en-GB"/>
        </w:rPr>
        <w:t xml:space="preserve">The EU wide compilation and assessment of the provided geographical data (including the assignment to horizons) for GWBs showed that the data finally did not allow for achieving a non-ambiguous picture of the three-dimensionality of groundwater and GWBs which hampers the compilation of a GWB map for Europe. </w:t>
      </w:r>
      <w:r w:rsidRPr="008D6A99">
        <w:rPr>
          <w:sz w:val="23"/>
          <w:szCs w:val="23"/>
          <w:lang w:val="en-GB"/>
        </w:rPr>
        <w:t xml:space="preserve">To date, a comparable vertical positioning and a clear mapping of GWBs is actually impossible at the European scale. </w:t>
      </w:r>
      <w:r w:rsidRPr="008D6A99">
        <w:rPr>
          <w:lang w:val="en-GB"/>
        </w:rPr>
        <w:t>The European map prepared for the 2</w:t>
      </w:r>
      <w:r w:rsidRPr="008D6A99">
        <w:rPr>
          <w:vertAlign w:val="superscript"/>
          <w:lang w:val="en-GB"/>
        </w:rPr>
        <w:t>nd</w:t>
      </w:r>
      <w:r w:rsidRPr="008D6A99">
        <w:rPr>
          <w:lang w:val="en-GB"/>
        </w:rPr>
        <w:t xml:space="preserve"> Workshop on Groundwater Bodies (Duscher &amp; Struckmeier, 2011) reveals several discrepancies.</w:t>
      </w:r>
    </w:p>
    <w:p w:rsidR="00BF0382" w:rsidRPr="008D6A99" w:rsidRDefault="00BF0382" w:rsidP="00BF0382">
      <w:pPr>
        <w:rPr>
          <w:lang w:val="en-GB"/>
        </w:rPr>
      </w:pPr>
      <w:r w:rsidRPr="008D6A99">
        <w:rPr>
          <w:sz w:val="23"/>
          <w:szCs w:val="23"/>
          <w:lang w:val="en-GB"/>
        </w:rPr>
        <w:t>The majority of 13,345 GWB polygons reported in Europe to WISE are assigned to horizon 1 (10,871), followed by polygons allocated to horizon 2 (1,584). Polygons assigned to horizons 3 and more represent 3% of the total.</w:t>
      </w:r>
    </w:p>
    <w:p w:rsidR="00BF0382" w:rsidRPr="008D6A99" w:rsidRDefault="00BF0382" w:rsidP="00BF0382">
      <w:pPr>
        <w:keepNext/>
        <w:rPr>
          <w:lang w:val="en-GB"/>
        </w:rPr>
      </w:pPr>
      <w:r w:rsidRPr="008D6A99">
        <w:rPr>
          <w:lang w:val="en-GB"/>
        </w:rPr>
        <w:t>The main issues highlighted into the ETC/ICM report of 2013 are the following:</w:t>
      </w:r>
    </w:p>
    <w:p w:rsidR="00BF0382" w:rsidRPr="008D6A99" w:rsidRDefault="00BF0382" w:rsidP="00BF0382">
      <w:pPr>
        <w:pStyle w:val="Liststycke"/>
        <w:numPr>
          <w:ilvl w:val="0"/>
          <w:numId w:val="59"/>
        </w:numPr>
        <w:spacing w:after="120" w:line="276" w:lineRule="auto"/>
        <w:jc w:val="both"/>
        <w:rPr>
          <w:lang w:val="en-GB"/>
        </w:rPr>
      </w:pPr>
      <w:r w:rsidRPr="008D6A99">
        <w:rPr>
          <w:lang w:val="en-GB"/>
        </w:rPr>
        <w:t>The majority of Member State reported GWBs up-to horizon 4; few assigned their GWBs to more than 4 horizons (France, Italy, Estonia, Lithuania);</w:t>
      </w:r>
    </w:p>
    <w:p w:rsidR="00BF0382" w:rsidRPr="008D6A99" w:rsidRDefault="00BF0382" w:rsidP="00BF0382">
      <w:pPr>
        <w:pStyle w:val="Liststycke"/>
        <w:numPr>
          <w:ilvl w:val="0"/>
          <w:numId w:val="53"/>
        </w:numPr>
        <w:spacing w:after="120" w:line="276" w:lineRule="auto"/>
        <w:jc w:val="both"/>
        <w:rPr>
          <w:lang w:val="en-GB"/>
        </w:rPr>
      </w:pPr>
      <w:r w:rsidRPr="008D6A99">
        <w:rPr>
          <w:lang w:val="en-GB"/>
        </w:rPr>
        <w:t>Some Member States did not assign their GWBs to horizons (Spain and UK (Northern Ireland));</w:t>
      </w:r>
    </w:p>
    <w:p w:rsidR="00BF0382" w:rsidRPr="008D6A99" w:rsidRDefault="00BF0382" w:rsidP="00BF0382">
      <w:pPr>
        <w:pStyle w:val="Liststycke"/>
        <w:numPr>
          <w:ilvl w:val="0"/>
          <w:numId w:val="53"/>
        </w:numPr>
        <w:spacing w:after="120" w:line="276" w:lineRule="auto"/>
        <w:jc w:val="both"/>
        <w:rPr>
          <w:lang w:val="en-GB"/>
        </w:rPr>
      </w:pPr>
      <w:r w:rsidRPr="008D6A99">
        <w:rPr>
          <w:sz w:val="23"/>
          <w:szCs w:val="23"/>
          <w:lang w:val="en-GB"/>
        </w:rPr>
        <w:t>Nine Member States did not consider subdivision and assigned all GWBs to horizon 1 and/or horizon 0;</w:t>
      </w:r>
    </w:p>
    <w:p w:rsidR="00BF0382" w:rsidRPr="008D6A99" w:rsidRDefault="00BF0382" w:rsidP="00BF0382">
      <w:pPr>
        <w:pStyle w:val="Liststycke"/>
        <w:numPr>
          <w:ilvl w:val="0"/>
          <w:numId w:val="53"/>
        </w:numPr>
        <w:spacing w:after="120" w:line="276" w:lineRule="auto"/>
        <w:jc w:val="both"/>
        <w:rPr>
          <w:lang w:val="en-GB"/>
        </w:rPr>
      </w:pPr>
      <w:r w:rsidRPr="008D6A99">
        <w:rPr>
          <w:sz w:val="23"/>
          <w:szCs w:val="23"/>
          <w:lang w:val="en-GB"/>
        </w:rPr>
        <w:t>Some Member States reported GWBs which extend over several horizons;</w:t>
      </w:r>
    </w:p>
    <w:p w:rsidR="00BF0382" w:rsidRPr="008D6A99" w:rsidRDefault="00BF0382" w:rsidP="00BF0382">
      <w:pPr>
        <w:pStyle w:val="Liststycke"/>
        <w:numPr>
          <w:ilvl w:val="0"/>
          <w:numId w:val="53"/>
        </w:numPr>
        <w:spacing w:after="120" w:line="276" w:lineRule="auto"/>
        <w:jc w:val="both"/>
        <w:rPr>
          <w:lang w:val="en-GB"/>
        </w:rPr>
      </w:pPr>
      <w:r w:rsidRPr="008D6A99">
        <w:rPr>
          <w:lang w:val="en-GB"/>
        </w:rPr>
        <w:t>Some GWBs overlay each other within the same horizon.</w:t>
      </w:r>
    </w:p>
    <w:p w:rsidR="00BF0382" w:rsidRDefault="00BF0382" w:rsidP="00BF0382">
      <w:pPr>
        <w:pStyle w:val="Rubrik3"/>
        <w:tabs>
          <w:tab w:val="clear" w:pos="3360"/>
          <w:tab w:val="num" w:pos="2835"/>
        </w:tabs>
      </w:pPr>
      <w:bookmarkStart w:id="907" w:name="_Ref381371398"/>
      <w:r>
        <w:t>Deficits of the current approach</w:t>
      </w:r>
      <w:bookmarkEnd w:id="907"/>
    </w:p>
    <w:p w:rsidR="00BF0382" w:rsidRPr="008D6A99" w:rsidRDefault="00BF0382" w:rsidP="00BF0382">
      <w:pPr>
        <w:rPr>
          <w:lang w:val="en-GB"/>
        </w:rPr>
      </w:pPr>
      <w:r w:rsidRPr="008D6A99">
        <w:rPr>
          <w:lang w:val="en-GB"/>
        </w:rPr>
        <w:t>The main structural deficits are:</w:t>
      </w:r>
    </w:p>
    <w:p w:rsidR="00BF0382" w:rsidRPr="008D6A99" w:rsidRDefault="00BF0382" w:rsidP="00BF0382">
      <w:pPr>
        <w:pStyle w:val="Liststycke"/>
        <w:numPr>
          <w:ilvl w:val="0"/>
          <w:numId w:val="61"/>
        </w:numPr>
        <w:spacing w:after="120" w:line="276" w:lineRule="auto"/>
        <w:rPr>
          <w:lang w:val="en-GB"/>
        </w:rPr>
      </w:pPr>
      <w:r w:rsidRPr="008D6A99">
        <w:rPr>
          <w:lang w:val="en-GB"/>
        </w:rPr>
        <w:t>The current definition only allows that each GWB as a whole is assigned to exactly one horizon. But for representing complex stratifications this simple approach is not appropriate. It turned out quite difficult to assign to a single horizon, for example, downgrade GWBs that outcrop somewhere and are overlain in other parts by other GWBs.</w:t>
      </w:r>
    </w:p>
    <w:p w:rsidR="00BF0382" w:rsidRPr="008D6A99" w:rsidRDefault="00BF0382" w:rsidP="00BF0382">
      <w:pPr>
        <w:pStyle w:val="Liststycke"/>
        <w:numPr>
          <w:ilvl w:val="0"/>
          <w:numId w:val="61"/>
        </w:numPr>
        <w:spacing w:after="120" w:line="276" w:lineRule="auto"/>
        <w:rPr>
          <w:lang w:val="en-GB"/>
        </w:rPr>
      </w:pPr>
      <w:r w:rsidRPr="008D6A99">
        <w:rPr>
          <w:lang w:val="en-GB"/>
        </w:rPr>
        <w:t>The definition of ‘horizons’ might not be explicit enough or probably not sufficiently generic leading to deviating interpretations or wrong assignments in the Member States.</w:t>
      </w:r>
    </w:p>
    <w:p w:rsidR="00BF0382" w:rsidRPr="008D6A99" w:rsidRDefault="00BF0382" w:rsidP="00BF0382">
      <w:pPr>
        <w:pStyle w:val="Liststycke"/>
        <w:numPr>
          <w:ilvl w:val="0"/>
          <w:numId w:val="61"/>
        </w:numPr>
        <w:spacing w:after="120" w:line="276" w:lineRule="auto"/>
        <w:rPr>
          <w:lang w:val="en-GB"/>
        </w:rPr>
      </w:pPr>
      <w:r w:rsidRPr="008D6A99">
        <w:rPr>
          <w:lang w:val="en-GB"/>
        </w:rPr>
        <w:t>The number of horizons is limited to four.</w:t>
      </w:r>
    </w:p>
    <w:p w:rsidR="00BF0382" w:rsidRPr="008D6A99" w:rsidRDefault="00BF0382" w:rsidP="00BF0382">
      <w:pPr>
        <w:pStyle w:val="Liststycke"/>
        <w:numPr>
          <w:ilvl w:val="0"/>
          <w:numId w:val="61"/>
        </w:numPr>
        <w:spacing w:after="120" w:line="276" w:lineRule="auto"/>
        <w:rPr>
          <w:lang w:val="en-GB"/>
        </w:rPr>
      </w:pPr>
      <w:r w:rsidRPr="008D6A99">
        <w:rPr>
          <w:lang w:val="en-GB"/>
        </w:rPr>
        <w:t xml:space="preserve">The parameter ’horizon‘ might not be sufficient to characterize the three-dimensionality of GWBs. In addition, other parameters such as “Average Depth”, “Average Thickness” and “Depth range” are helpful. </w:t>
      </w:r>
    </w:p>
    <w:p w:rsidR="00BF0382" w:rsidRPr="008D6A99" w:rsidRDefault="00BF0382" w:rsidP="00BF0382">
      <w:pPr>
        <w:pStyle w:val="Liststycke"/>
        <w:numPr>
          <w:ilvl w:val="0"/>
          <w:numId w:val="61"/>
        </w:numPr>
        <w:spacing w:after="120" w:line="276" w:lineRule="auto"/>
        <w:rPr>
          <w:lang w:val="en-GB"/>
        </w:rPr>
      </w:pPr>
      <w:r w:rsidRPr="008D6A99">
        <w:rPr>
          <w:lang w:val="en-GB"/>
        </w:rPr>
        <w:t xml:space="preserve">The current approach does not allow for a </w:t>
      </w:r>
      <w:r w:rsidRPr="008D6A99">
        <w:rPr>
          <w:sz w:val="23"/>
          <w:szCs w:val="23"/>
          <w:lang w:val="en-GB"/>
        </w:rPr>
        <w:t xml:space="preserve">non-ambiguous join </w:t>
      </w:r>
      <w:r w:rsidRPr="008D6A99">
        <w:rPr>
          <w:lang w:val="en-GB"/>
        </w:rPr>
        <w:t xml:space="preserve">of transboundary GWBs. </w:t>
      </w:r>
    </w:p>
    <w:p w:rsidR="00BF0382" w:rsidRPr="008D6A99" w:rsidRDefault="00BF0382" w:rsidP="00BF0382">
      <w:pPr>
        <w:pStyle w:val="Rubrik1"/>
        <w:jc w:val="both"/>
        <w:rPr>
          <w:lang w:val="en-GB"/>
        </w:rPr>
      </w:pPr>
      <w:bookmarkStart w:id="908" w:name="_Toc386462466"/>
      <w:bookmarkStart w:id="909" w:name="_Toc386464271"/>
      <w:bookmarkStart w:id="910" w:name="_Toc388524215"/>
      <w:bookmarkStart w:id="911" w:name="_Toc389206536"/>
      <w:bookmarkStart w:id="912" w:name="_Toc403040989"/>
      <w:bookmarkStart w:id="913" w:name="_Toc432666118"/>
      <w:bookmarkStart w:id="914" w:name="_Toc437520314"/>
      <w:r w:rsidRPr="008D6A99">
        <w:rPr>
          <w:lang w:val="en-GB"/>
        </w:rPr>
        <w:t>Recommendations for horizon assignment – to enable homogeneous mapping at a pan-European scale</w:t>
      </w:r>
      <w:bookmarkEnd w:id="908"/>
      <w:bookmarkEnd w:id="909"/>
      <w:bookmarkEnd w:id="910"/>
      <w:bookmarkEnd w:id="911"/>
      <w:bookmarkEnd w:id="912"/>
      <w:bookmarkEnd w:id="913"/>
      <w:bookmarkEnd w:id="914"/>
    </w:p>
    <w:p w:rsidR="00BF0382" w:rsidRPr="008D6A99" w:rsidRDefault="00BF0382" w:rsidP="00BF0382">
      <w:pPr>
        <w:spacing w:before="240"/>
        <w:rPr>
          <w:lang w:val="en-GB"/>
        </w:rPr>
      </w:pPr>
      <w:r w:rsidRPr="008D6A99">
        <w:rPr>
          <w:lang w:val="en-GB"/>
        </w:rPr>
        <w:t>Within this chapter a revised approach for horizon assignment is proposed. This approach is illustrated by three different examples of GWB arrangements which are based on a hydrogeological example context.</w:t>
      </w:r>
    </w:p>
    <w:p w:rsidR="00BF0382" w:rsidRDefault="00BF0382" w:rsidP="00BF0382">
      <w:pPr>
        <w:pStyle w:val="Rubrik2"/>
        <w:jc w:val="both"/>
      </w:pPr>
      <w:bookmarkStart w:id="915" w:name="_Toc386462467"/>
      <w:bookmarkStart w:id="916" w:name="_Toc386464272"/>
      <w:bookmarkStart w:id="917" w:name="_Toc388524216"/>
      <w:bookmarkStart w:id="918" w:name="_Toc389206537"/>
      <w:bookmarkStart w:id="919" w:name="_Toc403040990"/>
      <w:bookmarkStart w:id="920" w:name="_Toc432666119"/>
      <w:bookmarkStart w:id="921" w:name="_Toc437520315"/>
      <w:bookmarkStart w:id="922" w:name="_Toc379898703"/>
      <w:r>
        <w:t>Amended proposal for horizon assignment</w:t>
      </w:r>
      <w:bookmarkEnd w:id="915"/>
      <w:bookmarkEnd w:id="916"/>
      <w:bookmarkEnd w:id="917"/>
      <w:bookmarkEnd w:id="918"/>
      <w:bookmarkEnd w:id="919"/>
      <w:bookmarkEnd w:id="920"/>
      <w:bookmarkEnd w:id="921"/>
    </w:p>
    <w:p w:rsidR="00BF0382" w:rsidRPr="008D6A99" w:rsidRDefault="00BF0382" w:rsidP="00BF0382">
      <w:pPr>
        <w:spacing w:before="240"/>
        <w:rPr>
          <w:lang w:val="en-GB"/>
        </w:rPr>
      </w:pPr>
      <w:r w:rsidRPr="008D6A99">
        <w:rPr>
          <w:lang w:val="en-GB"/>
        </w:rPr>
        <w:t xml:space="preserve">Considering the main problems identified in chapter </w:t>
      </w:r>
      <w:r>
        <w:fldChar w:fldCharType="begin"/>
      </w:r>
      <w:r w:rsidRPr="008D6A99">
        <w:rPr>
          <w:lang w:val="en-GB"/>
        </w:rPr>
        <w:instrText xml:space="preserve"> REF _Ref381371398 \r \h  \* MERGEFORMAT </w:instrText>
      </w:r>
      <w:r>
        <w:fldChar w:fldCharType="separate"/>
      </w:r>
      <w:r w:rsidRPr="008D6A99">
        <w:rPr>
          <w:lang w:val="en-GB"/>
        </w:rPr>
        <w:t>1.4.4</w:t>
      </w:r>
      <w:r>
        <w:fldChar w:fldCharType="end"/>
      </w:r>
      <w:r w:rsidRPr="008D6A99">
        <w:rPr>
          <w:lang w:val="en-GB"/>
        </w:rPr>
        <w:t>, the existing methodology is proposed to be kept and extended by the following features:</w:t>
      </w:r>
    </w:p>
    <w:p w:rsidR="00BF0382" w:rsidRPr="008D6A99" w:rsidRDefault="00BF0382" w:rsidP="00BF0382">
      <w:pPr>
        <w:pStyle w:val="Liststycke"/>
        <w:numPr>
          <w:ilvl w:val="0"/>
          <w:numId w:val="54"/>
        </w:numPr>
        <w:spacing w:after="120" w:line="276" w:lineRule="auto"/>
        <w:jc w:val="both"/>
        <w:rPr>
          <w:lang w:val="en-GB"/>
        </w:rPr>
      </w:pPr>
      <w:r w:rsidRPr="008D6A99">
        <w:rPr>
          <w:lang w:val="en-GB"/>
        </w:rPr>
        <w:t>The assignment of horizons follows a simple numeration in the sense of the numerical position of the groundwater body starting with the first GWB-horizon from the surface (EU, 2009)</w:t>
      </w:r>
    </w:p>
    <w:p w:rsidR="00BF0382" w:rsidRPr="008D6A99" w:rsidRDefault="00BF0382" w:rsidP="00BF0382">
      <w:pPr>
        <w:pStyle w:val="Liststycke"/>
        <w:numPr>
          <w:ilvl w:val="0"/>
          <w:numId w:val="54"/>
        </w:numPr>
        <w:spacing w:after="120" w:line="276" w:lineRule="auto"/>
        <w:jc w:val="both"/>
        <w:rPr>
          <w:lang w:val="en-GB"/>
        </w:rPr>
      </w:pPr>
      <w:r w:rsidRPr="008D6A99">
        <w:rPr>
          <w:b/>
          <w:lang w:val="en-GB"/>
        </w:rPr>
        <w:t>Groundwater bodies</w:t>
      </w:r>
      <w:r w:rsidRPr="008D6A99">
        <w:rPr>
          <w:lang w:val="en-GB"/>
        </w:rPr>
        <w:t xml:space="preserve"> </w:t>
      </w:r>
      <w:r w:rsidRPr="008D6A99">
        <w:rPr>
          <w:b/>
          <w:lang w:val="en-GB"/>
        </w:rPr>
        <w:t>can be split into sub-units for the purpose of assigning these sub-units individually to corresponding horizons</w:t>
      </w:r>
      <w:r w:rsidRPr="008D6A99">
        <w:rPr>
          <w:lang w:val="en-GB"/>
        </w:rPr>
        <w:t>, depending on the overlap with other GWBs;</w:t>
      </w:r>
    </w:p>
    <w:p w:rsidR="00BF0382" w:rsidRPr="008D6A99" w:rsidRDefault="00BF0382" w:rsidP="00BF0382">
      <w:pPr>
        <w:pStyle w:val="Liststycke"/>
        <w:numPr>
          <w:ilvl w:val="0"/>
          <w:numId w:val="54"/>
        </w:numPr>
        <w:spacing w:after="120" w:line="276" w:lineRule="auto"/>
        <w:jc w:val="both"/>
        <w:rPr>
          <w:lang w:val="en-GB"/>
        </w:rPr>
      </w:pPr>
      <w:r w:rsidRPr="008D6A99">
        <w:rPr>
          <w:b/>
          <w:lang w:val="en-GB"/>
        </w:rPr>
        <w:t>There is no limitation in the number of horizons</w:t>
      </w:r>
      <w:r w:rsidRPr="008D6A99">
        <w:rPr>
          <w:lang w:val="en-GB"/>
        </w:rPr>
        <w:t>;</w:t>
      </w:r>
    </w:p>
    <w:p w:rsidR="00BF0382" w:rsidRPr="008D6A99" w:rsidRDefault="00BF0382" w:rsidP="00BF0382">
      <w:pPr>
        <w:pStyle w:val="Liststycke"/>
        <w:numPr>
          <w:ilvl w:val="0"/>
          <w:numId w:val="54"/>
        </w:numPr>
        <w:spacing w:after="120" w:line="276" w:lineRule="auto"/>
        <w:jc w:val="both"/>
        <w:rPr>
          <w:lang w:val="en-GB"/>
        </w:rPr>
      </w:pPr>
      <w:r w:rsidRPr="008D6A99">
        <w:rPr>
          <w:b/>
          <w:lang w:val="en-GB"/>
        </w:rPr>
        <w:t>Overlaying groundwater bodies cannot be associated to the same horizon</w:t>
      </w:r>
      <w:r w:rsidRPr="008D6A99">
        <w:rPr>
          <w:lang w:val="en-GB"/>
        </w:rPr>
        <w:t>.</w:t>
      </w:r>
    </w:p>
    <w:p w:rsidR="00BF0382" w:rsidRPr="008D6A99" w:rsidRDefault="00BF0382" w:rsidP="00BF0382">
      <w:pPr>
        <w:pStyle w:val="Liststycke"/>
        <w:rPr>
          <w:lang w:val="en-GB"/>
        </w:rPr>
      </w:pPr>
    </w:p>
    <w:tbl>
      <w:tblPr>
        <w:tblW w:w="3834" w:type="pct"/>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704"/>
        <w:gridCol w:w="5851"/>
      </w:tblGrid>
      <w:tr w:rsidR="00BF0382" w:rsidTr="00BB474C">
        <w:trPr>
          <w:trHeight w:val="316"/>
          <w:jc w:val="center"/>
        </w:trPr>
        <w:tc>
          <w:tcPr>
            <w:tcW w:w="1128" w:type="pct"/>
            <w:tcBorders>
              <w:top w:val="single" w:sz="8" w:space="0" w:color="4F81BD"/>
              <w:left w:val="single" w:sz="8" w:space="0" w:color="4F81BD"/>
              <w:bottom w:val="single" w:sz="8" w:space="0" w:color="4F81BD"/>
              <w:right w:val="single" w:sz="8" w:space="0" w:color="4F81BD"/>
            </w:tcBorders>
            <w:shd w:val="pct10" w:color="auto" w:fill="FFFFFF"/>
            <w:noWrap/>
            <w:vAlign w:val="center"/>
          </w:tcPr>
          <w:p w:rsidR="00BF0382" w:rsidRDefault="00BF0382" w:rsidP="00BB474C">
            <w:pPr>
              <w:spacing w:after="0"/>
              <w:jc w:val="center"/>
              <w:rPr>
                <w:rFonts w:ascii="Calibri" w:hAnsi="Calibri"/>
                <w:b/>
              </w:rPr>
            </w:pPr>
            <w:r>
              <w:rPr>
                <w:rFonts w:ascii="Calibri" w:hAnsi="Calibri"/>
                <w:b/>
              </w:rPr>
              <w:t>Horizon Code</w:t>
            </w:r>
          </w:p>
        </w:tc>
        <w:tc>
          <w:tcPr>
            <w:tcW w:w="3872" w:type="pct"/>
            <w:tcBorders>
              <w:top w:val="single" w:sz="8" w:space="0" w:color="4F81BD"/>
              <w:left w:val="single" w:sz="8" w:space="0" w:color="4F81BD"/>
              <w:bottom w:val="single" w:sz="8" w:space="0" w:color="4F81BD"/>
              <w:right w:val="single" w:sz="8" w:space="0" w:color="4F81BD"/>
            </w:tcBorders>
            <w:shd w:val="pct10" w:color="auto" w:fill="FFFFFF"/>
            <w:vAlign w:val="center"/>
          </w:tcPr>
          <w:p w:rsidR="00BF0382" w:rsidRDefault="00BF0382" w:rsidP="00BB474C">
            <w:pPr>
              <w:spacing w:after="0"/>
              <w:jc w:val="center"/>
              <w:rPr>
                <w:rFonts w:ascii="Calibri" w:hAnsi="Calibri"/>
                <w:b/>
              </w:rPr>
            </w:pPr>
            <w:r>
              <w:rPr>
                <w:rFonts w:ascii="Calibri" w:hAnsi="Calibri"/>
                <w:b/>
              </w:rPr>
              <w:t>Brief description</w:t>
            </w:r>
          </w:p>
        </w:tc>
      </w:tr>
      <w:tr w:rsidR="00BF0382" w:rsidRPr="00D95552" w:rsidTr="00BB474C">
        <w:trPr>
          <w:trHeight w:val="439"/>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BF0382" w:rsidRDefault="00BF0382" w:rsidP="00BB474C">
            <w:pPr>
              <w:spacing w:after="0"/>
              <w:jc w:val="center"/>
              <w:rPr>
                <w:rFonts w:ascii="Calibri" w:hAnsi="Calibri"/>
                <w:b/>
              </w:rPr>
            </w:pPr>
            <w:r>
              <w:rPr>
                <w:rFonts w:ascii="Calibri" w:hAnsi="Calibri"/>
                <w:b/>
              </w:rPr>
              <w:t>1</w:t>
            </w:r>
          </w:p>
        </w:tc>
        <w:tc>
          <w:tcPr>
            <w:tcW w:w="3872" w:type="pct"/>
            <w:tcBorders>
              <w:top w:val="single" w:sz="8" w:space="0" w:color="4F81BD"/>
              <w:left w:val="single" w:sz="8" w:space="0" w:color="4F81BD"/>
              <w:bottom w:val="single" w:sz="8" w:space="0" w:color="4F81BD"/>
            </w:tcBorders>
            <w:shd w:val="clear" w:color="auto" w:fill="auto"/>
            <w:vAlign w:val="center"/>
          </w:tcPr>
          <w:p w:rsidR="00BF0382" w:rsidRPr="008D6A99" w:rsidRDefault="00BF0382" w:rsidP="00BB474C">
            <w:pPr>
              <w:spacing w:after="0"/>
              <w:rPr>
                <w:rFonts w:ascii="Calibri" w:hAnsi="Calibri"/>
                <w:lang w:val="en-GB"/>
              </w:rPr>
            </w:pPr>
            <w:r w:rsidRPr="008D6A99">
              <w:rPr>
                <w:rFonts w:ascii="Calibri" w:hAnsi="Calibri"/>
                <w:lang w:val="en-GB"/>
              </w:rPr>
              <w:t>(Part of) first GWB from the surface</w:t>
            </w:r>
          </w:p>
        </w:tc>
      </w:tr>
      <w:tr w:rsidR="00BF0382" w:rsidRPr="00D95552" w:rsidTr="00BB474C">
        <w:trPr>
          <w:trHeight w:val="478"/>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BF0382" w:rsidRDefault="00BF0382" w:rsidP="00BB474C">
            <w:pPr>
              <w:spacing w:after="0"/>
              <w:jc w:val="center"/>
              <w:rPr>
                <w:rFonts w:ascii="Calibri" w:hAnsi="Calibri"/>
                <w:b/>
              </w:rPr>
            </w:pPr>
            <w:r>
              <w:rPr>
                <w:rFonts w:ascii="Calibri" w:hAnsi="Calibri"/>
                <w:b/>
              </w:rPr>
              <w:t>2</w:t>
            </w:r>
          </w:p>
        </w:tc>
        <w:tc>
          <w:tcPr>
            <w:tcW w:w="3872" w:type="pct"/>
            <w:tcBorders>
              <w:top w:val="single" w:sz="8" w:space="0" w:color="4F81BD"/>
              <w:left w:val="single" w:sz="8" w:space="0" w:color="4F81BD"/>
              <w:bottom w:val="single" w:sz="8" w:space="0" w:color="4F81BD"/>
            </w:tcBorders>
            <w:shd w:val="clear" w:color="auto" w:fill="auto"/>
            <w:vAlign w:val="center"/>
          </w:tcPr>
          <w:p w:rsidR="00BF0382" w:rsidRPr="008D6A99" w:rsidRDefault="00BF0382" w:rsidP="00BB474C">
            <w:pPr>
              <w:spacing w:after="0"/>
              <w:rPr>
                <w:rFonts w:ascii="Calibri" w:hAnsi="Calibri"/>
                <w:lang w:val="en-GB"/>
              </w:rPr>
            </w:pPr>
            <w:r w:rsidRPr="008D6A99">
              <w:rPr>
                <w:rFonts w:ascii="Calibri" w:hAnsi="Calibri"/>
                <w:lang w:val="en-GB"/>
              </w:rPr>
              <w:t>(Part of) second GWB from the surface</w:t>
            </w:r>
          </w:p>
        </w:tc>
      </w:tr>
      <w:tr w:rsidR="00BF0382" w:rsidRPr="00D95552" w:rsidTr="00BB474C">
        <w:trPr>
          <w:trHeight w:val="467"/>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BF0382" w:rsidRDefault="00BF0382" w:rsidP="00BB474C">
            <w:pPr>
              <w:spacing w:after="0"/>
              <w:jc w:val="center"/>
              <w:rPr>
                <w:rFonts w:ascii="Calibri" w:hAnsi="Calibri"/>
                <w:b/>
              </w:rPr>
            </w:pPr>
            <w:r>
              <w:rPr>
                <w:rFonts w:ascii="Calibri" w:hAnsi="Calibri"/>
                <w:b/>
              </w:rPr>
              <w:t>3</w:t>
            </w:r>
          </w:p>
        </w:tc>
        <w:tc>
          <w:tcPr>
            <w:tcW w:w="3872" w:type="pct"/>
            <w:tcBorders>
              <w:top w:val="single" w:sz="8" w:space="0" w:color="4F81BD"/>
              <w:left w:val="single" w:sz="8" w:space="0" w:color="4F81BD"/>
              <w:bottom w:val="single" w:sz="8" w:space="0" w:color="4F81BD"/>
            </w:tcBorders>
            <w:shd w:val="clear" w:color="auto" w:fill="auto"/>
            <w:vAlign w:val="center"/>
          </w:tcPr>
          <w:p w:rsidR="00BF0382" w:rsidRPr="008D6A99" w:rsidRDefault="00BF0382" w:rsidP="00BB474C">
            <w:pPr>
              <w:spacing w:after="0"/>
              <w:rPr>
                <w:rFonts w:ascii="Calibri" w:hAnsi="Calibri"/>
                <w:lang w:val="en-GB"/>
              </w:rPr>
            </w:pPr>
            <w:r w:rsidRPr="008D6A99">
              <w:rPr>
                <w:rFonts w:ascii="Calibri" w:hAnsi="Calibri"/>
                <w:lang w:val="en-GB"/>
              </w:rPr>
              <w:t>(Part of) third GWB from the surface</w:t>
            </w:r>
          </w:p>
        </w:tc>
      </w:tr>
      <w:tr w:rsidR="00BF0382" w:rsidRPr="00D95552" w:rsidTr="00BB474C">
        <w:trPr>
          <w:trHeight w:val="478"/>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BF0382" w:rsidRDefault="00BF0382" w:rsidP="00BB474C">
            <w:pPr>
              <w:spacing w:after="0"/>
              <w:jc w:val="center"/>
              <w:rPr>
                <w:rFonts w:ascii="Calibri" w:hAnsi="Calibri"/>
                <w:b/>
              </w:rPr>
            </w:pPr>
            <w:r>
              <w:rPr>
                <w:rFonts w:ascii="Calibri" w:hAnsi="Calibri"/>
                <w:b/>
              </w:rPr>
              <w:t>4</w:t>
            </w:r>
          </w:p>
        </w:tc>
        <w:tc>
          <w:tcPr>
            <w:tcW w:w="3872" w:type="pct"/>
            <w:tcBorders>
              <w:top w:val="single" w:sz="8" w:space="0" w:color="4F81BD"/>
              <w:left w:val="single" w:sz="8" w:space="0" w:color="4F81BD"/>
              <w:bottom w:val="single" w:sz="8" w:space="0" w:color="4F81BD"/>
            </w:tcBorders>
            <w:shd w:val="clear" w:color="auto" w:fill="auto"/>
            <w:vAlign w:val="center"/>
          </w:tcPr>
          <w:p w:rsidR="00BF0382" w:rsidRPr="008D6A99" w:rsidRDefault="00BF0382" w:rsidP="00BB474C">
            <w:pPr>
              <w:spacing w:after="0"/>
              <w:rPr>
                <w:rFonts w:ascii="Calibri" w:hAnsi="Calibri"/>
                <w:lang w:val="en-GB"/>
              </w:rPr>
            </w:pPr>
            <w:r w:rsidRPr="008D6A99">
              <w:rPr>
                <w:rFonts w:ascii="Calibri" w:hAnsi="Calibri"/>
                <w:lang w:val="en-GB"/>
              </w:rPr>
              <w:t>(Part of) fourth GWB from the surface</w:t>
            </w:r>
          </w:p>
        </w:tc>
      </w:tr>
      <w:tr w:rsidR="00BF0382" w:rsidRPr="00D95552" w:rsidTr="00BB474C">
        <w:trPr>
          <w:trHeight w:val="252"/>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BF0382" w:rsidRDefault="00BF0382" w:rsidP="00BB474C">
            <w:pPr>
              <w:spacing w:after="0"/>
              <w:jc w:val="center"/>
              <w:rPr>
                <w:rFonts w:ascii="Calibri" w:hAnsi="Calibri"/>
                <w:b/>
              </w:rPr>
            </w:pPr>
            <w:r>
              <w:rPr>
                <w:rFonts w:ascii="Calibri" w:hAnsi="Calibri"/>
                <w:b/>
              </w:rPr>
              <w:t>5</w:t>
            </w:r>
          </w:p>
        </w:tc>
        <w:tc>
          <w:tcPr>
            <w:tcW w:w="3872" w:type="pct"/>
            <w:tcBorders>
              <w:top w:val="single" w:sz="8" w:space="0" w:color="4F81BD"/>
              <w:left w:val="single" w:sz="8" w:space="0" w:color="4F81BD"/>
              <w:bottom w:val="single" w:sz="8" w:space="0" w:color="4F81BD"/>
            </w:tcBorders>
            <w:shd w:val="clear" w:color="auto" w:fill="auto"/>
            <w:vAlign w:val="center"/>
          </w:tcPr>
          <w:p w:rsidR="00BF0382" w:rsidRPr="008D6A99" w:rsidRDefault="00BF0382" w:rsidP="00BB474C">
            <w:pPr>
              <w:spacing w:after="0"/>
              <w:rPr>
                <w:rFonts w:ascii="Calibri" w:hAnsi="Calibri"/>
                <w:lang w:val="en-GB"/>
              </w:rPr>
            </w:pPr>
            <w:r w:rsidRPr="008D6A99">
              <w:rPr>
                <w:rFonts w:ascii="Calibri" w:hAnsi="Calibri"/>
                <w:lang w:val="en-GB"/>
              </w:rPr>
              <w:t>(Part of) fifth GWB from the surface</w:t>
            </w:r>
          </w:p>
        </w:tc>
      </w:tr>
      <w:tr w:rsidR="00BF0382" w:rsidTr="00BB474C">
        <w:trPr>
          <w:trHeight w:val="60"/>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BF0382" w:rsidRDefault="00BF0382" w:rsidP="00BB474C">
            <w:pPr>
              <w:spacing w:after="0"/>
              <w:jc w:val="center"/>
              <w:rPr>
                <w:rFonts w:ascii="Calibri" w:hAnsi="Calibri"/>
                <w:b/>
              </w:rPr>
            </w:pPr>
            <w:r>
              <w:rPr>
                <w:rFonts w:ascii="Calibri" w:hAnsi="Calibri"/>
                <w:b/>
              </w:rPr>
              <w:t>…etc….</w:t>
            </w:r>
          </w:p>
        </w:tc>
        <w:tc>
          <w:tcPr>
            <w:tcW w:w="3872" w:type="pct"/>
            <w:tcBorders>
              <w:top w:val="single" w:sz="8" w:space="0" w:color="4F81BD"/>
              <w:left w:val="single" w:sz="8" w:space="0" w:color="4F81BD"/>
              <w:bottom w:val="single" w:sz="8" w:space="0" w:color="4F81BD"/>
            </w:tcBorders>
            <w:shd w:val="clear" w:color="auto" w:fill="auto"/>
            <w:vAlign w:val="center"/>
          </w:tcPr>
          <w:p w:rsidR="00BF0382" w:rsidRDefault="00BF0382" w:rsidP="00BB474C">
            <w:pPr>
              <w:spacing w:after="0"/>
              <w:rPr>
                <w:rFonts w:ascii="Calibri" w:hAnsi="Calibri"/>
              </w:rPr>
            </w:pPr>
            <w:r>
              <w:rPr>
                <w:rFonts w:ascii="Calibri" w:hAnsi="Calibri"/>
              </w:rPr>
              <w:t>…etc….</w:t>
            </w:r>
          </w:p>
        </w:tc>
      </w:tr>
    </w:tbl>
    <w:p w:rsidR="00BF0382" w:rsidRDefault="00BF0382" w:rsidP="00BF0382"/>
    <w:p w:rsidR="00BF0382" w:rsidRPr="008D6A99" w:rsidRDefault="00BF0382" w:rsidP="00BF0382">
      <w:pPr>
        <w:pBdr>
          <w:top w:val="single" w:sz="4" w:space="1" w:color="auto"/>
          <w:left w:val="single" w:sz="4" w:space="4" w:color="auto"/>
          <w:bottom w:val="single" w:sz="4" w:space="1" w:color="auto"/>
          <w:right w:val="single" w:sz="4" w:space="4" w:color="auto"/>
        </w:pBdr>
        <w:rPr>
          <w:b/>
          <w:lang w:val="en-GB"/>
        </w:rPr>
      </w:pPr>
      <w:r w:rsidRPr="008D6A99">
        <w:rPr>
          <w:b/>
          <w:lang w:val="en-GB"/>
        </w:rPr>
        <w:t>It has to be emphasized that the assignment of GWBs to horizons should not be mixed with (is separate from) the delineation of GWBs which is strictly subject to Member State’s decisions and methods. Horizon assignment is just a tool for harmonization to enable coherent visualisation of GWBs at the European level and to support transboundary coordination. It is therefore solely a matter of reporting.</w:t>
      </w:r>
    </w:p>
    <w:p w:rsidR="00BF0382" w:rsidRPr="008D6A99" w:rsidRDefault="00BF0382" w:rsidP="00BF0382">
      <w:pPr>
        <w:pBdr>
          <w:top w:val="single" w:sz="4" w:space="1" w:color="auto"/>
          <w:left w:val="single" w:sz="4" w:space="4" w:color="auto"/>
          <w:bottom w:val="single" w:sz="4" w:space="1" w:color="auto"/>
          <w:right w:val="single" w:sz="4" w:space="4" w:color="auto"/>
        </w:pBdr>
        <w:rPr>
          <w:b/>
          <w:lang w:val="en-GB"/>
        </w:rPr>
      </w:pPr>
      <w:r w:rsidRPr="008D6A99">
        <w:rPr>
          <w:b/>
          <w:lang w:val="en-GB"/>
        </w:rPr>
        <w:t>Except for the uppermost horizon (horizon 1) the assignment of a (part of a) GWB to a certain horizon does not give any information about its absolute vertical position within the overall schema, just the relative position to overlying or underlying (parts of) GWBs from the surface.</w:t>
      </w:r>
    </w:p>
    <w:p w:rsidR="00BF0382" w:rsidRPr="008D6A99" w:rsidRDefault="00BF0382" w:rsidP="00BF0382">
      <w:pPr>
        <w:rPr>
          <w:lang w:val="en-GB"/>
        </w:rPr>
      </w:pPr>
    </w:p>
    <w:p w:rsidR="00BF0382" w:rsidRPr="008D6A99" w:rsidRDefault="00BF0382" w:rsidP="00BF0382">
      <w:pPr>
        <w:pStyle w:val="Rubrik2"/>
        <w:jc w:val="both"/>
        <w:rPr>
          <w:lang w:val="en-GB"/>
        </w:rPr>
      </w:pPr>
      <w:bookmarkStart w:id="923" w:name="_Toc386462468"/>
      <w:bookmarkStart w:id="924" w:name="_Toc386464273"/>
      <w:bookmarkStart w:id="925" w:name="_Toc388524217"/>
      <w:bookmarkStart w:id="926" w:name="_Toc389206538"/>
      <w:bookmarkStart w:id="927" w:name="_Toc403040991"/>
      <w:bookmarkStart w:id="928" w:name="_Toc432666120"/>
      <w:bookmarkStart w:id="929" w:name="_Toc437520316"/>
      <w:r w:rsidRPr="008D6A99">
        <w:rPr>
          <w:lang w:val="en-GB"/>
        </w:rPr>
        <w:t>Amended proposal for reporting of GIS information to WISE</w:t>
      </w:r>
      <w:bookmarkEnd w:id="923"/>
      <w:bookmarkEnd w:id="924"/>
      <w:bookmarkEnd w:id="925"/>
      <w:bookmarkEnd w:id="926"/>
      <w:bookmarkEnd w:id="927"/>
      <w:bookmarkEnd w:id="928"/>
      <w:bookmarkEnd w:id="929"/>
    </w:p>
    <w:p w:rsidR="00BF0382" w:rsidRPr="008D6A99" w:rsidRDefault="00BF0382" w:rsidP="00BF0382">
      <w:pPr>
        <w:rPr>
          <w:lang w:val="en-GB"/>
        </w:rPr>
      </w:pPr>
      <w:r w:rsidRPr="008D6A99">
        <w:rPr>
          <w:lang w:val="en-GB"/>
        </w:rPr>
        <w:t>It is proposed to report GIS information with the following architecture: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321"/>
        <w:gridCol w:w="2313"/>
        <w:gridCol w:w="2831"/>
      </w:tblGrid>
      <w:tr w:rsidR="00BF0382" w:rsidTr="00BB474C">
        <w:tc>
          <w:tcPr>
            <w:tcW w:w="2374" w:type="dxa"/>
            <w:shd w:val="clear" w:color="auto" w:fill="auto"/>
          </w:tcPr>
          <w:p w:rsidR="00BF0382" w:rsidRDefault="00BF0382" w:rsidP="00BB474C">
            <w:pPr>
              <w:spacing w:after="0"/>
              <w:rPr>
                <w:rFonts w:ascii="Calibri" w:hAnsi="Calibri"/>
                <w:b/>
              </w:rPr>
            </w:pPr>
            <w:r>
              <w:rPr>
                <w:rFonts w:ascii="Calibri" w:hAnsi="Calibri"/>
                <w:b/>
              </w:rPr>
              <w:t>Attribute name</w:t>
            </w:r>
          </w:p>
        </w:tc>
        <w:tc>
          <w:tcPr>
            <w:tcW w:w="2321" w:type="dxa"/>
            <w:shd w:val="clear" w:color="auto" w:fill="auto"/>
          </w:tcPr>
          <w:p w:rsidR="00BF0382" w:rsidRDefault="00BF0382" w:rsidP="00BB474C">
            <w:pPr>
              <w:spacing w:after="0"/>
              <w:rPr>
                <w:rFonts w:ascii="Calibri" w:hAnsi="Calibri"/>
                <w:b/>
              </w:rPr>
            </w:pPr>
            <w:r>
              <w:rPr>
                <w:rFonts w:ascii="Calibri" w:hAnsi="Calibri"/>
                <w:b/>
              </w:rPr>
              <w:t>Obligation</w:t>
            </w:r>
          </w:p>
        </w:tc>
        <w:tc>
          <w:tcPr>
            <w:tcW w:w="2313" w:type="dxa"/>
            <w:shd w:val="clear" w:color="auto" w:fill="auto"/>
          </w:tcPr>
          <w:p w:rsidR="00BF0382" w:rsidRDefault="00BF0382" w:rsidP="00BB474C">
            <w:pPr>
              <w:spacing w:after="0"/>
              <w:rPr>
                <w:rFonts w:ascii="Calibri" w:hAnsi="Calibri"/>
                <w:b/>
              </w:rPr>
            </w:pPr>
            <w:r>
              <w:rPr>
                <w:rFonts w:ascii="Calibri" w:hAnsi="Calibri"/>
                <w:b/>
              </w:rPr>
              <w:t>Type</w:t>
            </w:r>
          </w:p>
        </w:tc>
        <w:tc>
          <w:tcPr>
            <w:tcW w:w="2614" w:type="dxa"/>
            <w:shd w:val="clear" w:color="auto" w:fill="auto"/>
          </w:tcPr>
          <w:p w:rsidR="00BF0382" w:rsidRDefault="00BF0382" w:rsidP="00BB474C">
            <w:pPr>
              <w:spacing w:after="0"/>
              <w:rPr>
                <w:rFonts w:ascii="Calibri" w:hAnsi="Calibri"/>
                <w:b/>
              </w:rPr>
            </w:pPr>
            <w:r>
              <w:rPr>
                <w:rFonts w:ascii="Calibri" w:hAnsi="Calibri"/>
                <w:b/>
              </w:rPr>
              <w:t>Description</w:t>
            </w:r>
          </w:p>
        </w:tc>
      </w:tr>
      <w:tr w:rsidR="00BF0382" w:rsidRPr="00D95552" w:rsidTr="00BB474C">
        <w:tc>
          <w:tcPr>
            <w:tcW w:w="2374" w:type="dxa"/>
            <w:shd w:val="clear" w:color="auto" w:fill="auto"/>
          </w:tcPr>
          <w:p w:rsidR="00BF0382" w:rsidRDefault="00BF0382" w:rsidP="00BB474C">
            <w:pPr>
              <w:spacing w:after="0"/>
              <w:rPr>
                <w:rFonts w:ascii="Calibri" w:hAnsi="Calibri"/>
              </w:rPr>
            </w:pPr>
            <w:r>
              <w:rPr>
                <w:rFonts w:ascii="Calibri" w:hAnsi="Calibri"/>
              </w:rPr>
              <w:t>EU_CD_GW</w:t>
            </w:r>
          </w:p>
        </w:tc>
        <w:tc>
          <w:tcPr>
            <w:tcW w:w="2321" w:type="dxa"/>
            <w:shd w:val="clear" w:color="auto" w:fill="auto"/>
          </w:tcPr>
          <w:p w:rsidR="00BF0382" w:rsidRDefault="00BF0382" w:rsidP="00BB474C">
            <w:pPr>
              <w:spacing w:after="0"/>
              <w:rPr>
                <w:rFonts w:ascii="Calibri" w:hAnsi="Calibri"/>
              </w:rPr>
            </w:pPr>
            <w:r>
              <w:rPr>
                <w:rFonts w:ascii="Calibri" w:hAnsi="Calibri"/>
              </w:rPr>
              <w:t>Required</w:t>
            </w:r>
          </w:p>
        </w:tc>
        <w:tc>
          <w:tcPr>
            <w:tcW w:w="2313" w:type="dxa"/>
            <w:shd w:val="clear" w:color="auto" w:fill="auto"/>
          </w:tcPr>
          <w:p w:rsidR="00BF0382" w:rsidRDefault="00BF0382" w:rsidP="00BB474C">
            <w:pPr>
              <w:spacing w:after="0"/>
              <w:rPr>
                <w:rFonts w:ascii="Calibri" w:hAnsi="Calibri"/>
              </w:rPr>
            </w:pPr>
            <w:r>
              <w:rPr>
                <w:rFonts w:ascii="Calibri" w:hAnsi="Calibri"/>
              </w:rPr>
              <w:t>string (42)</w:t>
            </w:r>
          </w:p>
        </w:tc>
        <w:tc>
          <w:tcPr>
            <w:tcW w:w="2614" w:type="dxa"/>
            <w:shd w:val="clear" w:color="auto" w:fill="auto"/>
          </w:tcPr>
          <w:p w:rsidR="00BF0382" w:rsidRPr="008D6A99" w:rsidRDefault="00BF0382" w:rsidP="00BB474C">
            <w:pPr>
              <w:spacing w:after="0"/>
              <w:rPr>
                <w:rFonts w:ascii="Calibri" w:hAnsi="Calibri"/>
                <w:lang w:val="en-GB"/>
              </w:rPr>
            </w:pPr>
            <w:r w:rsidRPr="008D6A99">
              <w:rPr>
                <w:rFonts w:ascii="Calibri" w:hAnsi="Calibri"/>
                <w:lang w:val="en-GB"/>
              </w:rPr>
              <w:t xml:space="preserve">International code of the Ground Water Body as defined in the GWB reporting schema. </w:t>
            </w:r>
          </w:p>
          <w:p w:rsidR="00BF0382" w:rsidRPr="008D6A99" w:rsidRDefault="00BF0382" w:rsidP="00BB474C">
            <w:pPr>
              <w:spacing w:after="0"/>
              <w:rPr>
                <w:rFonts w:ascii="Calibri" w:hAnsi="Calibri"/>
                <w:lang w:val="en-GB"/>
              </w:rPr>
            </w:pPr>
            <w:r w:rsidRPr="008D6A99">
              <w:rPr>
                <w:rFonts w:ascii="Calibri" w:hAnsi="Calibri"/>
                <w:lang w:val="en-GB"/>
              </w:rPr>
              <w:t>Code MUST have a 1-to-1 relationship with EUGroundWaterBodyCode and further attribute data described in the related XML file.</w:t>
            </w:r>
          </w:p>
        </w:tc>
      </w:tr>
      <w:tr w:rsidR="00BF0382" w:rsidTr="00BB474C">
        <w:tc>
          <w:tcPr>
            <w:tcW w:w="2374" w:type="dxa"/>
            <w:shd w:val="clear" w:color="auto" w:fill="auto"/>
          </w:tcPr>
          <w:p w:rsidR="00BF0382" w:rsidRDefault="00BF0382" w:rsidP="00BB474C">
            <w:pPr>
              <w:spacing w:after="0"/>
              <w:rPr>
                <w:rFonts w:ascii="Calibri" w:hAnsi="Calibri"/>
              </w:rPr>
            </w:pPr>
            <w:r>
              <w:rPr>
                <w:rFonts w:ascii="Calibri" w:hAnsi="Calibri"/>
              </w:rPr>
              <w:t>Horizon</w:t>
            </w:r>
          </w:p>
        </w:tc>
        <w:tc>
          <w:tcPr>
            <w:tcW w:w="2321" w:type="dxa"/>
            <w:shd w:val="clear" w:color="auto" w:fill="auto"/>
          </w:tcPr>
          <w:p w:rsidR="00BF0382" w:rsidRDefault="00BF0382" w:rsidP="00BB474C">
            <w:pPr>
              <w:spacing w:after="0"/>
              <w:rPr>
                <w:rFonts w:ascii="Calibri" w:hAnsi="Calibri"/>
              </w:rPr>
            </w:pPr>
            <w:r>
              <w:rPr>
                <w:rFonts w:ascii="Calibri" w:hAnsi="Calibri"/>
              </w:rPr>
              <w:t>Required</w:t>
            </w:r>
          </w:p>
        </w:tc>
        <w:tc>
          <w:tcPr>
            <w:tcW w:w="2313" w:type="dxa"/>
            <w:shd w:val="clear" w:color="auto" w:fill="auto"/>
          </w:tcPr>
          <w:p w:rsidR="00BF0382" w:rsidRDefault="00BF0382" w:rsidP="00BB474C">
            <w:pPr>
              <w:spacing w:after="0"/>
              <w:rPr>
                <w:rFonts w:ascii="Calibri" w:hAnsi="Calibri"/>
              </w:rPr>
            </w:pPr>
            <w:r>
              <w:rPr>
                <w:rFonts w:ascii="Calibri" w:hAnsi="Calibri"/>
              </w:rPr>
              <w:t>number (2.0)</w:t>
            </w:r>
          </w:p>
          <w:p w:rsidR="00BF0382" w:rsidRDefault="00BF0382" w:rsidP="00BB474C">
            <w:pPr>
              <w:spacing w:after="0"/>
              <w:rPr>
                <w:rFonts w:ascii="Calibri" w:hAnsi="Calibri"/>
              </w:rPr>
            </w:pPr>
            <w:r>
              <w:rPr>
                <w:rFonts w:ascii="Calibri" w:hAnsi="Calibri"/>
              </w:rPr>
              <w:t>or</w:t>
            </w:r>
          </w:p>
          <w:p w:rsidR="00BF0382" w:rsidRDefault="00BF0382" w:rsidP="00BB474C">
            <w:pPr>
              <w:spacing w:after="0"/>
              <w:rPr>
                <w:rFonts w:ascii="Calibri" w:hAnsi="Calibri"/>
              </w:rPr>
            </w:pPr>
            <w:r>
              <w:rPr>
                <w:rFonts w:ascii="Calibri" w:hAnsi="Calibri"/>
              </w:rPr>
              <w:t>integer (2)</w:t>
            </w:r>
          </w:p>
        </w:tc>
        <w:tc>
          <w:tcPr>
            <w:tcW w:w="2614" w:type="dxa"/>
            <w:shd w:val="clear" w:color="auto" w:fill="auto"/>
          </w:tcPr>
          <w:p w:rsidR="00BF0382" w:rsidRDefault="00BF0382" w:rsidP="00BB474C">
            <w:pPr>
              <w:spacing w:after="0"/>
              <w:rPr>
                <w:rFonts w:ascii="Calibri" w:hAnsi="Calibri"/>
              </w:rPr>
            </w:pPr>
            <w:r w:rsidRPr="008D6A99">
              <w:rPr>
                <w:rFonts w:ascii="Calibri" w:hAnsi="Calibri"/>
                <w:lang w:val="en-GB"/>
              </w:rPr>
              <w:t xml:space="preserve">Numeration </w:t>
            </w:r>
            <w:r w:rsidRPr="008D6A99">
              <w:rPr>
                <w:lang w:val="en-GB"/>
              </w:rPr>
              <w:t xml:space="preserve">in the sense of the numerical position of groundwater body layer starting at the first GWB-horizon from the surface (as proposed in the table above). </w:t>
            </w:r>
            <w:r>
              <w:t>Multiplicity 0...99</w:t>
            </w:r>
          </w:p>
        </w:tc>
      </w:tr>
      <w:tr w:rsidR="00BF0382" w:rsidRPr="00D95552" w:rsidTr="00BB474C">
        <w:tc>
          <w:tcPr>
            <w:tcW w:w="2374" w:type="dxa"/>
            <w:shd w:val="clear" w:color="auto" w:fill="auto"/>
          </w:tcPr>
          <w:p w:rsidR="00BF0382" w:rsidRDefault="00BF0382" w:rsidP="00BB474C">
            <w:pPr>
              <w:spacing w:after="0"/>
              <w:rPr>
                <w:rFonts w:ascii="Calibri" w:hAnsi="Calibri"/>
              </w:rPr>
            </w:pPr>
            <w:r>
              <w:rPr>
                <w:rFonts w:ascii="Calibri" w:hAnsi="Calibri"/>
              </w:rPr>
              <w:t>CD_Polygon</w:t>
            </w:r>
          </w:p>
        </w:tc>
        <w:tc>
          <w:tcPr>
            <w:tcW w:w="2321" w:type="dxa"/>
            <w:shd w:val="clear" w:color="auto" w:fill="auto"/>
          </w:tcPr>
          <w:p w:rsidR="00BF0382" w:rsidRDefault="00BF0382" w:rsidP="00BB474C">
            <w:pPr>
              <w:spacing w:after="0"/>
              <w:rPr>
                <w:rFonts w:ascii="Calibri" w:hAnsi="Calibri"/>
              </w:rPr>
            </w:pPr>
            <w:r>
              <w:rPr>
                <w:rFonts w:ascii="Calibri" w:hAnsi="Calibri"/>
              </w:rPr>
              <w:t>Required</w:t>
            </w:r>
          </w:p>
        </w:tc>
        <w:tc>
          <w:tcPr>
            <w:tcW w:w="2313" w:type="dxa"/>
            <w:shd w:val="clear" w:color="auto" w:fill="auto"/>
          </w:tcPr>
          <w:p w:rsidR="00BF0382" w:rsidRDefault="00BF0382" w:rsidP="00BB474C">
            <w:pPr>
              <w:spacing w:after="0"/>
              <w:rPr>
                <w:rFonts w:ascii="Calibri" w:hAnsi="Calibri"/>
              </w:rPr>
            </w:pPr>
            <w:r>
              <w:rPr>
                <w:rFonts w:ascii="Calibri" w:hAnsi="Calibri"/>
              </w:rPr>
              <w:t>string (45)</w:t>
            </w:r>
          </w:p>
        </w:tc>
        <w:tc>
          <w:tcPr>
            <w:tcW w:w="2614" w:type="dxa"/>
            <w:shd w:val="clear" w:color="auto" w:fill="auto"/>
          </w:tcPr>
          <w:p w:rsidR="00BF0382" w:rsidRPr="008D6A99" w:rsidRDefault="00BF0382" w:rsidP="00BB474C">
            <w:pPr>
              <w:spacing w:after="0"/>
              <w:rPr>
                <w:rFonts w:ascii="Calibri" w:hAnsi="Calibri"/>
                <w:lang w:val="en-GB"/>
              </w:rPr>
            </w:pPr>
            <w:r w:rsidRPr="008D6A99">
              <w:rPr>
                <w:rFonts w:ascii="Calibri" w:hAnsi="Calibri"/>
                <w:lang w:val="en-GB"/>
              </w:rPr>
              <w:t xml:space="preserve">“EU_CD_GW” + “-“ + “Horizon” </w:t>
            </w:r>
          </w:p>
          <w:p w:rsidR="00BF0382" w:rsidRPr="008D6A99" w:rsidRDefault="00BF0382" w:rsidP="00BB474C">
            <w:pPr>
              <w:spacing w:after="0"/>
              <w:rPr>
                <w:rFonts w:ascii="Calibri" w:hAnsi="Calibri"/>
                <w:lang w:val="en-GB"/>
              </w:rPr>
            </w:pPr>
            <w:r w:rsidRPr="008D6A99">
              <w:rPr>
                <w:rFonts w:ascii="Calibri" w:hAnsi="Calibri"/>
                <w:lang w:val="en-GB"/>
              </w:rPr>
              <w:t>Permits an unique codification for the part of the GWB concerned that is within the horizon</w:t>
            </w:r>
          </w:p>
        </w:tc>
      </w:tr>
    </w:tbl>
    <w:p w:rsidR="00BF0382" w:rsidRDefault="00BF0382" w:rsidP="00BF0382">
      <w:pPr>
        <w:pStyle w:val="Rubrik2"/>
        <w:jc w:val="both"/>
      </w:pPr>
      <w:bookmarkStart w:id="930" w:name="_Toc386462469"/>
      <w:bookmarkStart w:id="931" w:name="_Toc386464274"/>
      <w:bookmarkStart w:id="932" w:name="_Toc388524218"/>
      <w:bookmarkStart w:id="933" w:name="_Toc389206539"/>
      <w:bookmarkStart w:id="934" w:name="_Toc403040992"/>
      <w:bookmarkStart w:id="935" w:name="_Toc432666121"/>
      <w:bookmarkStart w:id="936" w:name="_Toc437520317"/>
      <w:r>
        <w:t>Three Examples</w:t>
      </w:r>
      <w:bookmarkEnd w:id="930"/>
      <w:bookmarkEnd w:id="931"/>
      <w:bookmarkEnd w:id="932"/>
      <w:bookmarkEnd w:id="933"/>
      <w:bookmarkEnd w:id="934"/>
      <w:bookmarkEnd w:id="935"/>
      <w:bookmarkEnd w:id="936"/>
    </w:p>
    <w:p w:rsidR="00BF0382" w:rsidRPr="008D6A99" w:rsidRDefault="00BF0382" w:rsidP="00BF0382">
      <w:pPr>
        <w:rPr>
          <w:lang w:val="en-GB"/>
        </w:rPr>
      </w:pPr>
      <w:r w:rsidRPr="008D6A99">
        <w:rPr>
          <w:lang w:val="en-GB"/>
        </w:rPr>
        <w:t>The proposed procedure is illustrated in the following subchapters by three examples of GWB delineations which are based on an example hydrogeological setting.</w:t>
      </w:r>
    </w:p>
    <w:p w:rsidR="00BF0382" w:rsidRPr="008D6A99" w:rsidRDefault="00BF0382" w:rsidP="00BF0382">
      <w:pPr>
        <w:pBdr>
          <w:top w:val="single" w:sz="4" w:space="1" w:color="auto"/>
          <w:left w:val="single" w:sz="4" w:space="4" w:color="auto"/>
          <w:bottom w:val="single" w:sz="4" w:space="1" w:color="auto"/>
          <w:right w:val="single" w:sz="4" w:space="4" w:color="auto"/>
        </w:pBdr>
        <w:rPr>
          <w:b/>
          <w:lang w:val="en-GB"/>
        </w:rPr>
      </w:pPr>
      <w:r w:rsidRPr="008D6A99">
        <w:rPr>
          <w:b/>
          <w:lang w:val="en-GB"/>
        </w:rPr>
        <w:t xml:space="preserve">It is important to consider, that the following examples are not intended to stipulate any discussion about the presented delineation and configuration of GWBs. All three examples are realistic. The only purpose of these examples is to demonstrate the ability of the proposed procedure to cover all types of GWB arrangements. </w:t>
      </w:r>
    </w:p>
    <w:bookmarkEnd w:id="922"/>
    <w:p w:rsidR="00BF0382" w:rsidRPr="008D6A99" w:rsidRDefault="00BF0382" w:rsidP="00BF0382">
      <w:pPr>
        <w:pStyle w:val="Liststycke"/>
        <w:rPr>
          <w:sz w:val="23"/>
          <w:szCs w:val="23"/>
          <w:lang w:val="en-GB"/>
        </w:rPr>
      </w:pPr>
    </w:p>
    <w:p w:rsidR="00BF0382" w:rsidRDefault="00BF0382" w:rsidP="00BF0382">
      <w:pPr>
        <w:pStyle w:val="Rubrik3"/>
        <w:tabs>
          <w:tab w:val="clear" w:pos="3360"/>
          <w:tab w:val="num" w:pos="2835"/>
        </w:tabs>
      </w:pPr>
      <w:r>
        <w:t>Example 1</w:t>
      </w:r>
    </w:p>
    <w:tbl>
      <w:tblPr>
        <w:tblW w:w="0" w:type="auto"/>
        <w:tblLook w:val="04A0" w:firstRow="1" w:lastRow="0" w:firstColumn="1" w:lastColumn="0" w:noHBand="0" w:noVBand="1"/>
      </w:tblPr>
      <w:tblGrid>
        <w:gridCol w:w="4836"/>
        <w:gridCol w:w="4786"/>
      </w:tblGrid>
      <w:tr w:rsidR="00BF0382" w:rsidRPr="00D95552" w:rsidTr="00BB474C">
        <w:tc>
          <w:tcPr>
            <w:tcW w:w="9622" w:type="dxa"/>
            <w:gridSpan w:val="2"/>
            <w:shd w:val="clear" w:color="auto" w:fill="auto"/>
          </w:tcPr>
          <w:p w:rsidR="00BF0382" w:rsidRPr="008D6A99" w:rsidRDefault="00BF0382" w:rsidP="00BB474C">
            <w:pPr>
              <w:spacing w:before="120" w:line="276" w:lineRule="auto"/>
              <w:rPr>
                <w:b/>
                <w:lang w:val="en-GB"/>
              </w:rPr>
            </w:pPr>
            <w:r w:rsidRPr="008D6A99">
              <w:rPr>
                <w:b/>
                <w:lang w:val="en-GB"/>
              </w:rPr>
              <w:t xml:space="preserve">Hydrogeological context – Map view and sectional view </w:t>
            </w:r>
          </w:p>
        </w:tc>
      </w:tr>
      <w:tr w:rsidR="00BF0382" w:rsidTr="00BB474C">
        <w:tc>
          <w:tcPr>
            <w:tcW w:w="4836" w:type="dxa"/>
            <w:tcBorders>
              <w:bottom w:val="single" w:sz="4" w:space="0" w:color="auto"/>
            </w:tcBorders>
            <w:shd w:val="clear" w:color="auto" w:fill="auto"/>
          </w:tcPr>
          <w:p w:rsidR="00BF0382" w:rsidRDefault="00BF0382" w:rsidP="00BB474C">
            <w:pPr>
              <w:spacing w:line="276" w:lineRule="auto"/>
              <w:jc w:val="center"/>
              <w:rPr>
                <w:b/>
              </w:rPr>
            </w:pPr>
            <w:r>
              <w:rPr>
                <w:noProof/>
                <w:lang w:bidi="ar-SA"/>
              </w:rPr>
              <mc:AlternateContent>
                <mc:Choice Requires="wpg">
                  <w:drawing>
                    <wp:anchor distT="0" distB="0" distL="114300" distR="114300" simplePos="0" relativeHeight="251671552" behindDoc="0" locked="0" layoutInCell="1" allowOverlap="1" wp14:anchorId="1F28AD19" wp14:editId="76856ABA">
                      <wp:simplePos x="0" y="0"/>
                      <wp:positionH relativeFrom="column">
                        <wp:posOffset>573405</wp:posOffset>
                      </wp:positionH>
                      <wp:positionV relativeFrom="paragraph">
                        <wp:posOffset>219075</wp:posOffset>
                      </wp:positionV>
                      <wp:extent cx="1788795" cy="610235"/>
                      <wp:effectExtent l="0" t="0" r="20955" b="1841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8795" cy="610235"/>
                                <a:chOff x="0" y="0"/>
                                <a:chExt cx="1788721" cy="610235"/>
                              </a:xfrm>
                            </wpg:grpSpPr>
                            <wps:wsp>
                              <wps:cNvPr id="101" name="Freihandform 252"/>
                              <wps:cNvSpPr/>
                              <wps:spPr>
                                <a:xfrm>
                                  <a:off x="134343" y="26002"/>
                                  <a:ext cx="721360" cy="290195"/>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1F497D">
                                    <a:lumMod val="40000"/>
                                    <a:lumOff val="60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Freihandform 253"/>
                              <wps:cNvSpPr/>
                              <wps:spPr>
                                <a:xfrm>
                                  <a:off x="949069" y="0"/>
                                  <a:ext cx="671195" cy="61023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66FF66"/>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Gerade Verbindung 256"/>
                              <wps:cNvCnPr/>
                              <wps:spPr>
                                <a:xfrm>
                                  <a:off x="0" y="52004"/>
                                  <a:ext cx="1788721" cy="295656"/>
                                </a:xfrm>
                                <a:prstGeom prst="line">
                                  <a:avLst/>
                                </a:prstGeom>
                                <a:noFill/>
                                <a:ln w="9525" cap="flat" cmpd="sng" algn="ctr">
                                  <a:solidFill>
                                    <a:srgbClr val="FF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5.15pt;margin-top:17.25pt;width:140.85pt;height:48.05pt;z-index:251671552" coordsize="17887,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">
                      <v:shape id="Freihandform 252" o:spid="_x0000_s1027" style="position:absolute;left:1343;top:260;width:7214;height:2901;visibility:visible;mso-wrap-style:square;v-text-anchor:middle" coordsize="675528,18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LLsA&#10;AADcAAAADwAAAGRycy9kb3ducmV2LnhtbERPyQrCMBC9C/5DGMGbJgpu1SgiCB68uN2HZmyLzaQ0&#10;sda/N4LgbR5vndWmtaVoqPaFYw2joQJBnDpTcKbhetkP5iB8QDZYOiYNb/KwWXc7K0yMe/GJmnPI&#10;RAxhn6CGPIQqkdKnOVn0Q1cRR+7uaoshwjqTpsZXDLelHCs1lRYLjg05VrTLKX2cn1YDzgzL66PB&#10;2eRGanoss8XuuNW632u3SxCB2vAX/9wHE+erEXyfiR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8Zyy7AAAA3AAAAA8AAAAAAAAAAAAAAAAAmAIAAGRycy9kb3ducmV2Lnht&#10;bFBLBQYAAAAABAAEAPUAAACAAw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8eb4e3" strokecolor="windowText" strokeweight=".25pt">
                        <v:path arrowok="t" o:connecttype="custom" o:connectlocs="13019,866;151301,5000;171055,9134;219030,17399;306515,21533;340380,29800;360134,33932;416576,42200;475840,38066;484306,33932;501238,29800;540748,25667;583078,29800;608477,46333;616944,50465;642342,79399;662097,95932;670563,104198;687495,112465;704428,128998;715716,153798;721360,166197;707249,232329;698784,240596;681851,248863;673385,257129;647986,269528;631053,277796;622587,281929;591545,290195;478662,286063;433508,277796;391178,269528;379888,265396;371423,261263;303693,257129;286760,248863;267005,232329;255717,228197;227497,215796;145656,203397;123080,199263;97681,186864;89215,182730;80748,174465;69460,166197;60994,153798;32773,124864;21485,100066;15841,87665;7375,75265;4552,21533;13019,866" o:connectangles="0,0,0,0,0,0,0,0,0,0,0,0,0,0,0,0,0,0,0,0,0,0,0,0,0,0,0,0,0,0,0,0,0,0,0,0,0,0,0,0,0,0,0,0,0,0,0,0,0,0,0,0,0"/>
                      </v:shape>
                      <v:shape id="Freihandform 253" o:spid="_x0000_s1028" style="position:absolute;left:9490;width:6712;height:6102;visibility:visible;mso-wrap-style:square;v-text-anchor:middle" coordsize="671264,61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WG70A&#10;AADcAAAADwAAAGRycy9kb3ducmV2LnhtbERPSwrCMBDdC94hjODOprpQqUYRQRDEhZ8DDM3YVptJ&#10;TaLW2xtBcDeP9535sjW1eJLzlWUFwyQFQZxbXXGh4HzaDKYgfEDWWFsmBW/ysFx0O3PMtH3xgZ7H&#10;UIgYwj5DBWUITSalz0sy6BPbEEfuYp3BEKErpHb4iuGmlqM0HUuDFceGEhtal5Tfjg+j4LK9Xfne&#10;4G4y3K/yM/pHXTlSqt9rVzMQgdrwF//cWx3npyP4PhMv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PWG70AAADcAAAADwAAAAAAAAAAAAAAAACYAgAAZHJzL2Rvd25yZXYu&#10;eG1sUEsFBgAAAAAEAAQA9QAAAIIDA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6f6" strokecolor="windowText" strokeweight=".25pt">
                        <v:path arrowok="t" o:connecttype="custom" o:connectlocs="671195,0;655341,2642;647412,7926;639485,10567;628915,15851;605133,23775;589277,29059;581350,34342;562853,39626;544355,44909;512645,58118;496790,63401;480936,66043;454510,73968;433370,79252;409588,87177;399018,92460;383163,97744;375235,100386;362023,103027;354095,105668;343525,108310;319742,116235;301245,121519;290675,124161;282748,126803;269535,129444;251037,134728;203472,142652;187618,145294;155907,150577;105700,158503;81918,163786;47565,169070;29067,174353;18497,179637;10570,187561;5284,195487;0,211337;2642,243038;18497,274738;23783,282663;29067,290589;36995,298514;47565,314364;52850,322289;60778,327572;73989,346064;92487,369840;95130,377765;108342,390973;110985,398898;121555,409465;147980,438524;174405,459658;179690,467583;187618,472866;206115,488717;219327,504567;248395,530984;258965,538909;266893,541551;285390,554759;293318,557401;314458,565326;351453,570610;438655,565326;470366,560043;539071,562684;560210,573251;570780,575893;578708,578535;586636,583819;597206,589102;613060,604952;628915,610235;671195,607593" o:connectangles="0,0,0,0,0,0,0,0,0,0,0,0,0,0,0,0,0,0,0,0,0,0,0,0,0,0,0,0,0,0,0,0,0,0,0,0,0,0,0,0,0,0,0,0,0,0,0,0,0,0,0,0,0,0,0,0,0,0,0,0,0,0,0,0,0,0,0,0,0,0,0,0,0,0,0,0,0"/>
                      </v:shape>
                      <v:line id="Gerade Verbindung 256" o:spid="_x0000_s1029" style="position:absolute;visibility:visible;mso-wrap-style:square" from="0,520" to="17887,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OsIAAADcAAAADwAAAGRycy9kb3ducmV2LnhtbERPTWvCQBC9C/0PyxR6011bEIluQhEE&#10;yaU1WupxyI5JbHY2ZLcx/fddQfA2j/c562y0rRio941jDfOZAkFcOtNwpeF42E6XIHxANtg6Jg1/&#10;5CFLnyZrTIy78p6GIlQihrBPUEMdQpdI6cuaLPqZ64gjd3a9xRBhX0nT4zWG21a+KrWQFhuODTV2&#10;tKmp/Cl+rYbT4ZJ/b4ohP6pOetvk84/P4Uvrl+fxfQUi0Bge4rt7Z+J89Qa3Z+IF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bsOsIAAADcAAAADwAAAAAAAAAAAAAA&#10;AAChAgAAZHJzL2Rvd25yZXYueG1sUEsFBgAAAAAEAAQA+QAAAJADAAAAAA==&#10;" strokecolor="red"/>
                    </v:group>
                  </w:pict>
                </mc:Fallback>
              </mc:AlternateContent>
            </w:r>
            <w:r>
              <w:rPr>
                <w:noProof/>
                <w:lang w:bidi="ar-SA"/>
              </w:rPr>
              <mc:AlternateContent>
                <mc:Choice Requires="wps">
                  <w:drawing>
                    <wp:inline distT="0" distB="0" distL="0" distR="0" wp14:anchorId="775C48D2" wp14:editId="2A6285AB">
                      <wp:extent cx="1470660" cy="925195"/>
                      <wp:effectExtent l="5080" t="6985" r="10160" b="10795"/>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0660" cy="925195"/>
                              </a:xfrm>
                              <a:prstGeom prst="rect">
                                <a:avLst/>
                              </a:prstGeom>
                              <a:solidFill>
                                <a:srgbClr val="00B05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99" o:spid="_x0000_s1026" style="width:115.8pt;height:7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" fillcolor="#00b050" strokecolor="#385d8a" strokeweight=".5pt">
                      <v:path arrowok="t"/>
                      <w10:anchorlock/>
                    </v:rect>
                  </w:pict>
                </mc:Fallback>
              </mc:AlternateContent>
            </w:r>
          </w:p>
        </w:tc>
        <w:tc>
          <w:tcPr>
            <w:tcW w:w="4786" w:type="dxa"/>
            <w:tcBorders>
              <w:bottom w:val="single" w:sz="4" w:space="0" w:color="auto"/>
            </w:tcBorders>
            <w:shd w:val="clear" w:color="auto" w:fill="auto"/>
          </w:tcPr>
          <w:p w:rsidR="00BF0382" w:rsidRDefault="00BF0382" w:rsidP="00BB474C">
            <w:pPr>
              <w:spacing w:line="276" w:lineRule="auto"/>
              <w:rPr>
                <w:b/>
              </w:rPr>
            </w:pPr>
            <w:r>
              <w:rPr>
                <w:noProof/>
                <w:lang w:bidi="ar-SA"/>
              </w:rPr>
              <w:drawing>
                <wp:inline distT="0" distB="0" distL="0" distR="0" wp14:anchorId="20AEC1D2" wp14:editId="6B4E60D1">
                  <wp:extent cx="2015490" cy="985520"/>
                  <wp:effectExtent l="0" t="0" r="0" b="0"/>
                  <wp:docPr id="6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7"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BF0382" w:rsidTr="00BB474C">
        <w:tc>
          <w:tcPr>
            <w:tcW w:w="9622" w:type="dxa"/>
            <w:gridSpan w:val="2"/>
            <w:tcBorders>
              <w:top w:val="single" w:sz="4" w:space="0" w:color="auto"/>
            </w:tcBorders>
            <w:shd w:val="clear" w:color="auto" w:fill="auto"/>
          </w:tcPr>
          <w:p w:rsidR="00BF0382" w:rsidRDefault="00BF0382" w:rsidP="00BB474C">
            <w:pPr>
              <w:spacing w:before="120" w:line="276" w:lineRule="auto"/>
              <w:rPr>
                <w:b/>
              </w:rPr>
            </w:pPr>
            <w:r>
              <w:rPr>
                <w:b/>
              </w:rPr>
              <w:t>Delineated groundwater bodies</w:t>
            </w:r>
          </w:p>
        </w:tc>
      </w:tr>
      <w:tr w:rsidR="00BF0382" w:rsidTr="00BB474C">
        <w:tc>
          <w:tcPr>
            <w:tcW w:w="4836" w:type="dxa"/>
            <w:shd w:val="clear" w:color="auto" w:fill="auto"/>
          </w:tcPr>
          <w:p w:rsidR="00BF0382" w:rsidRDefault="00BF0382" w:rsidP="00BB474C">
            <w:pPr>
              <w:spacing w:line="276" w:lineRule="auto"/>
              <w:ind w:left="1920" w:hanging="240"/>
              <w:rPr>
                <w:b/>
              </w:rPr>
            </w:pPr>
            <w:r>
              <w:t xml:space="preserve">Example 1 – Map view </w:t>
            </w:r>
          </w:p>
        </w:tc>
        <w:tc>
          <w:tcPr>
            <w:tcW w:w="4786" w:type="dxa"/>
            <w:shd w:val="clear" w:color="auto" w:fill="auto"/>
          </w:tcPr>
          <w:p w:rsidR="00BF0382" w:rsidRDefault="00BF0382" w:rsidP="00BB474C">
            <w:pPr>
              <w:spacing w:line="276" w:lineRule="auto"/>
              <w:ind w:left="1920" w:hanging="240"/>
              <w:rPr>
                <w:b/>
              </w:rPr>
            </w:pPr>
            <w:r>
              <w:t xml:space="preserve">Example 1 – Sectional view </w:t>
            </w:r>
          </w:p>
        </w:tc>
      </w:tr>
      <w:tr w:rsidR="00BF0382" w:rsidTr="00BB474C">
        <w:tc>
          <w:tcPr>
            <w:tcW w:w="4836" w:type="dxa"/>
            <w:tcBorders>
              <w:bottom w:val="single" w:sz="4" w:space="0" w:color="auto"/>
            </w:tcBorders>
            <w:shd w:val="clear" w:color="auto" w:fill="auto"/>
          </w:tcPr>
          <w:p w:rsidR="00BF0382" w:rsidRDefault="00BF0382" w:rsidP="00BB474C">
            <w:pPr>
              <w:spacing w:line="276" w:lineRule="auto"/>
              <w:jc w:val="center"/>
              <w:rPr>
                <w:b/>
              </w:rPr>
            </w:pPr>
            <w:r>
              <w:rPr>
                <w:noProof/>
                <w:lang w:bidi="ar-SA"/>
              </w:rPr>
              <mc:AlternateContent>
                <mc:Choice Requires="wps">
                  <w:drawing>
                    <wp:anchor distT="0" distB="0" distL="114300" distR="114300" simplePos="0" relativeHeight="251670528" behindDoc="0" locked="0" layoutInCell="1" allowOverlap="1" wp14:anchorId="38E50F5D" wp14:editId="468B29BE">
                      <wp:simplePos x="0" y="0"/>
                      <wp:positionH relativeFrom="column">
                        <wp:posOffset>222885</wp:posOffset>
                      </wp:positionH>
                      <wp:positionV relativeFrom="paragraph">
                        <wp:posOffset>402590</wp:posOffset>
                      </wp:positionV>
                      <wp:extent cx="2327910" cy="385445"/>
                      <wp:effectExtent l="0" t="0" r="15240" b="3365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7910" cy="38544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31.7pt" to="200.8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" strokecolor="red">
                      <o:lock v:ext="edit" shapetype="f"/>
                    </v:line>
                  </w:pict>
                </mc:Fallback>
              </mc:AlternateContent>
            </w:r>
            <w:r>
              <w:rPr>
                <w:noProof/>
                <w:lang w:bidi="ar-SA"/>
              </w:rPr>
              <mc:AlternateContent>
                <mc:Choice Requires="wps">
                  <w:drawing>
                    <wp:anchor distT="0" distB="0" distL="114300" distR="114300" simplePos="0" relativeHeight="251669504" behindDoc="0" locked="0" layoutInCell="1" allowOverlap="1" wp14:anchorId="63CD3863" wp14:editId="52F90A0D">
                      <wp:simplePos x="0" y="0"/>
                      <wp:positionH relativeFrom="column">
                        <wp:posOffset>1629410</wp:posOffset>
                      </wp:positionH>
                      <wp:positionV relativeFrom="paragraph">
                        <wp:posOffset>319405</wp:posOffset>
                      </wp:positionV>
                      <wp:extent cx="835025" cy="883285"/>
                      <wp:effectExtent l="0" t="0" r="22225" b="12065"/>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88328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F79646">
                                  <a:lumMod val="75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7" o:spid="_x0000_s1026" style="position:absolute;margin-left:128.3pt;margin-top:25.15pt;width:65.75pt;height:6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264,6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e46c0a" strokecolor="windowText" strokeweight=".25pt">
                      <v:path arrowok="t" o:connecttype="custom" o:connectlocs="835025,0;815301,3824;805437,11472;795575,15295;782425,22943;752838,34414;733112,42062;723250,49709;700238,57357;677225,65003;637775,84122;618050,91770;598326,95595;565450,107065;539151,114713;509563,126184;496413,133831;476688,141479;466826,145303;450388,149127;440525,152950;427375,156774;397787,168245;374775,175893;361625,179717;351763,183541;335325,187364;312312,195012;253137,206482;233413,210307;193962,217953;131500,229425;101913,237072;59175,244720;36162,252367;23012,260015;13150,271486;6574,282958;0,305900;3287,351786;23012,397670;29588,409141;36162,420613;46025,432084;59175,455027;65749,466498;75613,474144;92049,500911;115062,535325;118350,546796;134787,565915;138074,577385;151224,592680;184100,634742;216975,665332;223549,676803;233413,684451;256425,707394;272862,730335;309026,768573;322175,780044;332038,783868;355050,802987;364913,806811;391213,818282;437238,825930;545725,818282;585176,810635;670651,814458;696951,829752;710100,833576;719963,837400;729826,845049;742976,852695;762700,875638;782425,883285;835025,879461" o:connectangles="0,0,0,0,0,0,0,0,0,0,0,0,0,0,0,0,0,0,0,0,0,0,0,0,0,0,0,0,0,0,0,0,0,0,0,0,0,0,0,0,0,0,0,0,0,0,0,0,0,0,0,0,0,0,0,0,0,0,0,0,0,0,0,0,0,0,0,0,0,0,0,0,0,0,0,0,0"/>
                    </v:shape>
                  </w:pict>
                </mc:Fallback>
              </mc:AlternateContent>
            </w:r>
            <w:r>
              <w:rPr>
                <w:noProof/>
                <w:lang w:bidi="ar-SA"/>
              </w:rPr>
              <mc:AlternateContent>
                <mc:Choice Requires="wps">
                  <w:drawing>
                    <wp:anchor distT="0" distB="0" distL="114300" distR="114300" simplePos="0" relativeHeight="251668480" behindDoc="0" locked="0" layoutInCell="1" allowOverlap="1" wp14:anchorId="370377A1" wp14:editId="1B112C57">
                      <wp:simplePos x="0" y="0"/>
                      <wp:positionH relativeFrom="column">
                        <wp:posOffset>456565</wp:posOffset>
                      </wp:positionH>
                      <wp:positionV relativeFrom="paragraph">
                        <wp:posOffset>346075</wp:posOffset>
                      </wp:positionV>
                      <wp:extent cx="897255" cy="420370"/>
                      <wp:effectExtent l="0" t="0" r="17145" b="1778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420370"/>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FFCC99"/>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6" o:spid="_x0000_s1026" style="position:absolute;margin-left:35.95pt;margin-top:27.25pt;width:70.65pt;height:3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528,18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fc9" strokecolor="windowText" strokeweight=".25pt">
                      <v:path arrowok="t" o:connecttype="custom" o:connectlocs="16194,1255;188194,7243;212765,13231;272438,25204;381254,31192;423378,43168;447949,49154;518154,61129;591868,55141;602398,49154;623459,43168;672603,37180;725255,43168;756847,67117;767378,73103;798969,115016;823541,138965;834071,150938;855133,162914;876195,186863;890235,222788;897255,240750;879704,336547;869174,348522;848112,360498;837582,372472;805990,390433;784928,402409;774398,408397;735786,420370;595378,414384;539214,402409;486562,390433;472520,384447;461989,378459;377745,372472;356684,360498;332111,336547;318071,330561;282970,312597;181173,294636;153092,288648;121500,270687;110969,264699;100438,252725;86397,240750;75867,222788;40765,180875;26724,144953;19704,126989;9173,109028;5662,31192;16194,1255" o:connectangles="0,0,0,0,0,0,0,0,0,0,0,0,0,0,0,0,0,0,0,0,0,0,0,0,0,0,0,0,0,0,0,0,0,0,0,0,0,0,0,0,0,0,0,0,0,0,0,0,0,0,0,0,0"/>
                    </v:shape>
                  </w:pict>
                </mc:Fallback>
              </mc:AlternateContent>
            </w:r>
            <w:r>
              <w:rPr>
                <w:noProof/>
                <w:lang w:bidi="ar-SA"/>
              </w:rPr>
              <mc:AlternateContent>
                <mc:Choice Requires="wps">
                  <w:drawing>
                    <wp:inline distT="0" distB="0" distL="0" distR="0" wp14:anchorId="7CDEB8B4" wp14:editId="0760CCF3">
                      <wp:extent cx="2007870" cy="1373505"/>
                      <wp:effectExtent l="9525" t="8890" r="11430" b="8255"/>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1373505"/>
                              </a:xfrm>
                              <a:prstGeom prst="rect">
                                <a:avLst/>
                              </a:prstGeom>
                              <a:solidFill>
                                <a:srgbClr val="00B0F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287" o:spid="_x0000_s1026" style="width:158.1pt;height:1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" fillcolor="#00b0f0" strokecolor="#385d8a" strokeweight=".5pt">
                      <v:path arrowok="t"/>
                      <w10:anchorlock/>
                    </v:rect>
                  </w:pict>
                </mc:Fallback>
              </mc:AlternateContent>
            </w:r>
          </w:p>
        </w:tc>
        <w:tc>
          <w:tcPr>
            <w:tcW w:w="4786" w:type="dxa"/>
            <w:tcBorders>
              <w:bottom w:val="single" w:sz="4" w:space="0" w:color="auto"/>
            </w:tcBorders>
            <w:shd w:val="clear" w:color="auto" w:fill="auto"/>
          </w:tcPr>
          <w:p w:rsidR="00BF0382" w:rsidRDefault="00BF0382" w:rsidP="00BB474C">
            <w:pPr>
              <w:spacing w:line="276" w:lineRule="auto"/>
              <w:rPr>
                <w:b/>
              </w:rPr>
            </w:pPr>
            <w:r>
              <w:rPr>
                <w:noProof/>
                <w:lang w:bidi="ar-SA"/>
              </w:rPr>
              <w:drawing>
                <wp:inline distT="0" distB="0" distL="0" distR="0" wp14:anchorId="27A34DFC" wp14:editId="3EF38FDE">
                  <wp:extent cx="2060575" cy="1371600"/>
                  <wp:effectExtent l="0" t="0" r="0"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0575" cy="1371600"/>
                          </a:xfrm>
                          <a:prstGeom prst="rect">
                            <a:avLst/>
                          </a:prstGeom>
                          <a:noFill/>
                          <a:ln>
                            <a:noFill/>
                          </a:ln>
                        </pic:spPr>
                      </pic:pic>
                    </a:graphicData>
                  </a:graphic>
                </wp:inline>
              </w:drawing>
            </w:r>
          </w:p>
        </w:tc>
      </w:tr>
      <w:tr w:rsidR="00BF0382" w:rsidTr="00BB474C">
        <w:tc>
          <w:tcPr>
            <w:tcW w:w="9622" w:type="dxa"/>
            <w:gridSpan w:val="2"/>
            <w:tcBorders>
              <w:top w:val="single" w:sz="4" w:space="0" w:color="auto"/>
            </w:tcBorders>
            <w:shd w:val="clear" w:color="auto" w:fill="auto"/>
          </w:tcPr>
          <w:p w:rsidR="00BF0382" w:rsidRDefault="00BF0382" w:rsidP="00BB474C">
            <w:pPr>
              <w:spacing w:before="120" w:line="276" w:lineRule="auto"/>
              <w:ind w:left="1920" w:hanging="240"/>
              <w:rPr>
                <w:b/>
              </w:rPr>
            </w:pPr>
            <w:r>
              <w:rPr>
                <w:b/>
              </w:rPr>
              <w:t>Horizon assignment – Map view</w:t>
            </w:r>
          </w:p>
        </w:tc>
      </w:tr>
      <w:tr w:rsidR="00BF0382" w:rsidTr="00BB474C">
        <w:tc>
          <w:tcPr>
            <w:tcW w:w="4836" w:type="dxa"/>
            <w:shd w:val="clear" w:color="auto" w:fill="auto"/>
          </w:tcPr>
          <w:p w:rsidR="00BF0382" w:rsidRDefault="00BF0382" w:rsidP="00BB474C">
            <w:pPr>
              <w:spacing w:line="276" w:lineRule="auto"/>
              <w:ind w:left="1920" w:hanging="240"/>
            </w:pPr>
            <w:r>
              <w:t>Example 1 – Horizon 1</w:t>
            </w:r>
          </w:p>
        </w:tc>
        <w:tc>
          <w:tcPr>
            <w:tcW w:w="4786" w:type="dxa"/>
            <w:shd w:val="clear" w:color="auto" w:fill="auto"/>
          </w:tcPr>
          <w:p w:rsidR="00BF0382" w:rsidRDefault="00BF0382" w:rsidP="00BB474C">
            <w:pPr>
              <w:spacing w:line="276" w:lineRule="auto"/>
              <w:ind w:left="1920" w:hanging="240"/>
            </w:pPr>
            <w:r>
              <w:t>Example 1 – Horizon 3</w:t>
            </w:r>
          </w:p>
        </w:tc>
      </w:tr>
      <w:tr w:rsidR="00BF0382" w:rsidTr="00BB474C">
        <w:tc>
          <w:tcPr>
            <w:tcW w:w="4836" w:type="dxa"/>
            <w:shd w:val="clear" w:color="auto" w:fill="auto"/>
          </w:tcPr>
          <w:p w:rsidR="00BF0382" w:rsidRDefault="00BF0382" w:rsidP="00BB474C">
            <w:pPr>
              <w:spacing w:line="276" w:lineRule="auto"/>
              <w:jc w:val="center"/>
              <w:rPr>
                <w:b/>
              </w:rPr>
            </w:pPr>
            <w:r>
              <w:rPr>
                <w:noProof/>
                <w:lang w:bidi="ar-SA"/>
              </w:rPr>
              <mc:AlternateContent>
                <mc:Choice Requires="wps">
                  <w:drawing>
                    <wp:anchor distT="0" distB="0" distL="114300" distR="114300" simplePos="0" relativeHeight="251672576" behindDoc="0" locked="0" layoutInCell="1" allowOverlap="1" wp14:anchorId="20E310E4" wp14:editId="420BBB1E">
                      <wp:simplePos x="0" y="0"/>
                      <wp:positionH relativeFrom="column">
                        <wp:posOffset>452755</wp:posOffset>
                      </wp:positionH>
                      <wp:positionV relativeFrom="paragraph">
                        <wp:posOffset>347345</wp:posOffset>
                      </wp:positionV>
                      <wp:extent cx="896620" cy="419735"/>
                      <wp:effectExtent l="0" t="0" r="17780" b="18415"/>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20" cy="419735"/>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FFCC99"/>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6" o:spid="_x0000_s1026" style="position:absolute;margin-left:35.65pt;margin-top:27.35pt;width:70.6pt;height:3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528,18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fc9" strokecolor="windowText" strokeweight=".25pt">
                      <v:path arrowok="t" o:connecttype="custom" o:connectlocs="16182,1253;188061,7232;212614,13211;272245,25166;380985,31145;423078,43103;447632,49079;517787,61037;591449,55058;601971,49079;623018,43103;672127,37124;724742,43103;756311,67016;766835,72992;798403,114842;822958,138755;833481,150710;854528,162668;875575,186581;889605,222452;896620,240386;879081,336038;868558,347996;847512,359954;836989,371909;805419,389843;784373,401801;773850,407780;735266,419735;594957,413758;538832,401801;486217,389843;472185,383867;461663,377888;377478,371909;356431,359954;331876,336038;317846,330062;282769,312125;181045,294191;152983,288212;121414,270278;110891,264299;100367,252344;86336,240386;75813,222452;40736,180602;26705,144734;19690,126797;9166,108863;5658,31145;16182,1253" o:connectangles="0,0,0,0,0,0,0,0,0,0,0,0,0,0,0,0,0,0,0,0,0,0,0,0,0,0,0,0,0,0,0,0,0,0,0,0,0,0,0,0,0,0,0,0,0,0,0,0,0,0,0,0,0"/>
                    </v:shape>
                  </w:pict>
                </mc:Fallback>
              </mc:AlternateContent>
            </w:r>
            <w:r>
              <w:rPr>
                <w:noProof/>
                <w:lang w:bidi="ar-SA"/>
              </w:rPr>
              <mc:AlternateContent>
                <mc:Choice Requires="wps">
                  <w:drawing>
                    <wp:anchor distT="0" distB="0" distL="114300" distR="114300" simplePos="0" relativeHeight="251673600" behindDoc="0" locked="0" layoutInCell="1" allowOverlap="1" wp14:anchorId="571641E4" wp14:editId="0BEAB96C">
                      <wp:simplePos x="0" y="0"/>
                      <wp:positionH relativeFrom="column">
                        <wp:posOffset>1624965</wp:posOffset>
                      </wp:positionH>
                      <wp:positionV relativeFrom="paragraph">
                        <wp:posOffset>321310</wp:posOffset>
                      </wp:positionV>
                      <wp:extent cx="835025" cy="883285"/>
                      <wp:effectExtent l="0" t="0" r="22225" b="12065"/>
                      <wp:wrapNone/>
                      <wp:docPr id="28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88328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F79646">
                                  <a:lumMod val="75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5" o:spid="_x0000_s1026" style="position:absolute;margin-left:127.95pt;margin-top:25.3pt;width:65.75pt;height:6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264,6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e46c0a" strokecolor="windowText" strokeweight=".25pt">
                      <v:path arrowok="t" o:connecttype="custom" o:connectlocs="835025,0;815301,3824;805437,11472;795575,15295;782425,22943;752838,34414;733112,42062;723250,49709;700238,57357;677225,65003;637775,84122;618050,91770;598326,95595;565450,107065;539151,114713;509563,126184;496413,133831;476688,141479;466826,145303;450388,149127;440525,152950;427375,156774;397787,168245;374775,175893;361625,179717;351763,183541;335325,187364;312312,195012;253137,206482;233413,210307;193962,217953;131500,229425;101913,237072;59175,244720;36162,252367;23012,260015;13150,271486;6574,282958;0,305900;3287,351786;23012,397670;29588,409141;36162,420613;46025,432084;59175,455027;65749,466498;75613,474144;92049,500911;115062,535325;118350,546796;134787,565915;138074,577385;151224,592680;184100,634742;216975,665332;223549,676803;233413,684451;256425,707394;272862,730335;309026,768573;322175,780044;332038,783868;355050,802987;364913,806811;391213,818282;437238,825930;545725,818282;585176,810635;670651,814458;696951,829752;710100,833576;719963,837400;729826,845049;742976,852695;762700,875638;782425,883285;835025,879461" o:connectangles="0,0,0,0,0,0,0,0,0,0,0,0,0,0,0,0,0,0,0,0,0,0,0,0,0,0,0,0,0,0,0,0,0,0,0,0,0,0,0,0,0,0,0,0,0,0,0,0,0,0,0,0,0,0,0,0,0,0,0,0,0,0,0,0,0,0,0,0,0,0,0,0,0,0,0,0,0"/>
                    </v:shape>
                  </w:pict>
                </mc:Fallback>
              </mc:AlternateContent>
            </w:r>
            <w:r>
              <w:rPr>
                <w:noProof/>
                <w:lang w:bidi="ar-SA"/>
              </w:rPr>
              <mc:AlternateContent>
                <mc:Choice Requires="wps">
                  <w:drawing>
                    <wp:anchor distT="0" distB="0" distL="114300" distR="114300" simplePos="0" relativeHeight="251674624" behindDoc="0" locked="0" layoutInCell="1" allowOverlap="1" wp14:anchorId="46D825CC" wp14:editId="6D2EDA79">
                      <wp:simplePos x="0" y="0"/>
                      <wp:positionH relativeFrom="column">
                        <wp:posOffset>219075</wp:posOffset>
                      </wp:positionH>
                      <wp:positionV relativeFrom="paragraph">
                        <wp:posOffset>404495</wp:posOffset>
                      </wp:positionV>
                      <wp:extent cx="2327910" cy="385445"/>
                      <wp:effectExtent l="0" t="0" r="15240" b="33655"/>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7910" cy="38544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31.85pt" to="200.5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" strokecolor="red">
                      <o:lock v:ext="edit" shapetype="f"/>
                    </v:line>
                  </w:pict>
                </mc:Fallback>
              </mc:AlternateContent>
            </w:r>
            <w:r>
              <w:rPr>
                <w:noProof/>
                <w:lang w:bidi="ar-SA"/>
              </w:rPr>
              <mc:AlternateContent>
                <mc:Choice Requires="wps">
                  <w:drawing>
                    <wp:inline distT="0" distB="0" distL="0" distR="0" wp14:anchorId="39804C38" wp14:editId="09F8C85A">
                      <wp:extent cx="2007870" cy="1373505"/>
                      <wp:effectExtent l="9525" t="7620" r="11430" b="9525"/>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1373505"/>
                              </a:xfrm>
                              <a:prstGeom prst="rect">
                                <a:avLst/>
                              </a:prstGeom>
                              <a:solidFill>
                                <a:srgbClr val="00B0F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283" o:spid="_x0000_s1026" style="width:158.1pt;height:1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" fillcolor="#00b0f0" strokecolor="#385d8a" strokeweight=".5pt">
                      <v:path arrowok="t"/>
                      <w10:anchorlock/>
                    </v:rect>
                  </w:pict>
                </mc:Fallback>
              </mc:AlternateContent>
            </w:r>
          </w:p>
        </w:tc>
        <w:tc>
          <w:tcPr>
            <w:tcW w:w="4786" w:type="dxa"/>
            <w:shd w:val="clear" w:color="auto" w:fill="auto"/>
          </w:tcPr>
          <w:p w:rsidR="00BF0382" w:rsidRDefault="00BF0382" w:rsidP="00BB474C">
            <w:pPr>
              <w:spacing w:line="276" w:lineRule="auto"/>
              <w:jc w:val="center"/>
              <w:rPr>
                <w:b/>
              </w:rPr>
            </w:pPr>
            <w:r>
              <w:rPr>
                <w:noProof/>
                <w:lang w:bidi="ar-SA"/>
              </w:rPr>
              <mc:AlternateContent>
                <mc:Choice Requires="wpg">
                  <w:drawing>
                    <wp:inline distT="0" distB="0" distL="0" distR="0" wp14:anchorId="282AED87" wp14:editId="11E71CCD">
                      <wp:extent cx="2376170" cy="1390015"/>
                      <wp:effectExtent l="6985" t="7620" r="7620" b="12065"/>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1390015"/>
                                <a:chOff x="0" y="0"/>
                                <a:chExt cx="29171" cy="13744"/>
                              </a:xfrm>
                            </wpg:grpSpPr>
                            <wps:wsp>
                              <wps:cNvPr id="281" name="Rechteck 239"/>
                              <wps:cNvSpPr>
                                <a:spLocks noChangeArrowheads="1"/>
                              </wps:cNvSpPr>
                              <wps:spPr bwMode="auto">
                                <a:xfrm>
                                  <a:off x="1626" y="0"/>
                                  <a:ext cx="25381" cy="13744"/>
                                </a:xfrm>
                                <a:prstGeom prst="rect">
                                  <a:avLst/>
                                </a:prstGeom>
                                <a:solidFill>
                                  <a:srgbClr val="FFC000"/>
                                </a:solidFill>
                                <a:ln w="3175">
                                  <a:solidFill>
                                    <a:srgbClr val="385D8A"/>
                                  </a:solidFill>
                                  <a:miter lim="800000"/>
                                  <a:headEnd/>
                                  <a:tailEnd/>
                                </a:ln>
                              </wps:spPr>
                              <wps:bodyPr rot="0" vert="horz" wrap="square" lIns="91440" tIns="45720" rIns="91440" bIns="45720" anchor="ctr" anchorCtr="0" upright="1">
                                <a:noAutofit/>
                              </wps:bodyPr>
                            </wps:wsp>
                            <wps:wsp>
                              <wps:cNvPr id="282" name="Gerade Verbindung 240"/>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0" o:spid="_x0000_s1026" style="width:187.1pt;height:109.45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">
                      <v:rect id="Rechteck 239"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MBsUA&#10;AADcAAAADwAAAGRycy9kb3ducmV2LnhtbESPQYvCMBSE7wv+h/CEvYimurhoNYoKwoJeVkU8Pppn&#10;W2xeSpLV6q83grDHYWa+YabzxlTiSs6XlhX0ewkI4szqknMFh/26OwLhA7LGyjIpuJOH+az1McVU&#10;2xv/0nUXchEh7FNUUIRQp1L6rCCDvmdr4uidrTMYonS51A5vEW4qOUiSb2mw5LhQYE2rgrLL7s8o&#10;qDp+eels3RD3zeY0Xi23X8dHptRnu1lMQARqwn/43f7RCgajPr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IwGxQAAANwAAAAPAAAAAAAAAAAAAAAAAJgCAABkcnMv&#10;ZG93bnJldi54bWxQSwUGAAAAAAQABAD1AAAAigMAAAAA&#10;" fillcolor="#ffc000" strokecolor="#385d8a" strokeweight=".25pt"/>
                      <v:line id="Gerade Verbindung 240" o:spid="_x0000_s1028"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rh8QAAADcAAAADwAAAGRycy9kb3ducmV2LnhtbESPQWuDQBSE74H+h+UVcotrPASxriEE&#10;CsVLUk1ojw/3VU3dt+Jujf333UKhx2FmvmHy/WIGMdPkessKtlEMgrixuudWwaV+3qQgnEfWOFgm&#10;Bd/kYF88rHLMtL3zK82Vb0WAsMtQQef9mEnpmo4MusiOxMH7sJNBH+TUSj3hPcDNIJM43kmDPYeF&#10;Dkc6dtR8Vl9GwXt9K9+O1Vxe4lE605fb03m+KrV+XA5PIDwt/j/8137RCpI0gd8z4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uHxAAAANwAAAAPAAAAAAAAAAAA&#10;AAAAAKECAABkcnMvZG93bnJldi54bWxQSwUGAAAAAAQABAD5AAAAkgMAAAAA&#10;" strokecolor="red"/>
                      <w10:anchorlock/>
                    </v:group>
                  </w:pict>
                </mc:Fallback>
              </mc:AlternateContent>
            </w:r>
          </w:p>
        </w:tc>
      </w:tr>
      <w:tr w:rsidR="00BF0382" w:rsidTr="00BB474C">
        <w:tc>
          <w:tcPr>
            <w:tcW w:w="4836" w:type="dxa"/>
            <w:shd w:val="clear" w:color="auto" w:fill="auto"/>
          </w:tcPr>
          <w:p w:rsidR="00BF0382" w:rsidRDefault="00BF0382" w:rsidP="00BB474C">
            <w:pPr>
              <w:spacing w:line="276" w:lineRule="auto"/>
              <w:ind w:left="1920" w:hanging="240"/>
            </w:pPr>
            <w:r>
              <w:t>Example 1 – Horizon 2</w:t>
            </w:r>
          </w:p>
        </w:tc>
        <w:tc>
          <w:tcPr>
            <w:tcW w:w="4786" w:type="dxa"/>
            <w:shd w:val="clear" w:color="auto" w:fill="auto"/>
          </w:tcPr>
          <w:p w:rsidR="00BF0382" w:rsidRDefault="00BF0382" w:rsidP="00BB474C">
            <w:pPr>
              <w:spacing w:line="276" w:lineRule="auto"/>
            </w:pPr>
          </w:p>
        </w:tc>
      </w:tr>
      <w:tr w:rsidR="00BF0382" w:rsidTr="00BB474C">
        <w:tc>
          <w:tcPr>
            <w:tcW w:w="4836" w:type="dxa"/>
            <w:tcBorders>
              <w:bottom w:val="single" w:sz="4" w:space="0" w:color="auto"/>
            </w:tcBorders>
            <w:shd w:val="clear" w:color="auto" w:fill="auto"/>
          </w:tcPr>
          <w:p w:rsidR="00BF0382" w:rsidRDefault="00BF0382" w:rsidP="00BB474C">
            <w:pPr>
              <w:spacing w:line="276" w:lineRule="auto"/>
              <w:jc w:val="center"/>
              <w:rPr>
                <w:b/>
              </w:rPr>
            </w:pPr>
            <w:r>
              <w:rPr>
                <w:noProof/>
                <w:lang w:bidi="ar-SA"/>
              </w:rPr>
              <mc:AlternateContent>
                <mc:Choice Requires="wpg">
                  <w:drawing>
                    <wp:inline distT="0" distB="0" distL="0" distR="0" wp14:anchorId="6A48A642" wp14:editId="001F1E41">
                      <wp:extent cx="2337435" cy="1324610"/>
                      <wp:effectExtent l="9525" t="6985" r="5715" b="1143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7435" cy="1324610"/>
                                <a:chOff x="0" y="0"/>
                                <a:chExt cx="29171" cy="13744"/>
                              </a:xfrm>
                            </wpg:grpSpPr>
                            <wps:wsp>
                              <wps:cNvPr id="277" name="Rechteck 235"/>
                              <wps:cNvSpPr>
                                <a:spLocks noChangeArrowheads="1"/>
                              </wps:cNvSpPr>
                              <wps:spPr bwMode="auto">
                                <a:xfrm>
                                  <a:off x="1626" y="0"/>
                                  <a:ext cx="25381" cy="13744"/>
                                </a:xfrm>
                                <a:prstGeom prst="rect">
                                  <a:avLst/>
                                </a:prstGeom>
                                <a:solidFill>
                                  <a:srgbClr val="006600"/>
                                </a:solidFill>
                                <a:ln w="3175">
                                  <a:solidFill>
                                    <a:srgbClr val="385D8A"/>
                                  </a:solidFill>
                                  <a:miter lim="800000"/>
                                  <a:headEnd/>
                                  <a:tailEnd/>
                                </a:ln>
                              </wps:spPr>
                              <wps:bodyPr rot="0" vert="horz" wrap="square" lIns="91440" tIns="45720" rIns="91440" bIns="45720" anchor="ctr" anchorCtr="0" upright="1">
                                <a:noAutofit/>
                              </wps:bodyPr>
                            </wps:wsp>
                            <wps:wsp>
                              <wps:cNvPr id="279" name="Gerade Verbindung 237"/>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6" o:spid="_x0000_s1026" style="width:184.05pt;height:104.3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">
                      <v:rect id="Rechteck 235"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WHsQA&#10;AADcAAAADwAAAGRycy9kb3ducmV2LnhtbESPwWrDMBBE74X8g9hAb42cQOviRAkhpNBLC5F7yHGR&#10;NraJtTKSErt/XxUKPQ4z84bZ7CbXizuF2HlWsFwUIIiNtx03Cr7qt6dXEDEhW+w9k4JvirDbzh42&#10;WFk/8onuOjUiQzhWqKBNaaikjKYlh3HhB+LsXXxwmLIMjbQBxwx3vVwVxYt02HFeaHGgQ0vmqm9O&#10;QVnWKWh9dNqc3fh5+thP5nlU6nE+7dcgEk3pP/zXfrcKVmU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Vh7EAAAA3AAAAA8AAAAAAAAAAAAAAAAAmAIAAGRycy9k&#10;b3ducmV2LnhtbFBLBQYAAAAABAAEAPUAAACJAwAAAAA=&#10;" fillcolor="#060" strokecolor="#385d8a" strokeweight=".25pt"/>
                      <v:line id="Gerade Verbindung 237" o:spid="_x0000_s1028"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J0cQAAADcAAAADwAAAGRycy9kb3ducmV2LnhtbESPQYvCMBSE74L/ITzBm6Z6WLUaZREE&#10;6cW1uqzHR/Ns6zYvpcnW7r83guBxmJlvmNWmM5VoqXGlZQWTcQSCOLO65FzB+bQbzUE4j6yxskwK&#10;/snBZt3vrTDW9s5HalOfiwBhF6OCwvs6ltJlBRl0Y1sTB+9qG4M+yCaXusF7gJtKTqPoQxosOSwU&#10;WNO2oOw3/TMKLqdb8rNN2+Qc1dKZMpkcvtpvpYaD7nMJwlPn3+FXe68VTGcL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cnRxAAAANwAAAAPAAAAAAAAAAAA&#10;AAAAAKECAABkcnMvZG93bnJldi54bWxQSwUGAAAAAAQABAD5AAAAkgMAAAAA&#10;" strokecolor="red"/>
                      <w10:anchorlock/>
                    </v:group>
                  </w:pict>
                </mc:Fallback>
              </mc:AlternateContent>
            </w:r>
          </w:p>
        </w:tc>
        <w:tc>
          <w:tcPr>
            <w:tcW w:w="4786" w:type="dxa"/>
            <w:tcBorders>
              <w:bottom w:val="single" w:sz="4" w:space="0" w:color="auto"/>
            </w:tcBorders>
            <w:shd w:val="clear" w:color="auto" w:fill="auto"/>
          </w:tcPr>
          <w:p w:rsidR="00BF0382" w:rsidRDefault="00BF0382" w:rsidP="00BB474C">
            <w:pPr>
              <w:spacing w:line="276" w:lineRule="auto"/>
              <w:rPr>
                <w:b/>
              </w:rPr>
            </w:pPr>
          </w:p>
        </w:tc>
      </w:tr>
      <w:tr w:rsidR="00BF0382" w:rsidTr="00BB474C">
        <w:tc>
          <w:tcPr>
            <w:tcW w:w="9622" w:type="dxa"/>
            <w:gridSpan w:val="2"/>
            <w:tcBorders>
              <w:top w:val="single" w:sz="4" w:space="0" w:color="auto"/>
            </w:tcBorders>
            <w:shd w:val="clear" w:color="auto" w:fill="auto"/>
          </w:tcPr>
          <w:p w:rsidR="00BF0382" w:rsidRDefault="00BF0382" w:rsidP="00BB474C">
            <w:pPr>
              <w:spacing w:before="120" w:line="276" w:lineRule="auto"/>
              <w:ind w:left="1920" w:hanging="240"/>
              <w:rPr>
                <w:b/>
              </w:rPr>
            </w:pPr>
            <w:r>
              <w:rPr>
                <w:b/>
              </w:rPr>
              <w:t>Horizon assignment – Vertical subsequential arrangement</w:t>
            </w:r>
          </w:p>
        </w:tc>
      </w:tr>
      <w:tr w:rsidR="00BF0382" w:rsidTr="00BB474C">
        <w:tc>
          <w:tcPr>
            <w:tcW w:w="9622" w:type="dxa"/>
            <w:gridSpan w:val="2"/>
            <w:shd w:val="clear" w:color="auto" w:fill="auto"/>
          </w:tcPr>
          <w:p w:rsidR="00BF0382" w:rsidRDefault="00BF0382" w:rsidP="00BB474C">
            <w:pPr>
              <w:tabs>
                <w:tab w:val="left" w:pos="1678"/>
                <w:tab w:val="left" w:pos="3662"/>
                <w:tab w:val="left" w:pos="4087"/>
              </w:tabs>
              <w:spacing w:line="276" w:lineRule="auto"/>
              <w:ind w:left="113"/>
              <w:rPr>
                <w:b/>
              </w:rPr>
            </w:pPr>
            <w:r>
              <w:rPr>
                <w:noProof/>
                <w:lang w:bidi="ar-SA"/>
              </w:rPr>
              <mc:AlternateContent>
                <mc:Choice Requires="wps">
                  <w:drawing>
                    <wp:anchor distT="0" distB="0" distL="114300" distR="114300" simplePos="0" relativeHeight="251675648" behindDoc="0" locked="0" layoutInCell="1" allowOverlap="1" wp14:anchorId="44D842C9" wp14:editId="3786E214">
                      <wp:simplePos x="0" y="0"/>
                      <wp:positionH relativeFrom="column">
                        <wp:posOffset>3601720</wp:posOffset>
                      </wp:positionH>
                      <wp:positionV relativeFrom="paragraph">
                        <wp:posOffset>47625</wp:posOffset>
                      </wp:positionV>
                      <wp:extent cx="1339215" cy="165735"/>
                      <wp:effectExtent l="0" t="0" r="0" b="571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165735"/>
                              </a:xfrm>
                              <a:prstGeom prst="rect">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283.6pt;margin-top:3.75pt;width:105.45pt;height:1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" fillcolor="#e46c0a" stroked="f" strokeweight="2pt">
                      <v:path arrowok="t"/>
                    </v:rect>
                  </w:pict>
                </mc:Fallback>
              </mc:AlternateContent>
            </w:r>
            <w:r>
              <w:rPr>
                <w:b/>
              </w:rPr>
              <w:tab/>
            </w:r>
            <w:r>
              <w:rPr>
                <w:noProof/>
                <w:lang w:bidi="ar-SA"/>
              </w:rPr>
              <w:drawing>
                <wp:inline distT="0" distB="0" distL="0" distR="0" wp14:anchorId="4C9BDEF3" wp14:editId="12C4E746">
                  <wp:extent cx="3921760" cy="791845"/>
                  <wp:effectExtent l="0" t="0" r="0" b="0"/>
                  <wp:docPr id="71"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1760" cy="791845"/>
                          </a:xfrm>
                          <a:prstGeom prst="rect">
                            <a:avLst/>
                          </a:prstGeom>
                          <a:noFill/>
                          <a:ln>
                            <a:noFill/>
                          </a:ln>
                        </pic:spPr>
                      </pic:pic>
                    </a:graphicData>
                  </a:graphic>
                </wp:inline>
              </w:drawing>
            </w:r>
            <w:r>
              <w:rPr>
                <w:b/>
              </w:rPr>
              <w:tab/>
            </w:r>
          </w:p>
        </w:tc>
      </w:tr>
      <w:tr w:rsidR="00BF0382" w:rsidTr="00BB474C">
        <w:tc>
          <w:tcPr>
            <w:tcW w:w="9622" w:type="dxa"/>
            <w:gridSpan w:val="2"/>
            <w:tcBorders>
              <w:top w:val="single" w:sz="4" w:space="0" w:color="auto"/>
            </w:tcBorders>
            <w:shd w:val="clear" w:color="auto" w:fill="auto"/>
          </w:tcPr>
          <w:p w:rsidR="00BF0382" w:rsidRDefault="00BF0382" w:rsidP="00BB474C">
            <w:pPr>
              <w:rPr>
                <w:b/>
              </w:rPr>
            </w:pPr>
          </w:p>
          <w:p w:rsidR="00BF0382" w:rsidRPr="008D6A99" w:rsidRDefault="00BF0382" w:rsidP="00BB474C">
            <w:pPr>
              <w:rPr>
                <w:b/>
                <w:lang w:val="en-GB"/>
              </w:rPr>
            </w:pPr>
            <w:r w:rsidRPr="008D6A99">
              <w:rPr>
                <w:b/>
                <w:lang w:val="en-GB"/>
              </w:rPr>
              <w:t>Proposal for GIS layer reporting:</w:t>
            </w:r>
          </w:p>
          <w:p w:rsidR="00BF0382" w:rsidRPr="008D6A99" w:rsidRDefault="00BF0382" w:rsidP="00BB474C">
            <w:pPr>
              <w:rPr>
                <w:b/>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039"/>
              <w:gridCol w:w="1425"/>
            </w:tblGrid>
            <w:tr w:rsidR="00BF0382" w:rsidTr="00BB474C">
              <w:trPr>
                <w:jc w:val="center"/>
              </w:trPr>
              <w:tc>
                <w:tcPr>
                  <w:tcW w:w="1391" w:type="dxa"/>
                  <w:shd w:val="clear" w:color="auto" w:fill="auto"/>
                </w:tcPr>
                <w:p w:rsidR="00BF0382" w:rsidRDefault="00BF0382" w:rsidP="00BB474C">
                  <w:pPr>
                    <w:spacing w:after="0"/>
                    <w:jc w:val="center"/>
                    <w:rPr>
                      <w:rFonts w:ascii="Calibri" w:hAnsi="Calibri"/>
                      <w:b/>
                    </w:rPr>
                  </w:pPr>
                  <w:r>
                    <w:rPr>
                      <w:rFonts w:ascii="Calibri" w:hAnsi="Calibri"/>
                      <w:b/>
                    </w:rPr>
                    <w:t>EU_CD_GW</w:t>
                  </w:r>
                </w:p>
              </w:tc>
              <w:tc>
                <w:tcPr>
                  <w:tcW w:w="1039" w:type="dxa"/>
                  <w:shd w:val="clear" w:color="auto" w:fill="auto"/>
                </w:tcPr>
                <w:p w:rsidR="00BF0382" w:rsidRDefault="00BF0382" w:rsidP="00BB474C">
                  <w:pPr>
                    <w:spacing w:after="0"/>
                    <w:jc w:val="center"/>
                    <w:rPr>
                      <w:rFonts w:ascii="Calibri" w:hAnsi="Calibri"/>
                      <w:b/>
                    </w:rPr>
                  </w:pPr>
                  <w:r>
                    <w:rPr>
                      <w:rFonts w:ascii="Calibri" w:hAnsi="Calibri"/>
                      <w:b/>
                    </w:rPr>
                    <w:t>Horizon</w:t>
                  </w:r>
                </w:p>
              </w:tc>
              <w:tc>
                <w:tcPr>
                  <w:tcW w:w="1425" w:type="dxa"/>
                  <w:shd w:val="clear" w:color="auto" w:fill="auto"/>
                </w:tcPr>
                <w:p w:rsidR="00BF0382" w:rsidRDefault="00BF0382" w:rsidP="00BB474C">
                  <w:pPr>
                    <w:spacing w:after="0"/>
                    <w:jc w:val="center"/>
                    <w:rPr>
                      <w:rFonts w:ascii="Calibri" w:hAnsi="Calibri"/>
                      <w:b/>
                    </w:rPr>
                  </w:pPr>
                  <w:r>
                    <w:rPr>
                      <w:rFonts w:ascii="Calibri" w:hAnsi="Calibri"/>
                      <w:b/>
                    </w:rPr>
                    <w:t>CD_Polygon</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GWB1</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1</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GWB1-1</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GWB2</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1</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GWB2-1</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GWB3</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1</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GWB3-1</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GWB4</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2</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GWB4-2</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GWB5</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3</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GWB5-3</w:t>
                  </w:r>
                </w:p>
              </w:tc>
            </w:tr>
          </w:tbl>
          <w:p w:rsidR="00BF0382" w:rsidRDefault="00BF0382" w:rsidP="00BB474C">
            <w:pPr>
              <w:spacing w:before="120" w:line="276" w:lineRule="auto"/>
              <w:rPr>
                <w:b/>
              </w:rPr>
            </w:pPr>
          </w:p>
        </w:tc>
      </w:tr>
      <w:tr w:rsidR="00BF0382" w:rsidTr="00BB474C">
        <w:tc>
          <w:tcPr>
            <w:tcW w:w="9622" w:type="dxa"/>
            <w:gridSpan w:val="2"/>
            <w:shd w:val="clear" w:color="auto" w:fill="auto"/>
          </w:tcPr>
          <w:p w:rsidR="00BF0382" w:rsidRDefault="00BF0382" w:rsidP="00BB474C">
            <w:pPr>
              <w:tabs>
                <w:tab w:val="left" w:pos="1678"/>
                <w:tab w:val="left" w:pos="3662"/>
                <w:tab w:val="left" w:pos="4087"/>
              </w:tabs>
              <w:spacing w:line="276" w:lineRule="auto"/>
              <w:ind w:left="113"/>
              <w:rPr>
                <w:b/>
              </w:rPr>
            </w:pPr>
          </w:p>
        </w:tc>
      </w:tr>
      <w:tr w:rsidR="00BF0382" w:rsidTr="00BB474C">
        <w:tc>
          <w:tcPr>
            <w:tcW w:w="9622" w:type="dxa"/>
            <w:gridSpan w:val="2"/>
            <w:shd w:val="clear" w:color="auto" w:fill="auto"/>
          </w:tcPr>
          <w:p w:rsidR="00BF0382" w:rsidRDefault="00BF0382" w:rsidP="00BB474C">
            <w:pPr>
              <w:tabs>
                <w:tab w:val="left" w:pos="1678"/>
                <w:tab w:val="left" w:pos="3662"/>
                <w:tab w:val="left" w:pos="4087"/>
              </w:tabs>
              <w:ind w:left="113"/>
              <w:rPr>
                <w:b/>
                <w:noProof/>
              </w:rPr>
            </w:pPr>
          </w:p>
          <w:p w:rsidR="00BF0382" w:rsidRDefault="00BF0382" w:rsidP="00BB474C">
            <w:pPr>
              <w:tabs>
                <w:tab w:val="left" w:pos="1678"/>
                <w:tab w:val="left" w:pos="3662"/>
                <w:tab w:val="left" w:pos="4087"/>
              </w:tabs>
              <w:ind w:left="113"/>
              <w:rPr>
                <w:b/>
                <w:noProof/>
              </w:rPr>
            </w:pPr>
          </w:p>
        </w:tc>
      </w:tr>
    </w:tbl>
    <w:p w:rsidR="00BF0382" w:rsidRDefault="00BF0382" w:rsidP="00BF0382">
      <w:pPr>
        <w:pStyle w:val="Rubrik3"/>
        <w:tabs>
          <w:tab w:val="clear" w:pos="3360"/>
          <w:tab w:val="num" w:pos="2835"/>
        </w:tabs>
      </w:pPr>
      <w:r>
        <w:t>Example 2</w:t>
      </w:r>
    </w:p>
    <w:tbl>
      <w:tblPr>
        <w:tblW w:w="0" w:type="auto"/>
        <w:tblLook w:val="04A0" w:firstRow="1" w:lastRow="0" w:firstColumn="1" w:lastColumn="0" w:noHBand="0" w:noVBand="1"/>
      </w:tblPr>
      <w:tblGrid>
        <w:gridCol w:w="4836"/>
        <w:gridCol w:w="4786"/>
      </w:tblGrid>
      <w:tr w:rsidR="00BF0382" w:rsidRPr="00D95552" w:rsidTr="00BB474C">
        <w:tc>
          <w:tcPr>
            <w:tcW w:w="9622" w:type="dxa"/>
            <w:gridSpan w:val="2"/>
            <w:shd w:val="clear" w:color="auto" w:fill="auto"/>
          </w:tcPr>
          <w:p w:rsidR="00BF0382" w:rsidRPr="008D6A99" w:rsidRDefault="00BF0382" w:rsidP="00BB474C">
            <w:pPr>
              <w:spacing w:before="240"/>
              <w:rPr>
                <w:b/>
                <w:noProof/>
                <w:lang w:val="en-GB" w:eastAsia="de-AT"/>
              </w:rPr>
            </w:pPr>
            <w:r w:rsidRPr="008D6A99">
              <w:rPr>
                <w:b/>
                <w:noProof/>
                <w:lang w:val="en-GB" w:eastAsia="de-AT"/>
              </w:rPr>
              <w:t xml:space="preserve">Hydrogeological context – Map view and sectional view </w:t>
            </w:r>
          </w:p>
        </w:tc>
      </w:tr>
      <w:tr w:rsidR="00BF0382" w:rsidTr="00BB474C">
        <w:tc>
          <w:tcPr>
            <w:tcW w:w="4836" w:type="dxa"/>
            <w:tcBorders>
              <w:bottom w:val="single" w:sz="4" w:space="0" w:color="auto"/>
            </w:tcBorders>
            <w:shd w:val="clear" w:color="auto" w:fill="auto"/>
          </w:tcPr>
          <w:p w:rsidR="00BF0382" w:rsidRDefault="00BF0382" w:rsidP="00BB474C">
            <w:pPr>
              <w:spacing w:before="120"/>
              <w:jc w:val="center"/>
              <w:rPr>
                <w:b/>
                <w:sz w:val="23"/>
                <w:szCs w:val="23"/>
              </w:rPr>
            </w:pPr>
            <w:r>
              <w:rPr>
                <w:b/>
                <w:noProof/>
                <w:sz w:val="23"/>
                <w:szCs w:val="23"/>
                <w:lang w:bidi="ar-SA"/>
              </w:rPr>
              <w:drawing>
                <wp:inline distT="0" distB="0" distL="0" distR="0" wp14:anchorId="68F9DB0C" wp14:editId="5455453B">
                  <wp:extent cx="2279650" cy="978535"/>
                  <wp:effectExtent l="0" t="0" r="0" b="0"/>
                  <wp:docPr id="72"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
                          <pic:cNvPicPr>
                            <a:picLocks noChangeAspect="1" noChangeArrowheads="1"/>
                          </pic:cNvPicPr>
                        </pic:nvPicPr>
                        <pic:blipFill>
                          <a:blip r:embed="rId40" cstate="print">
                            <a:extLst>
                              <a:ext uri="{28A0092B-C50C-407E-A947-70E740481C1C}">
                                <a14:useLocalDpi xmlns:a14="http://schemas.microsoft.com/office/drawing/2010/main" val="0"/>
                              </a:ext>
                            </a:extLst>
                          </a:blip>
                          <a:srcRect b="17535"/>
                          <a:stretch>
                            <a:fillRect/>
                          </a:stretch>
                        </pic:blipFill>
                        <pic:spPr bwMode="auto">
                          <a:xfrm>
                            <a:off x="0" y="0"/>
                            <a:ext cx="2279650" cy="978535"/>
                          </a:xfrm>
                          <a:prstGeom prst="rect">
                            <a:avLst/>
                          </a:prstGeom>
                          <a:noFill/>
                          <a:ln>
                            <a:noFill/>
                          </a:ln>
                        </pic:spPr>
                      </pic:pic>
                    </a:graphicData>
                  </a:graphic>
                </wp:inline>
              </w:drawing>
            </w:r>
          </w:p>
        </w:tc>
        <w:tc>
          <w:tcPr>
            <w:tcW w:w="4786" w:type="dxa"/>
            <w:tcBorders>
              <w:bottom w:val="single" w:sz="4" w:space="0" w:color="auto"/>
            </w:tcBorders>
            <w:shd w:val="clear" w:color="auto" w:fill="auto"/>
          </w:tcPr>
          <w:p w:rsidR="00BF0382" w:rsidRDefault="00BF0382" w:rsidP="00BB474C">
            <w:pPr>
              <w:spacing w:before="120"/>
              <w:jc w:val="center"/>
              <w:rPr>
                <w:b/>
                <w:sz w:val="23"/>
                <w:szCs w:val="23"/>
              </w:rPr>
            </w:pPr>
            <w:r>
              <w:rPr>
                <w:noProof/>
                <w:sz w:val="23"/>
                <w:szCs w:val="23"/>
                <w:lang w:bidi="ar-SA"/>
              </w:rPr>
              <w:drawing>
                <wp:inline distT="0" distB="0" distL="0" distR="0" wp14:anchorId="664DDB85" wp14:editId="53EB7D85">
                  <wp:extent cx="2015490" cy="9855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BF0382" w:rsidTr="00BB474C">
        <w:tc>
          <w:tcPr>
            <w:tcW w:w="9622" w:type="dxa"/>
            <w:gridSpan w:val="2"/>
            <w:tcBorders>
              <w:top w:val="single" w:sz="4" w:space="0" w:color="auto"/>
            </w:tcBorders>
            <w:shd w:val="clear" w:color="auto" w:fill="auto"/>
          </w:tcPr>
          <w:p w:rsidR="00BF0382" w:rsidRDefault="00BF0382" w:rsidP="00BB474C">
            <w:pPr>
              <w:spacing w:before="120"/>
              <w:rPr>
                <w:b/>
              </w:rPr>
            </w:pPr>
            <w:r>
              <w:rPr>
                <w:b/>
              </w:rPr>
              <w:t>Delineated groundwater bodies</w:t>
            </w:r>
          </w:p>
        </w:tc>
      </w:tr>
      <w:tr w:rsidR="00BF0382" w:rsidTr="00BB474C">
        <w:tc>
          <w:tcPr>
            <w:tcW w:w="4836" w:type="dxa"/>
            <w:shd w:val="clear" w:color="auto" w:fill="auto"/>
          </w:tcPr>
          <w:p w:rsidR="00BF0382" w:rsidRDefault="00BF0382" w:rsidP="00BB474C">
            <w:pPr>
              <w:ind w:left="1920" w:hanging="240"/>
              <w:rPr>
                <w:b/>
                <w:sz w:val="23"/>
              </w:rPr>
            </w:pPr>
            <w:r>
              <w:t xml:space="preserve">Example 2 – Map view </w:t>
            </w:r>
          </w:p>
        </w:tc>
        <w:tc>
          <w:tcPr>
            <w:tcW w:w="4786" w:type="dxa"/>
            <w:shd w:val="clear" w:color="auto" w:fill="auto"/>
          </w:tcPr>
          <w:p w:rsidR="00BF0382" w:rsidRDefault="00BF0382" w:rsidP="00BB474C">
            <w:pPr>
              <w:ind w:left="1920" w:hanging="240"/>
              <w:jc w:val="center"/>
              <w:rPr>
                <w:b/>
                <w:sz w:val="23"/>
              </w:rPr>
            </w:pPr>
            <w:r>
              <w:t xml:space="preserve">Example 2 – Sectional view </w:t>
            </w:r>
          </w:p>
        </w:tc>
      </w:tr>
      <w:tr w:rsidR="00BF0382" w:rsidTr="00BB474C">
        <w:tc>
          <w:tcPr>
            <w:tcW w:w="4836" w:type="dxa"/>
            <w:tcBorders>
              <w:bottom w:val="single" w:sz="4" w:space="0" w:color="auto"/>
            </w:tcBorders>
            <w:shd w:val="clear" w:color="auto" w:fill="auto"/>
          </w:tcPr>
          <w:p w:rsidR="00BF0382" w:rsidRDefault="00BF0382" w:rsidP="00BB474C">
            <w:pPr>
              <w:jc w:val="center"/>
              <w:rPr>
                <w:b/>
                <w:sz w:val="23"/>
                <w:szCs w:val="23"/>
              </w:rPr>
            </w:pPr>
            <w:r>
              <w:rPr>
                <w:noProof/>
                <w:lang w:bidi="ar-SA"/>
              </w:rPr>
              <mc:AlternateContent>
                <mc:Choice Requires="wps">
                  <w:drawing>
                    <wp:anchor distT="0" distB="0" distL="114300" distR="114300" simplePos="0" relativeHeight="251666432" behindDoc="0" locked="0" layoutInCell="1" allowOverlap="1" wp14:anchorId="0C3B28FE" wp14:editId="54A04B4C">
                      <wp:simplePos x="0" y="0"/>
                      <wp:positionH relativeFrom="column">
                        <wp:posOffset>323215</wp:posOffset>
                      </wp:positionH>
                      <wp:positionV relativeFrom="paragraph">
                        <wp:posOffset>262255</wp:posOffset>
                      </wp:positionV>
                      <wp:extent cx="2342515" cy="885825"/>
                      <wp:effectExtent l="0" t="0" r="19685" b="28575"/>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2515" cy="885825"/>
                              </a:xfrm>
                              <a:custGeom>
                                <a:avLst/>
                                <a:gdLst>
                                  <a:gd name="connsiteX0" fmla="*/ 21183 w 2559614"/>
                                  <a:gd name="connsiteY0" fmla="*/ 88262 h 886156"/>
                                  <a:gd name="connsiteX1" fmla="*/ 74141 w 2559614"/>
                                  <a:gd name="connsiteY1" fmla="*/ 84732 h 886156"/>
                                  <a:gd name="connsiteX2" fmla="*/ 88263 w 2559614"/>
                                  <a:gd name="connsiteY2" fmla="*/ 81201 h 886156"/>
                                  <a:gd name="connsiteX3" fmla="*/ 116507 w 2559614"/>
                                  <a:gd name="connsiteY3" fmla="*/ 77671 h 886156"/>
                                  <a:gd name="connsiteX4" fmla="*/ 158873 w 2559614"/>
                                  <a:gd name="connsiteY4" fmla="*/ 70610 h 886156"/>
                                  <a:gd name="connsiteX5" fmla="*/ 169464 w 2559614"/>
                                  <a:gd name="connsiteY5" fmla="*/ 67079 h 886156"/>
                                  <a:gd name="connsiteX6" fmla="*/ 187117 w 2559614"/>
                                  <a:gd name="connsiteY6" fmla="*/ 63549 h 886156"/>
                                  <a:gd name="connsiteX7" fmla="*/ 208300 w 2559614"/>
                                  <a:gd name="connsiteY7" fmla="*/ 56488 h 886156"/>
                                  <a:gd name="connsiteX8" fmla="*/ 243605 w 2559614"/>
                                  <a:gd name="connsiteY8" fmla="*/ 45896 h 886156"/>
                                  <a:gd name="connsiteX9" fmla="*/ 264788 w 2559614"/>
                                  <a:gd name="connsiteY9" fmla="*/ 38835 h 886156"/>
                                  <a:gd name="connsiteX10" fmla="*/ 275379 w 2559614"/>
                                  <a:gd name="connsiteY10" fmla="*/ 35305 h 886156"/>
                                  <a:gd name="connsiteX11" fmla="*/ 331867 w 2559614"/>
                                  <a:gd name="connsiteY11" fmla="*/ 24713 h 886156"/>
                                  <a:gd name="connsiteX12" fmla="*/ 345989 w 2559614"/>
                                  <a:gd name="connsiteY12" fmla="*/ 21183 h 886156"/>
                                  <a:gd name="connsiteX13" fmla="*/ 441313 w 2559614"/>
                                  <a:gd name="connsiteY13" fmla="*/ 14122 h 886156"/>
                                  <a:gd name="connsiteX14" fmla="*/ 497801 w 2559614"/>
                                  <a:gd name="connsiteY14" fmla="*/ 7061 h 886156"/>
                                  <a:gd name="connsiteX15" fmla="*/ 540167 w 2559614"/>
                                  <a:gd name="connsiteY15" fmla="*/ 0 h 886156"/>
                                  <a:gd name="connsiteX16" fmla="*/ 621368 w 2559614"/>
                                  <a:gd name="connsiteY16" fmla="*/ 3530 h 886156"/>
                                  <a:gd name="connsiteX17" fmla="*/ 635490 w 2559614"/>
                                  <a:gd name="connsiteY17" fmla="*/ 7061 h 886156"/>
                                  <a:gd name="connsiteX18" fmla="*/ 656673 w 2559614"/>
                                  <a:gd name="connsiteY18" fmla="*/ 10591 h 886156"/>
                                  <a:gd name="connsiteX19" fmla="*/ 667265 w 2559614"/>
                                  <a:gd name="connsiteY19" fmla="*/ 14122 h 886156"/>
                                  <a:gd name="connsiteX20" fmla="*/ 854382 w 2559614"/>
                                  <a:gd name="connsiteY20" fmla="*/ 21183 h 886156"/>
                                  <a:gd name="connsiteX21" fmla="*/ 907339 w 2559614"/>
                                  <a:gd name="connsiteY21" fmla="*/ 38835 h 886156"/>
                                  <a:gd name="connsiteX22" fmla="*/ 928522 w 2559614"/>
                                  <a:gd name="connsiteY22" fmla="*/ 45896 h 886156"/>
                                  <a:gd name="connsiteX23" fmla="*/ 949705 w 2559614"/>
                                  <a:gd name="connsiteY23" fmla="*/ 49427 h 886156"/>
                                  <a:gd name="connsiteX24" fmla="*/ 963827 w 2559614"/>
                                  <a:gd name="connsiteY24" fmla="*/ 52957 h 886156"/>
                                  <a:gd name="connsiteX25" fmla="*/ 1055620 w 2559614"/>
                                  <a:gd name="connsiteY25" fmla="*/ 56488 h 886156"/>
                                  <a:gd name="connsiteX26" fmla="*/ 1083864 w 2559614"/>
                                  <a:gd name="connsiteY26" fmla="*/ 60018 h 886156"/>
                                  <a:gd name="connsiteX27" fmla="*/ 1094456 w 2559614"/>
                                  <a:gd name="connsiteY27" fmla="*/ 63549 h 886156"/>
                                  <a:gd name="connsiteX28" fmla="*/ 1112108 w 2559614"/>
                                  <a:gd name="connsiteY28" fmla="*/ 67079 h 886156"/>
                                  <a:gd name="connsiteX29" fmla="*/ 1140352 w 2559614"/>
                                  <a:gd name="connsiteY29" fmla="*/ 74140 h 886156"/>
                                  <a:gd name="connsiteX30" fmla="*/ 1161535 w 2559614"/>
                                  <a:gd name="connsiteY30" fmla="*/ 77671 h 886156"/>
                                  <a:gd name="connsiteX31" fmla="*/ 1193310 w 2559614"/>
                                  <a:gd name="connsiteY31" fmla="*/ 84732 h 886156"/>
                                  <a:gd name="connsiteX32" fmla="*/ 1221554 w 2559614"/>
                                  <a:gd name="connsiteY32" fmla="*/ 88262 h 886156"/>
                                  <a:gd name="connsiteX33" fmla="*/ 1260389 w 2559614"/>
                                  <a:gd name="connsiteY33" fmla="*/ 95323 h 886156"/>
                                  <a:gd name="connsiteX34" fmla="*/ 1274511 w 2559614"/>
                                  <a:gd name="connsiteY34" fmla="*/ 98854 h 886156"/>
                                  <a:gd name="connsiteX35" fmla="*/ 1338060 w 2559614"/>
                                  <a:gd name="connsiteY35" fmla="*/ 102384 h 886156"/>
                                  <a:gd name="connsiteX36" fmla="*/ 1383957 w 2559614"/>
                                  <a:gd name="connsiteY36" fmla="*/ 105915 h 886156"/>
                                  <a:gd name="connsiteX37" fmla="*/ 1620500 w 2559614"/>
                                  <a:gd name="connsiteY37" fmla="*/ 105915 h 886156"/>
                                  <a:gd name="connsiteX38" fmla="*/ 1634622 w 2559614"/>
                                  <a:gd name="connsiteY38" fmla="*/ 109445 h 886156"/>
                                  <a:gd name="connsiteX39" fmla="*/ 1691111 w 2559614"/>
                                  <a:gd name="connsiteY39" fmla="*/ 116506 h 886156"/>
                                  <a:gd name="connsiteX40" fmla="*/ 1708763 w 2559614"/>
                                  <a:gd name="connsiteY40" fmla="*/ 120037 h 886156"/>
                                  <a:gd name="connsiteX41" fmla="*/ 1864105 w 2559614"/>
                                  <a:gd name="connsiteY41" fmla="*/ 123567 h 886156"/>
                                  <a:gd name="connsiteX42" fmla="*/ 1885288 w 2559614"/>
                                  <a:gd name="connsiteY42" fmla="*/ 130628 h 886156"/>
                                  <a:gd name="connsiteX43" fmla="*/ 1895880 w 2559614"/>
                                  <a:gd name="connsiteY43" fmla="*/ 141220 h 886156"/>
                                  <a:gd name="connsiteX44" fmla="*/ 1910002 w 2559614"/>
                                  <a:gd name="connsiteY44" fmla="*/ 144750 h 886156"/>
                                  <a:gd name="connsiteX45" fmla="*/ 1920593 w 2559614"/>
                                  <a:gd name="connsiteY45" fmla="*/ 148281 h 886156"/>
                                  <a:gd name="connsiteX46" fmla="*/ 1931185 w 2559614"/>
                                  <a:gd name="connsiteY46" fmla="*/ 155342 h 886156"/>
                                  <a:gd name="connsiteX47" fmla="*/ 1945307 w 2559614"/>
                                  <a:gd name="connsiteY47" fmla="*/ 158872 h 886156"/>
                                  <a:gd name="connsiteX48" fmla="*/ 1955898 w 2559614"/>
                                  <a:gd name="connsiteY48" fmla="*/ 162403 h 886156"/>
                                  <a:gd name="connsiteX49" fmla="*/ 1970020 w 2559614"/>
                                  <a:gd name="connsiteY49" fmla="*/ 165933 h 886156"/>
                                  <a:gd name="connsiteX50" fmla="*/ 1980612 w 2559614"/>
                                  <a:gd name="connsiteY50" fmla="*/ 169464 h 886156"/>
                                  <a:gd name="connsiteX51" fmla="*/ 2008856 w 2559614"/>
                                  <a:gd name="connsiteY51" fmla="*/ 176525 h 886156"/>
                                  <a:gd name="connsiteX52" fmla="*/ 2033569 w 2559614"/>
                                  <a:gd name="connsiteY52" fmla="*/ 183586 h 886156"/>
                                  <a:gd name="connsiteX53" fmla="*/ 2054752 w 2559614"/>
                                  <a:gd name="connsiteY53" fmla="*/ 190647 h 886156"/>
                                  <a:gd name="connsiteX54" fmla="*/ 2065344 w 2559614"/>
                                  <a:gd name="connsiteY54" fmla="*/ 194177 h 886156"/>
                                  <a:gd name="connsiteX55" fmla="*/ 2075935 w 2559614"/>
                                  <a:gd name="connsiteY55" fmla="*/ 197708 h 886156"/>
                                  <a:gd name="connsiteX56" fmla="*/ 2111240 w 2559614"/>
                                  <a:gd name="connsiteY56" fmla="*/ 208299 h 886156"/>
                                  <a:gd name="connsiteX57" fmla="*/ 2125362 w 2559614"/>
                                  <a:gd name="connsiteY57" fmla="*/ 215360 h 886156"/>
                                  <a:gd name="connsiteX58" fmla="*/ 2146545 w 2559614"/>
                                  <a:gd name="connsiteY58" fmla="*/ 222421 h 886156"/>
                                  <a:gd name="connsiteX59" fmla="*/ 2157137 w 2559614"/>
                                  <a:gd name="connsiteY59" fmla="*/ 229482 h 886156"/>
                                  <a:gd name="connsiteX60" fmla="*/ 2178320 w 2559614"/>
                                  <a:gd name="connsiteY60" fmla="*/ 236543 h 886156"/>
                                  <a:gd name="connsiteX61" fmla="*/ 2188911 w 2559614"/>
                                  <a:gd name="connsiteY61" fmla="*/ 240074 h 886156"/>
                                  <a:gd name="connsiteX62" fmla="*/ 2210094 w 2559614"/>
                                  <a:gd name="connsiteY62" fmla="*/ 247135 h 886156"/>
                                  <a:gd name="connsiteX63" fmla="*/ 2220686 w 2559614"/>
                                  <a:gd name="connsiteY63" fmla="*/ 250665 h 886156"/>
                                  <a:gd name="connsiteX64" fmla="*/ 2259521 w 2559614"/>
                                  <a:gd name="connsiteY64" fmla="*/ 261257 h 886156"/>
                                  <a:gd name="connsiteX65" fmla="*/ 2273643 w 2559614"/>
                                  <a:gd name="connsiteY65" fmla="*/ 268318 h 886156"/>
                                  <a:gd name="connsiteX66" fmla="*/ 2284235 w 2559614"/>
                                  <a:gd name="connsiteY66" fmla="*/ 275379 h 886156"/>
                                  <a:gd name="connsiteX67" fmla="*/ 2305418 w 2559614"/>
                                  <a:gd name="connsiteY67" fmla="*/ 282440 h 886156"/>
                                  <a:gd name="connsiteX68" fmla="*/ 2316009 w 2559614"/>
                                  <a:gd name="connsiteY68" fmla="*/ 285970 h 886156"/>
                                  <a:gd name="connsiteX69" fmla="*/ 2326601 w 2559614"/>
                                  <a:gd name="connsiteY69" fmla="*/ 293031 h 886156"/>
                                  <a:gd name="connsiteX70" fmla="*/ 2368967 w 2559614"/>
                                  <a:gd name="connsiteY70" fmla="*/ 300092 h 886156"/>
                                  <a:gd name="connsiteX71" fmla="*/ 2379558 w 2559614"/>
                                  <a:gd name="connsiteY71" fmla="*/ 303623 h 886156"/>
                                  <a:gd name="connsiteX72" fmla="*/ 2425455 w 2559614"/>
                                  <a:gd name="connsiteY72" fmla="*/ 310684 h 886156"/>
                                  <a:gd name="connsiteX73" fmla="*/ 2436046 w 2559614"/>
                                  <a:gd name="connsiteY73" fmla="*/ 314214 h 886156"/>
                                  <a:gd name="connsiteX74" fmla="*/ 2481943 w 2559614"/>
                                  <a:gd name="connsiteY74" fmla="*/ 321275 h 886156"/>
                                  <a:gd name="connsiteX75" fmla="*/ 2503126 w 2559614"/>
                                  <a:gd name="connsiteY75" fmla="*/ 328336 h 886156"/>
                                  <a:gd name="connsiteX76" fmla="*/ 2524309 w 2559614"/>
                                  <a:gd name="connsiteY76" fmla="*/ 335397 h 886156"/>
                                  <a:gd name="connsiteX77" fmla="*/ 2534900 w 2559614"/>
                                  <a:gd name="connsiteY77" fmla="*/ 338928 h 886156"/>
                                  <a:gd name="connsiteX78" fmla="*/ 2549022 w 2559614"/>
                                  <a:gd name="connsiteY78" fmla="*/ 342458 h 886156"/>
                                  <a:gd name="connsiteX79" fmla="*/ 2552553 w 2559614"/>
                                  <a:gd name="connsiteY79" fmla="*/ 384824 h 886156"/>
                                  <a:gd name="connsiteX80" fmla="*/ 2556084 w 2559614"/>
                                  <a:gd name="connsiteY80" fmla="*/ 398946 h 886156"/>
                                  <a:gd name="connsiteX81" fmla="*/ 2559614 w 2559614"/>
                                  <a:gd name="connsiteY81" fmla="*/ 423660 h 886156"/>
                                  <a:gd name="connsiteX82" fmla="*/ 2556084 w 2559614"/>
                                  <a:gd name="connsiteY82" fmla="*/ 497800 h 886156"/>
                                  <a:gd name="connsiteX83" fmla="*/ 2549022 w 2559614"/>
                                  <a:gd name="connsiteY83" fmla="*/ 508392 h 886156"/>
                                  <a:gd name="connsiteX84" fmla="*/ 2524309 w 2559614"/>
                                  <a:gd name="connsiteY84" fmla="*/ 511922 h 886156"/>
                                  <a:gd name="connsiteX85" fmla="*/ 2478412 w 2559614"/>
                                  <a:gd name="connsiteY85" fmla="*/ 522514 h 886156"/>
                                  <a:gd name="connsiteX86" fmla="*/ 2467821 w 2559614"/>
                                  <a:gd name="connsiteY86" fmla="*/ 526044 h 886156"/>
                                  <a:gd name="connsiteX87" fmla="*/ 2453699 w 2559614"/>
                                  <a:gd name="connsiteY87" fmla="*/ 529575 h 886156"/>
                                  <a:gd name="connsiteX88" fmla="*/ 2443107 w 2559614"/>
                                  <a:gd name="connsiteY88" fmla="*/ 536636 h 886156"/>
                                  <a:gd name="connsiteX89" fmla="*/ 2421924 w 2559614"/>
                                  <a:gd name="connsiteY89" fmla="*/ 543697 h 886156"/>
                                  <a:gd name="connsiteX90" fmla="*/ 2411333 w 2559614"/>
                                  <a:gd name="connsiteY90" fmla="*/ 547227 h 886156"/>
                                  <a:gd name="connsiteX91" fmla="*/ 2386619 w 2559614"/>
                                  <a:gd name="connsiteY91" fmla="*/ 564880 h 886156"/>
                                  <a:gd name="connsiteX92" fmla="*/ 2365436 w 2559614"/>
                                  <a:gd name="connsiteY92" fmla="*/ 579002 h 886156"/>
                                  <a:gd name="connsiteX93" fmla="*/ 2354845 w 2559614"/>
                                  <a:gd name="connsiteY93" fmla="*/ 586063 h 886156"/>
                                  <a:gd name="connsiteX94" fmla="*/ 2344253 w 2559614"/>
                                  <a:gd name="connsiteY94" fmla="*/ 589593 h 886156"/>
                                  <a:gd name="connsiteX95" fmla="*/ 2333662 w 2559614"/>
                                  <a:gd name="connsiteY95" fmla="*/ 596654 h 886156"/>
                                  <a:gd name="connsiteX96" fmla="*/ 2312479 w 2559614"/>
                                  <a:gd name="connsiteY96" fmla="*/ 603715 h 886156"/>
                                  <a:gd name="connsiteX97" fmla="*/ 2291296 w 2559614"/>
                                  <a:gd name="connsiteY97" fmla="*/ 617837 h 886156"/>
                                  <a:gd name="connsiteX98" fmla="*/ 2280704 w 2559614"/>
                                  <a:gd name="connsiteY98" fmla="*/ 624898 h 886156"/>
                                  <a:gd name="connsiteX99" fmla="*/ 2217155 w 2559614"/>
                                  <a:gd name="connsiteY99" fmla="*/ 646081 h 886156"/>
                                  <a:gd name="connsiteX100" fmla="*/ 2185381 w 2559614"/>
                                  <a:gd name="connsiteY100" fmla="*/ 656673 h 886156"/>
                                  <a:gd name="connsiteX101" fmla="*/ 2174789 w 2559614"/>
                                  <a:gd name="connsiteY101" fmla="*/ 660203 h 886156"/>
                                  <a:gd name="connsiteX102" fmla="*/ 2164198 w 2559614"/>
                                  <a:gd name="connsiteY102" fmla="*/ 670795 h 886156"/>
                                  <a:gd name="connsiteX103" fmla="*/ 2143015 w 2559614"/>
                                  <a:gd name="connsiteY103" fmla="*/ 677856 h 886156"/>
                                  <a:gd name="connsiteX104" fmla="*/ 2118301 w 2559614"/>
                                  <a:gd name="connsiteY104" fmla="*/ 688447 h 886156"/>
                                  <a:gd name="connsiteX105" fmla="*/ 2097118 w 2559614"/>
                                  <a:gd name="connsiteY105" fmla="*/ 695508 h 886156"/>
                                  <a:gd name="connsiteX106" fmla="*/ 2065344 w 2559614"/>
                                  <a:gd name="connsiteY106" fmla="*/ 716691 h 886156"/>
                                  <a:gd name="connsiteX107" fmla="*/ 2054752 w 2559614"/>
                                  <a:gd name="connsiteY107" fmla="*/ 723752 h 886156"/>
                                  <a:gd name="connsiteX108" fmla="*/ 2044161 w 2559614"/>
                                  <a:gd name="connsiteY108" fmla="*/ 730813 h 886156"/>
                                  <a:gd name="connsiteX109" fmla="*/ 2026508 w 2559614"/>
                                  <a:gd name="connsiteY109" fmla="*/ 744935 h 886156"/>
                                  <a:gd name="connsiteX110" fmla="*/ 2008856 w 2559614"/>
                                  <a:gd name="connsiteY110" fmla="*/ 759057 h 886156"/>
                                  <a:gd name="connsiteX111" fmla="*/ 1998264 w 2559614"/>
                                  <a:gd name="connsiteY111" fmla="*/ 766118 h 886156"/>
                                  <a:gd name="connsiteX112" fmla="*/ 1977081 w 2559614"/>
                                  <a:gd name="connsiteY112" fmla="*/ 773179 h 886156"/>
                                  <a:gd name="connsiteX113" fmla="*/ 1966490 w 2559614"/>
                                  <a:gd name="connsiteY113" fmla="*/ 776710 h 886156"/>
                                  <a:gd name="connsiteX114" fmla="*/ 1917063 w 2559614"/>
                                  <a:gd name="connsiteY114" fmla="*/ 790832 h 886156"/>
                                  <a:gd name="connsiteX115" fmla="*/ 1895880 w 2559614"/>
                                  <a:gd name="connsiteY115" fmla="*/ 794362 h 886156"/>
                                  <a:gd name="connsiteX116" fmla="*/ 1867636 w 2559614"/>
                                  <a:gd name="connsiteY116" fmla="*/ 801423 h 886156"/>
                                  <a:gd name="connsiteX117" fmla="*/ 1839392 w 2559614"/>
                                  <a:gd name="connsiteY117" fmla="*/ 804954 h 886156"/>
                                  <a:gd name="connsiteX118" fmla="*/ 1825270 w 2559614"/>
                                  <a:gd name="connsiteY118" fmla="*/ 808484 h 886156"/>
                                  <a:gd name="connsiteX119" fmla="*/ 1804087 w 2559614"/>
                                  <a:gd name="connsiteY119" fmla="*/ 812015 h 886156"/>
                                  <a:gd name="connsiteX120" fmla="*/ 1793495 w 2559614"/>
                                  <a:gd name="connsiteY120" fmla="*/ 815545 h 886156"/>
                                  <a:gd name="connsiteX121" fmla="*/ 1772312 w 2559614"/>
                                  <a:gd name="connsiteY121" fmla="*/ 819076 h 886156"/>
                                  <a:gd name="connsiteX122" fmla="*/ 1758190 w 2559614"/>
                                  <a:gd name="connsiteY122" fmla="*/ 822606 h 886156"/>
                                  <a:gd name="connsiteX123" fmla="*/ 1627561 w 2559614"/>
                                  <a:gd name="connsiteY123" fmla="*/ 829667 h 886156"/>
                                  <a:gd name="connsiteX124" fmla="*/ 1472219 w 2559614"/>
                                  <a:gd name="connsiteY124" fmla="*/ 829667 h 886156"/>
                                  <a:gd name="connsiteX125" fmla="*/ 1454567 w 2559614"/>
                                  <a:gd name="connsiteY125" fmla="*/ 826137 h 886156"/>
                                  <a:gd name="connsiteX126" fmla="*/ 1401609 w 2559614"/>
                                  <a:gd name="connsiteY126" fmla="*/ 829667 h 886156"/>
                                  <a:gd name="connsiteX127" fmla="*/ 1338060 w 2559614"/>
                                  <a:gd name="connsiteY127" fmla="*/ 836728 h 886156"/>
                                  <a:gd name="connsiteX128" fmla="*/ 1327469 w 2559614"/>
                                  <a:gd name="connsiteY128" fmla="*/ 840259 h 886156"/>
                                  <a:gd name="connsiteX129" fmla="*/ 1274511 w 2559614"/>
                                  <a:gd name="connsiteY129" fmla="*/ 847320 h 886156"/>
                                  <a:gd name="connsiteX130" fmla="*/ 1207432 w 2559614"/>
                                  <a:gd name="connsiteY130" fmla="*/ 854381 h 886156"/>
                                  <a:gd name="connsiteX131" fmla="*/ 1020315 w 2559614"/>
                                  <a:gd name="connsiteY131" fmla="*/ 850851 h 886156"/>
                                  <a:gd name="connsiteX132" fmla="*/ 1009724 w 2559614"/>
                                  <a:gd name="connsiteY132" fmla="*/ 847320 h 886156"/>
                                  <a:gd name="connsiteX133" fmla="*/ 924992 w 2559614"/>
                                  <a:gd name="connsiteY133" fmla="*/ 850851 h 886156"/>
                                  <a:gd name="connsiteX134" fmla="*/ 903809 w 2559614"/>
                                  <a:gd name="connsiteY134" fmla="*/ 854381 h 886156"/>
                                  <a:gd name="connsiteX135" fmla="*/ 889687 w 2559614"/>
                                  <a:gd name="connsiteY135" fmla="*/ 857912 h 886156"/>
                                  <a:gd name="connsiteX136" fmla="*/ 872034 w 2559614"/>
                                  <a:gd name="connsiteY136" fmla="*/ 861442 h 886156"/>
                                  <a:gd name="connsiteX137" fmla="*/ 833199 w 2559614"/>
                                  <a:gd name="connsiteY137" fmla="*/ 868503 h 886156"/>
                                  <a:gd name="connsiteX138" fmla="*/ 822607 w 2559614"/>
                                  <a:gd name="connsiteY138" fmla="*/ 872034 h 886156"/>
                                  <a:gd name="connsiteX139" fmla="*/ 804955 w 2559614"/>
                                  <a:gd name="connsiteY139" fmla="*/ 875564 h 886156"/>
                                  <a:gd name="connsiteX140" fmla="*/ 766119 w 2559614"/>
                                  <a:gd name="connsiteY140" fmla="*/ 886156 h 886156"/>
                                  <a:gd name="connsiteX141" fmla="*/ 716692 w 2559614"/>
                                  <a:gd name="connsiteY141" fmla="*/ 882625 h 886156"/>
                                  <a:gd name="connsiteX142" fmla="*/ 706100 w 2559614"/>
                                  <a:gd name="connsiteY142" fmla="*/ 879095 h 886156"/>
                                  <a:gd name="connsiteX143" fmla="*/ 677856 w 2559614"/>
                                  <a:gd name="connsiteY143" fmla="*/ 872034 h 886156"/>
                                  <a:gd name="connsiteX144" fmla="*/ 653143 w 2559614"/>
                                  <a:gd name="connsiteY144" fmla="*/ 864973 h 886156"/>
                                  <a:gd name="connsiteX145" fmla="*/ 631960 w 2559614"/>
                                  <a:gd name="connsiteY145" fmla="*/ 857912 h 886156"/>
                                  <a:gd name="connsiteX146" fmla="*/ 610777 w 2559614"/>
                                  <a:gd name="connsiteY146" fmla="*/ 847320 h 886156"/>
                                  <a:gd name="connsiteX147" fmla="*/ 600185 w 2559614"/>
                                  <a:gd name="connsiteY147" fmla="*/ 840259 h 886156"/>
                                  <a:gd name="connsiteX148" fmla="*/ 586063 w 2559614"/>
                                  <a:gd name="connsiteY148" fmla="*/ 836728 h 886156"/>
                                  <a:gd name="connsiteX149" fmla="*/ 575472 w 2559614"/>
                                  <a:gd name="connsiteY149" fmla="*/ 833198 h 886156"/>
                                  <a:gd name="connsiteX150" fmla="*/ 564880 w 2559614"/>
                                  <a:gd name="connsiteY150" fmla="*/ 826137 h 886156"/>
                                  <a:gd name="connsiteX151" fmla="*/ 554289 w 2559614"/>
                                  <a:gd name="connsiteY151" fmla="*/ 822606 h 886156"/>
                                  <a:gd name="connsiteX152" fmla="*/ 533106 w 2559614"/>
                                  <a:gd name="connsiteY152" fmla="*/ 808484 h 886156"/>
                                  <a:gd name="connsiteX153" fmla="*/ 522514 w 2559614"/>
                                  <a:gd name="connsiteY153" fmla="*/ 801423 h 886156"/>
                                  <a:gd name="connsiteX154" fmla="*/ 511923 w 2559614"/>
                                  <a:gd name="connsiteY154" fmla="*/ 797893 h 886156"/>
                                  <a:gd name="connsiteX155" fmla="*/ 490740 w 2559614"/>
                                  <a:gd name="connsiteY155" fmla="*/ 780240 h 886156"/>
                                  <a:gd name="connsiteX156" fmla="*/ 469557 w 2559614"/>
                                  <a:gd name="connsiteY156" fmla="*/ 762588 h 886156"/>
                                  <a:gd name="connsiteX157" fmla="*/ 455435 w 2559614"/>
                                  <a:gd name="connsiteY157" fmla="*/ 741405 h 886156"/>
                                  <a:gd name="connsiteX158" fmla="*/ 448374 w 2559614"/>
                                  <a:gd name="connsiteY158" fmla="*/ 730813 h 886156"/>
                                  <a:gd name="connsiteX159" fmla="*/ 427191 w 2559614"/>
                                  <a:gd name="connsiteY159" fmla="*/ 709630 h 886156"/>
                                  <a:gd name="connsiteX160" fmla="*/ 416599 w 2559614"/>
                                  <a:gd name="connsiteY160" fmla="*/ 699039 h 886156"/>
                                  <a:gd name="connsiteX161" fmla="*/ 398947 w 2559614"/>
                                  <a:gd name="connsiteY161" fmla="*/ 667264 h 886156"/>
                                  <a:gd name="connsiteX162" fmla="*/ 391886 w 2559614"/>
                                  <a:gd name="connsiteY162" fmla="*/ 656673 h 886156"/>
                                  <a:gd name="connsiteX163" fmla="*/ 384825 w 2559614"/>
                                  <a:gd name="connsiteY163" fmla="*/ 646081 h 886156"/>
                                  <a:gd name="connsiteX164" fmla="*/ 363642 w 2559614"/>
                                  <a:gd name="connsiteY164" fmla="*/ 624898 h 886156"/>
                                  <a:gd name="connsiteX165" fmla="*/ 345989 w 2559614"/>
                                  <a:gd name="connsiteY165" fmla="*/ 603715 h 886156"/>
                                  <a:gd name="connsiteX166" fmla="*/ 328337 w 2559614"/>
                                  <a:gd name="connsiteY166" fmla="*/ 571941 h 886156"/>
                                  <a:gd name="connsiteX167" fmla="*/ 307154 w 2559614"/>
                                  <a:gd name="connsiteY167" fmla="*/ 540166 h 886156"/>
                                  <a:gd name="connsiteX168" fmla="*/ 300093 w 2559614"/>
                                  <a:gd name="connsiteY168" fmla="*/ 529575 h 886156"/>
                                  <a:gd name="connsiteX169" fmla="*/ 296562 w 2559614"/>
                                  <a:gd name="connsiteY169" fmla="*/ 518983 h 886156"/>
                                  <a:gd name="connsiteX170" fmla="*/ 285971 w 2559614"/>
                                  <a:gd name="connsiteY170" fmla="*/ 515453 h 886156"/>
                                  <a:gd name="connsiteX171" fmla="*/ 261257 w 2559614"/>
                                  <a:gd name="connsiteY171" fmla="*/ 501331 h 886156"/>
                                  <a:gd name="connsiteX172" fmla="*/ 250666 w 2559614"/>
                                  <a:gd name="connsiteY172" fmla="*/ 494270 h 886156"/>
                                  <a:gd name="connsiteX173" fmla="*/ 240074 w 2559614"/>
                                  <a:gd name="connsiteY173" fmla="*/ 490739 h 886156"/>
                                  <a:gd name="connsiteX174" fmla="*/ 218891 w 2559614"/>
                                  <a:gd name="connsiteY174" fmla="*/ 476617 h 886156"/>
                                  <a:gd name="connsiteX175" fmla="*/ 208300 w 2559614"/>
                                  <a:gd name="connsiteY175" fmla="*/ 469556 h 886156"/>
                                  <a:gd name="connsiteX176" fmla="*/ 197708 w 2559614"/>
                                  <a:gd name="connsiteY176" fmla="*/ 466026 h 886156"/>
                                  <a:gd name="connsiteX177" fmla="*/ 187117 w 2559614"/>
                                  <a:gd name="connsiteY177" fmla="*/ 458965 h 886156"/>
                                  <a:gd name="connsiteX178" fmla="*/ 165934 w 2559614"/>
                                  <a:gd name="connsiteY178" fmla="*/ 451904 h 886156"/>
                                  <a:gd name="connsiteX179" fmla="*/ 144751 w 2559614"/>
                                  <a:gd name="connsiteY179" fmla="*/ 441312 h 886156"/>
                                  <a:gd name="connsiteX180" fmla="*/ 134159 w 2559614"/>
                                  <a:gd name="connsiteY180" fmla="*/ 434251 h 886156"/>
                                  <a:gd name="connsiteX181" fmla="*/ 109446 w 2559614"/>
                                  <a:gd name="connsiteY181" fmla="*/ 427190 h 886156"/>
                                  <a:gd name="connsiteX182" fmla="*/ 88263 w 2559614"/>
                                  <a:gd name="connsiteY182" fmla="*/ 420129 h 886156"/>
                                  <a:gd name="connsiteX183" fmla="*/ 77671 w 2559614"/>
                                  <a:gd name="connsiteY183" fmla="*/ 416599 h 886156"/>
                                  <a:gd name="connsiteX184" fmla="*/ 45897 w 2559614"/>
                                  <a:gd name="connsiteY184" fmla="*/ 402477 h 886156"/>
                                  <a:gd name="connsiteX185" fmla="*/ 35305 w 2559614"/>
                                  <a:gd name="connsiteY185" fmla="*/ 398946 h 886156"/>
                                  <a:gd name="connsiteX186" fmla="*/ 14122 w 2559614"/>
                                  <a:gd name="connsiteY186" fmla="*/ 384824 h 886156"/>
                                  <a:gd name="connsiteX187" fmla="*/ 10592 w 2559614"/>
                                  <a:gd name="connsiteY187" fmla="*/ 374233 h 886156"/>
                                  <a:gd name="connsiteX188" fmla="*/ 3531 w 2559614"/>
                                  <a:gd name="connsiteY188" fmla="*/ 229482 h 886156"/>
                                  <a:gd name="connsiteX189" fmla="*/ 0 w 2559614"/>
                                  <a:gd name="connsiteY189" fmla="*/ 190647 h 886156"/>
                                  <a:gd name="connsiteX190" fmla="*/ 3531 w 2559614"/>
                                  <a:gd name="connsiteY190" fmla="*/ 127098 h 886156"/>
                                  <a:gd name="connsiteX191" fmla="*/ 10592 w 2559614"/>
                                  <a:gd name="connsiteY191" fmla="*/ 91793 h 886156"/>
                                  <a:gd name="connsiteX192" fmla="*/ 21183 w 2559614"/>
                                  <a:gd name="connsiteY192" fmla="*/ 88262 h 8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F79646">
                                  <a:lumMod val="40000"/>
                                  <a:lumOff val="60000"/>
                                </a:srgbClr>
                              </a:solidFill>
                              <a:ln w="25400"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reeform 274" o:spid="_x0000_s1026" style="position:absolute;margin-left:25.45pt;margin-top:20.65pt;width:184.45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559614,88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fcd5b5" strokecolor="#fcd5b5" strokeweight="2pt">
                      <v:path arrowok="t" o:connecttype="custom" o:connectlocs="19386,88229;67853,84700;80777,81171;106625,77642;145398,70584;155091,67054;171246,63525;190633,56467;222943,45879;242329,38820;252022,35292;303719,24704;316643,21175;403882,14117;455579,7058;494352,0;568665,3529;581590,7058;600976,10587;610670,14117;781916,21175;830381,38820;849767,45879;869154,49409;882078,52937;966085,56467;991934,59996;1001627,63525;1017782,67054;1043631,74112;1063017,77642;1092097,84700;1117945,88229;1153486,95287;1166411,98817;1224570,102346;1266574,105875;1483054,105875;1495978,109404;1547676,116462;1563831,119992;1705997,123521;1725383,130579;1735077,141167;1748001,144696;1757694,148226;1767388,155284;1780312,158813;1790004,162342;1802929,165871;1812622,169401;1838471,176459;1861088,183517;1880474,190576;1890168,194104;1899860,197634;1932171,208221;1945095,215280;1964481,222338;1974175,229396;1993561,236455;2003254,239984;2022640,247043;2032334,250571;2067875,261159;2080799,268218;2090493,275276;2109879,282335;2119572,285863;2129265,292922;2168038,299980;2177731,303510;2219735,310568;2229428,314097;2271432,321155;2290818,328213;2310204,335272;2319897,338801;2332821,342330;2336053,384680;2339284,398797;2342515,423502;2339284,497614;2332821,508202;2310204,511731;2268200,522319;2258508,525848;2245583,529377;2235890,536436;2216503,543494;2206811,547023;2184193,564669;2164807,578786;2155114,585844;2145420,589373;2135728,596431;2116341,603489;2096955,617606;2087261,624665;2029102,645840;2000023,656428;1990330,659956;1980637,670544;1961251,677603;1938633,688190;1919247,695248;1890168,716423;1880474,723482;1870781,730540;1854625,744657;1838471,758773;1828777,765832;1809391,772890;1799698,776420;1754463,790537;1735077,794065;1709229,801124;1683380,804653;1670456,808182;1651070,811712;1641376,815240;1621990,818770;1609065,822299;1489516,829357;1347350,829357;1331195,825828;1282729,829357;1224570,836415;1214877,839945;1166411,847004;1105021,854062;933775,850533;924082,847004;846537,850533;827151,854062;814226,857592;798071,861120;762529,868179;752836,871708;736681,875237;701139,885825;655904,882295;646211,878767;620362,871708;597745,864650;578359,857592;558973,847004;549279,839945;536355,836415;526662,832887;516969,825828;507276,822299;487890,808182;478196,801124;468503,797595;449117,779949;429731,762303;416806,741128;410344,730540;390958,709365;381264,698778;365109,667015;358647,656428;352185,645840;332799,624665;316643,603489;300488,571727;281102,539964;274640,529377;271408,518789;261716,515260;239098,501144;229405,494085;219712,490556;200325,476439;190633,469381;180939,465852;171246,458794;151860,451735;132474,441147;122780,434089;100163,427030;80777,419972;71083,416443;42004,402327;32311,398797;12924,384680;9694,374093;3232,229396;0,190576;3232,127051;9694,91759;19386,88229" o:connectangles="0,0,0,0,0,0,0,0,0,0,0,0,0,0,0,0,0,0,0,0,0,0,0,0,0,0,0,0,0,0,0,0,0,0,0,0,0,0,0,0,0,0,0,0,0,0,0,0,0,0,0,0,0,0,0,0,0,0,0,0,0,0,0,0,0,0,0,0,0,0,0,0,0,0,0,0,0,0,0,0,0,0,0,0,0,0,0,0,0,0,0,0,0,0,0,0,0,0,0,0,0,0,0,0,0,0,0,0,0,0,0,0,0,0,0,0,0,0,0,0,0,0,0,0,0,0,0,0,0,0,0,0,0,0,0,0,0,0,0,0,0,0,0,0,0,0,0,0,0,0,0,0,0,0,0,0,0,0,0,0,0,0,0,0,0,0,0,0,0,0,0,0,0,0,0,0,0,0,0,0,0,0,0,0,0,0,0,0,0,0,0,0,0"/>
                    </v:shape>
                  </w:pict>
                </mc:Fallback>
              </mc:AlternateContent>
            </w:r>
            <w:r>
              <w:rPr>
                <w:noProof/>
                <w:lang w:bidi="ar-SA"/>
              </w:rPr>
              <mc:AlternateContent>
                <mc:Choice Requires="wps">
                  <w:drawing>
                    <wp:anchor distT="0" distB="0" distL="114300" distR="114300" simplePos="0" relativeHeight="251667456" behindDoc="0" locked="0" layoutInCell="1" allowOverlap="1" wp14:anchorId="24759733" wp14:editId="4E364B48">
                      <wp:simplePos x="0" y="0"/>
                      <wp:positionH relativeFrom="column">
                        <wp:posOffset>42545</wp:posOffset>
                      </wp:positionH>
                      <wp:positionV relativeFrom="paragraph">
                        <wp:posOffset>506730</wp:posOffset>
                      </wp:positionV>
                      <wp:extent cx="2917190" cy="235585"/>
                      <wp:effectExtent l="0" t="0" r="16510" b="3111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7190" cy="23558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9.9pt" to="233.0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" strokecolor="red">
                      <o:lock v:ext="edit" shapetype="f"/>
                    </v:line>
                  </w:pict>
                </mc:Fallback>
              </mc:AlternateContent>
            </w:r>
            <w:r>
              <w:rPr>
                <w:noProof/>
                <w:lang w:bidi="ar-SA"/>
              </w:rPr>
              <mc:AlternateContent>
                <mc:Choice Requires="wps">
                  <w:drawing>
                    <wp:anchor distT="0" distB="0" distL="114300" distR="114300" simplePos="0" relativeHeight="251660288" behindDoc="0" locked="0" layoutInCell="1" allowOverlap="1" wp14:anchorId="13F2D523" wp14:editId="65E75A3B">
                      <wp:simplePos x="0" y="0"/>
                      <wp:positionH relativeFrom="column">
                        <wp:posOffset>205105</wp:posOffset>
                      </wp:positionH>
                      <wp:positionV relativeFrom="paragraph">
                        <wp:posOffset>91440</wp:posOffset>
                      </wp:positionV>
                      <wp:extent cx="2538095" cy="1374140"/>
                      <wp:effectExtent l="0" t="0" r="14605" b="1651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1374140"/>
                              </a:xfrm>
                              <a:prstGeom prst="rect">
                                <a:avLst/>
                              </a:prstGeom>
                              <a:solidFill>
                                <a:srgbClr val="00B0F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16.15pt;margin-top:7.2pt;width:199.85pt;height:10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" fillcolor="#00b0f0" strokecolor="#385d8a" strokeweight=".25pt">
                      <v:path arrowok="t"/>
                    </v:rect>
                  </w:pict>
                </mc:Fallback>
              </mc:AlternateContent>
            </w:r>
          </w:p>
        </w:tc>
        <w:tc>
          <w:tcPr>
            <w:tcW w:w="4786" w:type="dxa"/>
            <w:tcBorders>
              <w:bottom w:val="single" w:sz="4" w:space="0" w:color="auto"/>
            </w:tcBorders>
            <w:shd w:val="clear" w:color="auto" w:fill="auto"/>
          </w:tcPr>
          <w:p w:rsidR="00BF0382" w:rsidRDefault="00BF0382" w:rsidP="00BB474C">
            <w:pPr>
              <w:jc w:val="center"/>
              <w:rPr>
                <w:b/>
                <w:sz w:val="23"/>
                <w:szCs w:val="23"/>
              </w:rPr>
            </w:pPr>
            <w:r>
              <w:rPr>
                <w:noProof/>
                <w:lang w:bidi="ar-SA"/>
              </w:rPr>
              <w:drawing>
                <wp:inline distT="0" distB="0" distL="0" distR="0" wp14:anchorId="777D8450" wp14:editId="2549ED12">
                  <wp:extent cx="2266950" cy="1461770"/>
                  <wp:effectExtent l="0" t="0" r="0" b="0"/>
                  <wp:docPr id="74"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6950" cy="1461770"/>
                          </a:xfrm>
                          <a:prstGeom prst="rect">
                            <a:avLst/>
                          </a:prstGeom>
                          <a:noFill/>
                          <a:ln>
                            <a:noFill/>
                          </a:ln>
                        </pic:spPr>
                      </pic:pic>
                    </a:graphicData>
                  </a:graphic>
                </wp:inline>
              </w:drawing>
            </w:r>
          </w:p>
        </w:tc>
      </w:tr>
      <w:tr w:rsidR="00BF0382" w:rsidTr="00BB474C">
        <w:tc>
          <w:tcPr>
            <w:tcW w:w="9622" w:type="dxa"/>
            <w:gridSpan w:val="2"/>
            <w:tcBorders>
              <w:top w:val="single" w:sz="4" w:space="0" w:color="auto"/>
            </w:tcBorders>
            <w:shd w:val="clear" w:color="auto" w:fill="auto"/>
          </w:tcPr>
          <w:p w:rsidR="00BF0382" w:rsidRDefault="00BF0382" w:rsidP="00BB474C">
            <w:pPr>
              <w:spacing w:before="120"/>
              <w:ind w:left="1920" w:hanging="240"/>
              <w:rPr>
                <w:b/>
              </w:rPr>
            </w:pPr>
            <w:r>
              <w:rPr>
                <w:b/>
              </w:rPr>
              <w:t>Horizon assignment – Map view</w:t>
            </w:r>
          </w:p>
        </w:tc>
      </w:tr>
      <w:tr w:rsidR="00BF0382" w:rsidTr="00BB474C">
        <w:tc>
          <w:tcPr>
            <w:tcW w:w="4836" w:type="dxa"/>
            <w:shd w:val="clear" w:color="auto" w:fill="auto"/>
          </w:tcPr>
          <w:p w:rsidR="00BF0382" w:rsidRDefault="00BF0382" w:rsidP="00BB474C">
            <w:pPr>
              <w:ind w:left="1920" w:hanging="240"/>
            </w:pPr>
            <w:r>
              <w:t>Example 2 – Horizon 1</w:t>
            </w:r>
          </w:p>
        </w:tc>
        <w:tc>
          <w:tcPr>
            <w:tcW w:w="4786" w:type="dxa"/>
            <w:shd w:val="clear" w:color="auto" w:fill="auto"/>
          </w:tcPr>
          <w:p w:rsidR="00BF0382" w:rsidRDefault="00BF0382" w:rsidP="00BB474C">
            <w:pPr>
              <w:ind w:left="1920" w:hanging="240"/>
            </w:pPr>
            <w:r>
              <w:t>Example 2 – Horizon 3</w:t>
            </w:r>
          </w:p>
        </w:tc>
      </w:tr>
      <w:tr w:rsidR="00BF0382" w:rsidTr="00BB474C">
        <w:tc>
          <w:tcPr>
            <w:tcW w:w="4836" w:type="dxa"/>
            <w:shd w:val="clear" w:color="auto" w:fill="auto"/>
          </w:tcPr>
          <w:p w:rsidR="00BF0382" w:rsidRDefault="00BF0382" w:rsidP="00BB474C">
            <w:pPr>
              <w:spacing w:before="120" w:line="276" w:lineRule="auto"/>
              <w:jc w:val="center"/>
              <w:rPr>
                <w:b/>
              </w:rPr>
            </w:pPr>
            <w:r>
              <w:rPr>
                <w:noProof/>
                <w:lang w:bidi="ar-SA"/>
              </w:rPr>
              <mc:AlternateContent>
                <mc:Choice Requires="wpg">
                  <w:drawing>
                    <wp:inline distT="0" distB="0" distL="0" distR="0" wp14:anchorId="201896B2" wp14:editId="6A59E541">
                      <wp:extent cx="2837815" cy="1374140"/>
                      <wp:effectExtent l="5080" t="13970" r="5080" b="1206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815" cy="1374140"/>
                                <a:chOff x="0" y="0"/>
                                <a:chExt cx="29171" cy="13744"/>
                              </a:xfrm>
                            </wpg:grpSpPr>
                            <wps:wsp>
                              <wps:cNvPr id="262" name="Rechteck 127"/>
                              <wps:cNvSpPr>
                                <a:spLocks noChangeArrowheads="1"/>
                              </wps:cNvSpPr>
                              <wps:spPr bwMode="auto">
                                <a:xfrm>
                                  <a:off x="1626" y="0"/>
                                  <a:ext cx="25381" cy="13744"/>
                                </a:xfrm>
                                <a:prstGeom prst="rect">
                                  <a:avLst/>
                                </a:prstGeom>
                                <a:solidFill>
                                  <a:srgbClr val="00B0F0"/>
                                </a:solidFill>
                                <a:ln w="3175">
                                  <a:solidFill>
                                    <a:srgbClr val="385D8A"/>
                                  </a:solidFill>
                                  <a:miter lim="800000"/>
                                  <a:headEnd/>
                                  <a:tailEnd/>
                                </a:ln>
                              </wps:spPr>
                              <wps:bodyPr rot="0" vert="horz" wrap="square" lIns="91440" tIns="45720" rIns="91440" bIns="45720" anchor="ctr" anchorCtr="0" upright="1">
                                <a:noAutofit/>
                              </wps:bodyPr>
                            </wps:wsp>
                            <wps:wsp>
                              <wps:cNvPr id="269" name="Freihandform 128"/>
                              <wps:cNvSpPr>
                                <a:spLocks/>
                              </wps:cNvSpPr>
                              <wps:spPr bwMode="auto">
                                <a:xfrm>
                                  <a:off x="2929" y="1682"/>
                                  <a:ext cx="23070"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FCD5B5"/>
                                </a:solidFill>
                                <a:ln w="25400">
                                  <a:solidFill>
                                    <a:srgbClr val="FCD5B5"/>
                                  </a:solidFill>
                                  <a:round/>
                                  <a:headEnd/>
                                  <a:tailEnd/>
                                </a:ln>
                              </wps:spPr>
                              <wps:bodyPr rot="0" vert="horz" wrap="square" lIns="91440" tIns="45720" rIns="91440" bIns="45720" anchor="ctr" anchorCtr="0" upright="1">
                                <a:noAutofit/>
                              </wps:bodyPr>
                            </wps:wsp>
                            <wps:wsp>
                              <wps:cNvPr id="271" name="Gerade Verbindung 129"/>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1" o:spid="_x0000_s1026" style="width:223.4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">
                      <v:rect id="Rechteck 127"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MMA&#10;AADcAAAADwAAAGRycy9kb3ducmV2LnhtbESPzYrCQBCE7wu+w9CCt3ViWMySdRQRFvbiwZ+D3ppM&#10;mwQzPSHTatandwTBY1FVX1GzRe8adaUu1J4NTMYJKOLC25pLA/vd7+c3qCDIFhvPZOCfAizmg48Z&#10;5tbfeEPXrZQqQjjkaKASaXOtQ1GRwzD2LXH0Tr5zKFF2pbYd3iLcNTpNkql2WHNcqLClVUXFeXtx&#10;BiS7f2VuItbp034t68Nxt8laY0bDfvkDSqiXd/jV/rMG0mkKzzPxCO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MMAAADcAAAADwAAAAAAAAAAAAAAAACYAgAAZHJzL2Rv&#10;d25yZXYueG1sUEsFBgAAAAAEAAQA9QAAAIgDAAAAAA==&#10;" fillcolor="#00b0f0" strokecolor="#385d8a" strokeweight=".25pt"/>
                      <v:shape id="Freihandform 128" o:spid="_x0000_s1028" style="position:absolute;left:2929;top:1682;width:23070;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d8MA&#10;AADcAAAADwAAAGRycy9kb3ducmV2LnhtbESP3WoCMRSE74W+QzgF7zRbRamrUUpFUAsWfx7gmJz9&#10;oZuTZRN1fXtTELwcZuYbZrZobSWu1PjSsYKPfgKCWDtTcq7gdFz1PkH4gGywckwK7uRhMX/rzDA1&#10;7sZ7uh5CLiKEfYoKihDqVEqvC7Lo+64mjl7mGoshyiaXpsFbhNtKDpJkLC2WHBcKrOm7IP13uFgF&#10;l51eZtvsh6qzD6x/N5t2uBop1X1vv6YgArXhFX6210bBYDyB/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d8MAAADcAAAADwAAAAAAAAAAAAAAAACYAgAAZHJzL2Rv&#10;d25yZXYueG1sUEsFBgAAAAAEAAQA9QAAAIgD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fcd5b5" strokecolor="#fcd5b5" strokeweight="2pt">
                        <v:path arrowok="t" o:connecttype="custom" o:connectlocs="1050,776;1877,565;2991,247;4869,0;6014,141;8560,494;9864,635;10755,847;12060,1024;15242,1165;17088,1412;17533,1588;18106,1765;18711,1977;19442,2294;20015,2506;20779,2824;21447,3035;22561,3282;23006,3847;22975,5082;22115,5294;21511,5647;21033,5965;19983,6459;19315,6777;18520,7235;18011,7659;17088,7941;16260,8118;14669,8294;12060,8365;9196,8506;8019,8577;7255,8753;6110,8718;5410,8400;4996,8224;4423,7800;3850,7094;3468,6459;2768,5400;2355,5012;1877,4694;1305,4412;700,4165;95,3741;95,918" o:connectangles="0,0,0,0,0,0,0,0,0,0,0,0,0,0,0,0,0,0,0,0,0,0,0,0,0,0,0,0,0,0,0,0,0,0,0,0,0,0,0,0,0,0,0,0,0,0,0,0"/>
                      </v:shape>
                      <v:line id="Gerade Verbindung 129"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F18UAAADcAAAADwAAAGRycy9kb3ducmV2LnhtbESPQWuDQBSE74H+h+UVcourHppgswkl&#10;UChemhhDe3y4r2rivhV3q/bfdwuFHIeZ+YbZ7mfTiZEG11pWkEQxCOLK6pZrBeX5dbUB4Tyyxs4y&#10;KfghB/vdw2KLmbYTn2gsfC0ChF2GChrv+0xKVzVk0EW2Jw7elx0M+iCHWuoBpwA3nUzj+EkabDks&#10;NNjToaHqVnwbBZ/na/5xKMa8jHvpTJsn78fxotTycX55BuFp9vfwf/tNK0jXC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vF18UAAADcAAAADwAAAAAAAAAA&#10;AAAAAAChAgAAZHJzL2Rvd25yZXYueG1sUEsFBgAAAAAEAAQA+QAAAJMDAAAAAA==&#10;" strokecolor="red"/>
                      <w10:anchorlock/>
                    </v:group>
                  </w:pict>
                </mc:Fallback>
              </mc:AlternateContent>
            </w:r>
          </w:p>
        </w:tc>
        <w:tc>
          <w:tcPr>
            <w:tcW w:w="4786" w:type="dxa"/>
            <w:shd w:val="clear" w:color="auto" w:fill="auto"/>
          </w:tcPr>
          <w:p w:rsidR="00BF0382" w:rsidRDefault="00BF0382" w:rsidP="00BB474C">
            <w:pPr>
              <w:spacing w:before="120" w:line="276" w:lineRule="auto"/>
              <w:jc w:val="center"/>
              <w:rPr>
                <w:b/>
              </w:rPr>
            </w:pPr>
            <w:r>
              <w:rPr>
                <w:noProof/>
                <w:lang w:bidi="ar-SA"/>
              </w:rPr>
              <mc:AlternateContent>
                <mc:Choice Requires="wpg">
                  <w:drawing>
                    <wp:inline distT="0" distB="0" distL="0" distR="0" wp14:anchorId="15BCF078" wp14:editId="0C61D6C2">
                      <wp:extent cx="2877185" cy="1374140"/>
                      <wp:effectExtent l="12065" t="13970" r="6350" b="1206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1374140"/>
                                <a:chOff x="0" y="0"/>
                                <a:chExt cx="29171" cy="13744"/>
                              </a:xfrm>
                            </wpg:grpSpPr>
                            <wps:wsp>
                              <wps:cNvPr id="58" name="Rechteck 136"/>
                              <wps:cNvSpPr>
                                <a:spLocks noChangeArrowheads="1"/>
                              </wps:cNvSpPr>
                              <wps:spPr bwMode="auto">
                                <a:xfrm>
                                  <a:off x="1626" y="0"/>
                                  <a:ext cx="25381" cy="13744"/>
                                </a:xfrm>
                                <a:prstGeom prst="rect">
                                  <a:avLst/>
                                </a:prstGeom>
                                <a:noFill/>
                                <a:ln w="31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Freihandform 137"/>
                              <wps:cNvSpPr>
                                <a:spLocks/>
                              </wps:cNvSpPr>
                              <wps:spPr bwMode="auto">
                                <a:xfrm>
                                  <a:off x="3190" y="1682"/>
                                  <a:ext cx="22574"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006600"/>
                                </a:solidFill>
                                <a:ln w="25400">
                                  <a:solidFill>
                                    <a:srgbClr val="006600"/>
                                  </a:solidFill>
                                  <a:round/>
                                  <a:headEnd/>
                                  <a:tailEnd/>
                                </a:ln>
                              </wps:spPr>
                              <wps:bodyPr rot="0" vert="horz" wrap="square" lIns="91440" tIns="45720" rIns="91440" bIns="45720" anchor="ctr" anchorCtr="0" upright="1">
                                <a:noAutofit/>
                              </wps:bodyPr>
                            </wps:wsp>
                            <wps:wsp>
                              <wps:cNvPr id="60" name="Gerade Verbindung 138"/>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7" o:spid="_x0000_s1026" style="width:226.5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">
                      <v:rect id="Rechteck 136"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j3sIA&#10;AADbAAAADwAAAGRycy9kb3ducmV2LnhtbERPy4rCMBTdC/5DuIKbYUwVlFqNIoIP0IWPYdZ3mmtb&#10;bG5KE2udr58sBlweznu+bE0pGqpdYVnBcBCBIE6tLjhT8HXdfMYgnEfWWFomBS9ysFx0O3NMtH3y&#10;mZqLz0QIYZeggtz7KpHSpTkZdANbEQfuZmuDPsA6k7rGZwg3pRxF0UQaLDg05FjROqf0fnkYBY+p&#10;P2x/D6f9uPnY7V7fP/HUVEel+r12NQPhqfVv8b97rxWMw9jw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PewgAAANsAAAAPAAAAAAAAAAAAAAAAAJgCAABkcnMvZG93&#10;bnJldi54bWxQSwUGAAAAAAQABAD1AAAAhwMAAAAA&#10;" filled="f" strokecolor="#385d8a" strokeweight=".25pt"/>
                      <v:shape id="Freihandform 137" o:spid="_x0000_s1028" style="position:absolute;left:3190;top:1682;width:22574;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O+8MA&#10;AADbAAAADwAAAGRycy9kb3ducmV2LnhtbESP3WoCMRSE7wu+QzhC72rWwvqzGkWEQisIVn2A4+a4&#10;WdycLEmqq09vCoVeDjPzDTNfdrYRV/KhdqxgOMhAEJdO11wpOB4+3iYgQkTW2DgmBXcKsFz0XuZY&#10;aHfjb7ruYyUShEOBCkyMbSFlKA1ZDAPXEifv7LzFmKSvpPZ4S3DbyPcsG0mLNacFgy2tDZWX/Y9V&#10;UJuvsR9PTri57MKWHqc2r3a5Uq/9bjUDEamL/+G/9qdWkE/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O+8MAAADbAAAADwAAAAAAAAAAAAAAAACYAgAAZHJzL2Rv&#10;d25yZXYueG1sUEsFBgAAAAAEAAQA9QAAAIgD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060" strokecolor="#060" strokeweight="2pt">
                        <v:path arrowok="t" o:connecttype="custom" o:connectlocs="1028,776;1837,565;2927,247;4764,0;5885,141;8376,494;9652,635;10524,847;11801,1024;14914,1165;16720,1412;17156,1588;17717,1765;18308,1977;19024,2294;19585,2506;20332,2824;20986,3035;22076,3282;22512,3847;22481,5082;21640,5294;21048,5647;20581,5965;19554,6459;18900,6777;18121,7235;17623,7659;16720,7941;15911,8118;14354,8294;11801,8365;8998,8506;7846,8577;7099,8753;5978,8718;5293,8400;4888,8224;4328,7800;3768,7094;3394,6459;2709,5400;2304,5012;1837,4694;1277,4412;685,4165;93,3741;93,918" o:connectangles="0,0,0,0,0,0,0,0,0,0,0,0,0,0,0,0,0,0,0,0,0,0,0,0,0,0,0,0,0,0,0,0,0,0,0,0,0,0,0,0,0,0,0,0,0,0,0,0"/>
                      </v:shape>
                      <v:line id="Gerade Verbindung 138"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ajr4AAADbAAAADwAAAGRycy9kb3ducmV2LnhtbERPy6rCMBDdC/5DGMGdprqQSzWKCIJ0&#10;o1ZFl0MzttVmUppY69/fLASXh/NerDpTiZYaV1pWMBlHIIgzq0vOFZxP29EfCOeRNVaWScGHHKyW&#10;/d4CY23ffKQ29bkIIexiVFB4X8dSuqwgg25sa+LA3W1j0AfY5FI3+A7hppLTKJpJgyWHhgJr2hSU&#10;PdOXUXA7PZLrJm2Tc1RLZ8pksj+0F6WGg249B+Gp8z/x173TCmZhffgSfoBc/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oVqOvgAAANsAAAAPAAAAAAAAAAAAAAAAAKEC&#10;AABkcnMvZG93bnJldi54bWxQSwUGAAAAAAQABAD5AAAAjAMAAAAA&#10;" strokecolor="red"/>
                      <w10:anchorlock/>
                    </v:group>
                  </w:pict>
                </mc:Fallback>
              </mc:AlternateContent>
            </w:r>
          </w:p>
        </w:tc>
      </w:tr>
      <w:tr w:rsidR="00BF0382" w:rsidTr="00BB474C">
        <w:tc>
          <w:tcPr>
            <w:tcW w:w="4836" w:type="dxa"/>
            <w:shd w:val="clear" w:color="auto" w:fill="auto"/>
          </w:tcPr>
          <w:p w:rsidR="00BF0382" w:rsidRDefault="00BF0382" w:rsidP="00BB474C">
            <w:pPr>
              <w:ind w:left="1920" w:hanging="240"/>
            </w:pPr>
            <w:r>
              <w:t>Example 2 – Horizon 2</w:t>
            </w:r>
          </w:p>
        </w:tc>
        <w:tc>
          <w:tcPr>
            <w:tcW w:w="4786" w:type="dxa"/>
            <w:shd w:val="clear" w:color="auto" w:fill="auto"/>
          </w:tcPr>
          <w:p w:rsidR="00BF0382" w:rsidRDefault="00BF0382" w:rsidP="00BB474C"/>
        </w:tc>
      </w:tr>
      <w:tr w:rsidR="00BF0382" w:rsidTr="00BB474C">
        <w:tc>
          <w:tcPr>
            <w:tcW w:w="4836" w:type="dxa"/>
            <w:tcBorders>
              <w:bottom w:val="single" w:sz="4" w:space="0" w:color="auto"/>
            </w:tcBorders>
            <w:shd w:val="clear" w:color="auto" w:fill="auto"/>
          </w:tcPr>
          <w:p w:rsidR="00BF0382" w:rsidRDefault="00BF0382" w:rsidP="00BB474C">
            <w:pPr>
              <w:spacing w:before="120" w:line="276" w:lineRule="auto"/>
              <w:rPr>
                <w:b/>
              </w:rPr>
            </w:pPr>
            <w:r>
              <w:rPr>
                <w:noProof/>
                <w:lang w:bidi="ar-SA"/>
              </w:rPr>
              <mc:AlternateContent>
                <mc:Choice Requires="wpg">
                  <w:drawing>
                    <wp:inline distT="0" distB="0" distL="0" distR="0" wp14:anchorId="20787591" wp14:editId="48431225">
                      <wp:extent cx="2916555" cy="1374140"/>
                      <wp:effectExtent l="5080" t="5715" r="12065" b="1079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1374140"/>
                                <a:chOff x="0" y="0"/>
                                <a:chExt cx="29171" cy="13744"/>
                              </a:xfrm>
                            </wpg:grpSpPr>
                            <wps:wsp>
                              <wps:cNvPr id="54" name="Rechteck 132"/>
                              <wps:cNvSpPr>
                                <a:spLocks noChangeArrowheads="1"/>
                              </wps:cNvSpPr>
                              <wps:spPr bwMode="auto">
                                <a:xfrm>
                                  <a:off x="1626" y="0"/>
                                  <a:ext cx="25381" cy="13744"/>
                                </a:xfrm>
                                <a:prstGeom prst="rect">
                                  <a:avLst/>
                                </a:prstGeom>
                                <a:solidFill>
                                  <a:srgbClr val="006600"/>
                                </a:solidFill>
                                <a:ln w="3175">
                                  <a:solidFill>
                                    <a:srgbClr val="385D8A"/>
                                  </a:solidFill>
                                  <a:miter lim="800000"/>
                                  <a:headEnd/>
                                  <a:tailEnd/>
                                </a:ln>
                              </wps:spPr>
                              <wps:bodyPr rot="0" vert="horz" wrap="square" lIns="91440" tIns="45720" rIns="91440" bIns="45720" anchor="ctr" anchorCtr="0" upright="1">
                                <a:noAutofit/>
                              </wps:bodyPr>
                            </wps:wsp>
                            <wps:wsp>
                              <wps:cNvPr id="55" name="Freihandform 133"/>
                              <wps:cNvSpPr>
                                <a:spLocks/>
                              </wps:cNvSpPr>
                              <wps:spPr bwMode="auto">
                                <a:xfrm>
                                  <a:off x="3206" y="1682"/>
                                  <a:ext cx="22805"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00B0F0"/>
                                </a:solidFill>
                                <a:ln w="25400">
                                  <a:solidFill>
                                    <a:srgbClr val="00B0F0"/>
                                  </a:solidFill>
                                  <a:round/>
                                  <a:headEnd/>
                                  <a:tailEnd/>
                                </a:ln>
                              </wps:spPr>
                              <wps:bodyPr rot="0" vert="horz" wrap="square" lIns="91440" tIns="45720" rIns="91440" bIns="45720" anchor="ctr" anchorCtr="0" upright="1">
                                <a:noAutofit/>
                              </wps:bodyPr>
                            </wps:wsp>
                            <wps:wsp>
                              <wps:cNvPr id="56" name="Gerade Verbindung 134"/>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 o:spid="_x0000_s1026" style="width:229.6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">
                      <v:rect id="Rechteck 132"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R8MA&#10;AADbAAAADwAAAGRycy9kb3ducmV2LnhtbESPQWsCMRSE74L/ITzBm2YrtZatUURa8GLB6KHHR/K6&#10;u3TzsiSpu/57IxR6HGbmG2a9HVwrrhRi41nB07wAQWy8bbhScDl/zF5BxIRssfVMCm4UYbsZj9ZY&#10;Wt/zia46VSJDOJaooE6pK6WMpiaHce474ux9++AwZRkqaQP2Ge5auSiKF+mw4bxQY0f7msyP/nUK&#10;VqtzClq/O22+XP95Ou4Gs+yVmk6G3RuIREP6D/+1D1bB8hke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r+R8MAAADbAAAADwAAAAAAAAAAAAAAAACYAgAAZHJzL2Rv&#10;d25yZXYueG1sUEsFBgAAAAAEAAQA9QAAAIgDAAAAAA==&#10;" fillcolor="#060" strokecolor="#385d8a" strokeweight=".25pt"/>
                      <v:shape id="Freihandform 133" o:spid="_x0000_s1028" style="position:absolute;left:3206;top:1682;width:22805;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rbsQA&#10;AADbAAAADwAAAGRycy9kb3ducmV2LnhtbESP0WoCMRRE34X+Q7gFX0SzCopsjSItoi9Fu/oB183t&#10;ZnVzs2yirv16Iwh9HGbmDDNbtLYSV2p86VjBcJCAIM6dLrlQcNiv+lMQPiBrrByTgjt5WMzfOjNM&#10;tbvxD12zUIgIYZ+iAhNCnUrpc0MW/cDVxNH7dY3FEGVTSN3gLcJtJUdJMpEWS44LBmv6NJSfs4tV&#10;sJvmf8fz9zocjr0V9e7Z1py+tkp139vlB4hAbfgPv9obrWA8hue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a27EAAAA2wAAAA8AAAAAAAAAAAAAAAAAmAIAAGRycy9k&#10;b3ducmV2LnhtbFBLBQYAAAAABAAEAPUAAACJAw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00b0f0" strokecolor="#00b0f0" strokeweight="2pt">
                        <v:path arrowok="t" o:connecttype="custom" o:connectlocs="1038,776;1856,565;2957,247;4813,0;5945,141;8461,494;9751,635;10632,847;11922,1024;15067,1165;16891,1412;17332,1588;17898,1765;18496,1977;19219,2294;19785,2506;20540,2824;21201,3035;22302,3282;22742,3847;22711,5082;21861,5294;21264,5647;20792,5965;19754,6459;19093,6777;18307,7235;17804,7659;16891,7941;16074,8118;14501,8294;11922,8365;9091,8506;7927,8577;7172,8753;6039,8718;5347,8400;4938,8224;4372,7800;3806,7094;3429,6459;2737,5400;2328,5012;1856,4694;1290,4412;692,4165;94,3741;94,918" o:connectangles="0,0,0,0,0,0,0,0,0,0,0,0,0,0,0,0,0,0,0,0,0,0,0,0,0,0,0,0,0,0,0,0,0,0,0,0,0,0,0,0,0,0,0,0,0,0,0,0"/>
                      </v:shape>
                      <v:line id="Gerade Verbindung 134"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3MQAAADbAAAADwAAAGRycy9kb3ducmV2LnhtbESPQWvCQBSE7wX/w/KE3ppNCpU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K3cxAAAANsAAAAPAAAAAAAAAAAA&#10;AAAAAKECAABkcnMvZG93bnJldi54bWxQSwUGAAAAAAQABAD5AAAAkgMAAAAA&#10;" strokecolor="red"/>
                      <w10:anchorlock/>
                    </v:group>
                  </w:pict>
                </mc:Fallback>
              </mc:AlternateContent>
            </w:r>
          </w:p>
        </w:tc>
        <w:tc>
          <w:tcPr>
            <w:tcW w:w="4786" w:type="dxa"/>
            <w:tcBorders>
              <w:bottom w:val="single" w:sz="4" w:space="0" w:color="auto"/>
            </w:tcBorders>
            <w:shd w:val="clear" w:color="auto" w:fill="auto"/>
          </w:tcPr>
          <w:p w:rsidR="00BF0382" w:rsidRDefault="00BF0382" w:rsidP="00BB474C">
            <w:pPr>
              <w:spacing w:before="120" w:line="276" w:lineRule="auto"/>
              <w:rPr>
                <w:b/>
              </w:rPr>
            </w:pPr>
          </w:p>
          <w:p w:rsidR="00BF0382" w:rsidRDefault="00BF0382" w:rsidP="00BB474C">
            <w:pPr>
              <w:spacing w:before="120" w:line="276" w:lineRule="auto"/>
              <w:rPr>
                <w:b/>
              </w:rPr>
            </w:pPr>
          </w:p>
        </w:tc>
      </w:tr>
      <w:tr w:rsidR="00BF0382" w:rsidTr="00BB474C">
        <w:tc>
          <w:tcPr>
            <w:tcW w:w="4836" w:type="dxa"/>
            <w:tcBorders>
              <w:bottom w:val="single" w:sz="4" w:space="0" w:color="auto"/>
            </w:tcBorders>
            <w:shd w:val="clear" w:color="auto" w:fill="auto"/>
          </w:tcPr>
          <w:p w:rsidR="00BF0382" w:rsidRDefault="00BF0382" w:rsidP="00BB474C">
            <w:pPr>
              <w:spacing w:before="120"/>
              <w:rPr>
                <w:noProof/>
                <w:sz w:val="23"/>
                <w:szCs w:val="23"/>
                <w:lang w:eastAsia="en-GB"/>
              </w:rPr>
            </w:pPr>
          </w:p>
        </w:tc>
        <w:tc>
          <w:tcPr>
            <w:tcW w:w="4786" w:type="dxa"/>
            <w:tcBorders>
              <w:bottom w:val="single" w:sz="4" w:space="0" w:color="auto"/>
            </w:tcBorders>
            <w:shd w:val="clear" w:color="auto" w:fill="auto"/>
          </w:tcPr>
          <w:p w:rsidR="00BF0382" w:rsidRDefault="00BF0382" w:rsidP="00BB474C">
            <w:pPr>
              <w:spacing w:before="120"/>
              <w:rPr>
                <w:b/>
              </w:rPr>
            </w:pPr>
          </w:p>
        </w:tc>
      </w:tr>
      <w:tr w:rsidR="00BF0382" w:rsidTr="00BB474C">
        <w:tc>
          <w:tcPr>
            <w:tcW w:w="9622" w:type="dxa"/>
            <w:gridSpan w:val="2"/>
            <w:tcBorders>
              <w:top w:val="single" w:sz="4" w:space="0" w:color="auto"/>
            </w:tcBorders>
            <w:shd w:val="clear" w:color="auto" w:fill="auto"/>
          </w:tcPr>
          <w:p w:rsidR="00BF0382" w:rsidRDefault="00BF0382" w:rsidP="00BB474C">
            <w:pPr>
              <w:spacing w:before="120"/>
              <w:ind w:left="1920" w:hanging="240"/>
              <w:rPr>
                <w:b/>
                <w:noProof/>
                <w:lang w:eastAsia="de-AT"/>
              </w:rPr>
            </w:pPr>
            <w:r>
              <w:rPr>
                <w:b/>
                <w:noProof/>
                <w:lang w:eastAsia="de-AT"/>
              </w:rPr>
              <w:t>Horizon assignment – Vertical subsequential arrangement</w:t>
            </w:r>
          </w:p>
        </w:tc>
      </w:tr>
      <w:tr w:rsidR="00BF0382" w:rsidTr="00BB474C">
        <w:tc>
          <w:tcPr>
            <w:tcW w:w="9622" w:type="dxa"/>
            <w:gridSpan w:val="2"/>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539"/>
              <w:gridCol w:w="3095"/>
              <w:gridCol w:w="477"/>
            </w:tblGrid>
            <w:tr w:rsidR="00BF0382" w:rsidTr="00BB474C">
              <w:trPr>
                <w:jc w:val="center"/>
              </w:trPr>
              <w:tc>
                <w:tcPr>
                  <w:tcW w:w="1565" w:type="dxa"/>
                  <w:shd w:val="clear" w:color="auto" w:fill="auto"/>
                </w:tcPr>
                <w:p w:rsidR="00BF0382" w:rsidRDefault="00BF0382" w:rsidP="00BB474C">
                  <w:pPr>
                    <w:ind w:left="12"/>
                    <w:jc w:val="center"/>
                    <w:rPr>
                      <w:b/>
                    </w:rPr>
                  </w:pPr>
                  <w:r>
                    <w:rPr>
                      <w:b/>
                    </w:rPr>
                    <w:t>Horizon 1</w:t>
                  </w:r>
                </w:p>
              </w:tc>
              <w:tc>
                <w:tcPr>
                  <w:tcW w:w="539" w:type="dxa"/>
                  <w:shd w:val="clear" w:color="auto" w:fill="00B0F0"/>
                </w:tcPr>
                <w:p w:rsidR="00BF0382" w:rsidRDefault="00BF0382" w:rsidP="00BB474C">
                  <w:pPr>
                    <w:jc w:val="center"/>
                    <w:rPr>
                      <w:b/>
                    </w:rPr>
                  </w:pPr>
                </w:p>
              </w:tc>
              <w:tc>
                <w:tcPr>
                  <w:tcW w:w="3095" w:type="dxa"/>
                  <w:shd w:val="clear" w:color="auto" w:fill="FFCC99"/>
                </w:tcPr>
                <w:p w:rsidR="00BF0382" w:rsidRDefault="00BF0382" w:rsidP="00BB474C">
                  <w:pPr>
                    <w:jc w:val="center"/>
                    <w:rPr>
                      <w:b/>
                    </w:rPr>
                  </w:pPr>
                </w:p>
              </w:tc>
              <w:tc>
                <w:tcPr>
                  <w:tcW w:w="477" w:type="dxa"/>
                  <w:shd w:val="clear" w:color="auto" w:fill="00B0F0"/>
                </w:tcPr>
                <w:p w:rsidR="00BF0382" w:rsidRDefault="00BF0382" w:rsidP="00BB474C">
                  <w:pPr>
                    <w:jc w:val="center"/>
                    <w:rPr>
                      <w:b/>
                    </w:rPr>
                  </w:pPr>
                </w:p>
              </w:tc>
            </w:tr>
            <w:tr w:rsidR="00BF0382" w:rsidTr="00BB474C">
              <w:trPr>
                <w:jc w:val="center"/>
              </w:trPr>
              <w:tc>
                <w:tcPr>
                  <w:tcW w:w="1565" w:type="dxa"/>
                  <w:shd w:val="clear" w:color="auto" w:fill="auto"/>
                </w:tcPr>
                <w:p w:rsidR="00BF0382" w:rsidRDefault="00BF0382" w:rsidP="00BB474C">
                  <w:pPr>
                    <w:ind w:left="12"/>
                    <w:jc w:val="center"/>
                    <w:rPr>
                      <w:b/>
                    </w:rPr>
                  </w:pPr>
                  <w:r>
                    <w:rPr>
                      <w:b/>
                    </w:rPr>
                    <w:t>Horizon 2</w:t>
                  </w:r>
                </w:p>
              </w:tc>
              <w:tc>
                <w:tcPr>
                  <w:tcW w:w="539" w:type="dxa"/>
                  <w:shd w:val="clear" w:color="auto" w:fill="006600"/>
                </w:tcPr>
                <w:p w:rsidR="00BF0382" w:rsidRDefault="00BF0382" w:rsidP="00BB474C">
                  <w:pPr>
                    <w:jc w:val="center"/>
                    <w:rPr>
                      <w:b/>
                    </w:rPr>
                  </w:pPr>
                </w:p>
              </w:tc>
              <w:tc>
                <w:tcPr>
                  <w:tcW w:w="3095" w:type="dxa"/>
                  <w:shd w:val="clear" w:color="auto" w:fill="00B0F0"/>
                </w:tcPr>
                <w:p w:rsidR="00BF0382" w:rsidRDefault="00BF0382" w:rsidP="00BB474C">
                  <w:pPr>
                    <w:jc w:val="center"/>
                    <w:rPr>
                      <w:b/>
                    </w:rPr>
                  </w:pPr>
                </w:p>
              </w:tc>
              <w:tc>
                <w:tcPr>
                  <w:tcW w:w="477" w:type="dxa"/>
                  <w:shd w:val="clear" w:color="auto" w:fill="006600"/>
                </w:tcPr>
                <w:p w:rsidR="00BF0382" w:rsidRDefault="00BF0382" w:rsidP="00BB474C">
                  <w:pPr>
                    <w:jc w:val="center"/>
                    <w:rPr>
                      <w:b/>
                    </w:rPr>
                  </w:pPr>
                </w:p>
              </w:tc>
            </w:tr>
            <w:tr w:rsidR="00BF0382" w:rsidTr="00BB474C">
              <w:trPr>
                <w:jc w:val="center"/>
              </w:trPr>
              <w:tc>
                <w:tcPr>
                  <w:tcW w:w="1565" w:type="dxa"/>
                  <w:shd w:val="clear" w:color="auto" w:fill="auto"/>
                </w:tcPr>
                <w:p w:rsidR="00BF0382" w:rsidRDefault="00BF0382" w:rsidP="00BB474C">
                  <w:pPr>
                    <w:ind w:left="12"/>
                    <w:jc w:val="center"/>
                    <w:rPr>
                      <w:b/>
                    </w:rPr>
                  </w:pPr>
                  <w:r>
                    <w:rPr>
                      <w:b/>
                    </w:rPr>
                    <w:t>Horizon 3</w:t>
                  </w:r>
                </w:p>
              </w:tc>
              <w:tc>
                <w:tcPr>
                  <w:tcW w:w="539" w:type="dxa"/>
                  <w:shd w:val="clear" w:color="auto" w:fill="auto"/>
                </w:tcPr>
                <w:p w:rsidR="00BF0382" w:rsidRDefault="00BF0382" w:rsidP="00BB474C">
                  <w:pPr>
                    <w:jc w:val="center"/>
                    <w:rPr>
                      <w:b/>
                    </w:rPr>
                  </w:pPr>
                </w:p>
              </w:tc>
              <w:tc>
                <w:tcPr>
                  <w:tcW w:w="3095" w:type="dxa"/>
                  <w:shd w:val="clear" w:color="auto" w:fill="006600"/>
                </w:tcPr>
                <w:p w:rsidR="00BF0382" w:rsidRDefault="00BF0382" w:rsidP="00BB474C">
                  <w:pPr>
                    <w:jc w:val="center"/>
                    <w:rPr>
                      <w:b/>
                    </w:rPr>
                  </w:pPr>
                </w:p>
              </w:tc>
              <w:tc>
                <w:tcPr>
                  <w:tcW w:w="477" w:type="dxa"/>
                  <w:shd w:val="clear" w:color="auto" w:fill="auto"/>
                </w:tcPr>
                <w:p w:rsidR="00BF0382" w:rsidRDefault="00BF0382" w:rsidP="00BB474C">
                  <w:pPr>
                    <w:jc w:val="center"/>
                    <w:rPr>
                      <w:b/>
                    </w:rPr>
                  </w:pPr>
                </w:p>
              </w:tc>
            </w:tr>
          </w:tbl>
          <w:p w:rsidR="00BF0382" w:rsidRDefault="00BF0382" w:rsidP="00BB474C">
            <w:pPr>
              <w:jc w:val="center"/>
              <w:rPr>
                <w:b/>
              </w:rPr>
            </w:pPr>
          </w:p>
        </w:tc>
      </w:tr>
      <w:tr w:rsidR="00BF0382" w:rsidTr="00BB474C">
        <w:tc>
          <w:tcPr>
            <w:tcW w:w="9622" w:type="dxa"/>
            <w:gridSpan w:val="2"/>
            <w:tcBorders>
              <w:top w:val="single" w:sz="4" w:space="0" w:color="auto"/>
            </w:tcBorders>
            <w:shd w:val="clear" w:color="auto" w:fill="auto"/>
          </w:tcPr>
          <w:p w:rsidR="00BF0382" w:rsidRPr="008D6A99" w:rsidRDefault="00BF0382" w:rsidP="00BB474C">
            <w:pPr>
              <w:spacing w:before="120"/>
              <w:ind w:left="1920" w:hanging="240"/>
              <w:rPr>
                <w:b/>
                <w:lang w:val="en-GB"/>
              </w:rPr>
            </w:pPr>
            <w:r w:rsidRPr="008D6A99">
              <w:rPr>
                <w:b/>
                <w:lang w:val="en-GB"/>
              </w:rPr>
              <w:t>Proposal for GIS layer reporting:</w:t>
            </w:r>
          </w:p>
          <w:p w:rsidR="00BF0382" w:rsidRPr="008D6A99" w:rsidRDefault="00BF0382" w:rsidP="00BB474C">
            <w:pPr>
              <w:spacing w:before="120"/>
              <w:rPr>
                <w:b/>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039"/>
              <w:gridCol w:w="1425"/>
            </w:tblGrid>
            <w:tr w:rsidR="00BF0382" w:rsidTr="00BB474C">
              <w:trPr>
                <w:jc w:val="center"/>
              </w:trPr>
              <w:tc>
                <w:tcPr>
                  <w:tcW w:w="1391" w:type="dxa"/>
                  <w:shd w:val="clear" w:color="auto" w:fill="auto"/>
                </w:tcPr>
                <w:p w:rsidR="00BF0382" w:rsidRDefault="00BF0382" w:rsidP="00BB474C">
                  <w:pPr>
                    <w:spacing w:after="0"/>
                    <w:jc w:val="center"/>
                    <w:rPr>
                      <w:rFonts w:ascii="Calibri" w:hAnsi="Calibri"/>
                      <w:b/>
                    </w:rPr>
                  </w:pPr>
                  <w:r>
                    <w:rPr>
                      <w:rFonts w:ascii="Calibri" w:hAnsi="Calibri"/>
                      <w:b/>
                    </w:rPr>
                    <w:t>EU_CD_GW</w:t>
                  </w:r>
                </w:p>
              </w:tc>
              <w:tc>
                <w:tcPr>
                  <w:tcW w:w="1039" w:type="dxa"/>
                  <w:shd w:val="clear" w:color="auto" w:fill="auto"/>
                </w:tcPr>
                <w:p w:rsidR="00BF0382" w:rsidRDefault="00BF0382" w:rsidP="00BB474C">
                  <w:pPr>
                    <w:spacing w:after="0"/>
                    <w:jc w:val="center"/>
                    <w:rPr>
                      <w:rFonts w:ascii="Calibri" w:hAnsi="Calibri"/>
                      <w:b/>
                    </w:rPr>
                  </w:pPr>
                  <w:r>
                    <w:rPr>
                      <w:rFonts w:ascii="Calibri" w:hAnsi="Calibri"/>
                      <w:b/>
                    </w:rPr>
                    <w:t>Horizon</w:t>
                  </w:r>
                </w:p>
              </w:tc>
              <w:tc>
                <w:tcPr>
                  <w:tcW w:w="1425" w:type="dxa"/>
                  <w:shd w:val="clear" w:color="auto" w:fill="auto"/>
                </w:tcPr>
                <w:p w:rsidR="00BF0382" w:rsidRDefault="00BF0382" w:rsidP="00BB474C">
                  <w:pPr>
                    <w:spacing w:after="0"/>
                    <w:jc w:val="center"/>
                    <w:rPr>
                      <w:rFonts w:ascii="Calibri" w:hAnsi="Calibri"/>
                      <w:b/>
                    </w:rPr>
                  </w:pPr>
                  <w:r>
                    <w:rPr>
                      <w:rFonts w:ascii="Calibri" w:hAnsi="Calibri"/>
                      <w:b/>
                    </w:rPr>
                    <w:t>CD_Polygon</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GWB1</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1</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GWB1-1</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GWB2</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1</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GWB2-1</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GWB2</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2</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GWB2-2</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GWB3</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2</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GWB3-2</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GWB3</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3</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GWB3-3</w:t>
                  </w:r>
                </w:p>
              </w:tc>
            </w:tr>
          </w:tbl>
          <w:p w:rsidR="00BF0382" w:rsidRDefault="00BF0382" w:rsidP="00BB474C">
            <w:pPr>
              <w:spacing w:before="120"/>
              <w:rPr>
                <w:b/>
                <w:noProof/>
                <w:lang w:eastAsia="de-AT"/>
              </w:rPr>
            </w:pPr>
          </w:p>
        </w:tc>
      </w:tr>
      <w:tr w:rsidR="00BF0382" w:rsidTr="00BB474C">
        <w:tc>
          <w:tcPr>
            <w:tcW w:w="9622" w:type="dxa"/>
            <w:gridSpan w:val="2"/>
            <w:shd w:val="clear" w:color="auto" w:fill="auto"/>
          </w:tcPr>
          <w:p w:rsidR="00BF0382" w:rsidRDefault="00BF0382" w:rsidP="00BB474C">
            <w:pPr>
              <w:jc w:val="center"/>
              <w:rPr>
                <w:b/>
              </w:rPr>
            </w:pPr>
          </w:p>
        </w:tc>
      </w:tr>
    </w:tbl>
    <w:p w:rsidR="00BF0382" w:rsidRDefault="00BF0382" w:rsidP="00BF0382"/>
    <w:p w:rsidR="00BF0382" w:rsidRDefault="00BF0382" w:rsidP="00BF0382">
      <w:pPr>
        <w:pStyle w:val="Rubrik3"/>
        <w:tabs>
          <w:tab w:val="clear" w:pos="3360"/>
          <w:tab w:val="num" w:pos="2835"/>
        </w:tabs>
      </w:pPr>
      <w:r>
        <w:t>Example 3</w:t>
      </w:r>
    </w:p>
    <w:tbl>
      <w:tblPr>
        <w:tblW w:w="0" w:type="auto"/>
        <w:tblLook w:val="04A0" w:firstRow="1" w:lastRow="0" w:firstColumn="1" w:lastColumn="0" w:noHBand="0" w:noVBand="1"/>
      </w:tblPr>
      <w:tblGrid>
        <w:gridCol w:w="4836"/>
        <w:gridCol w:w="4786"/>
      </w:tblGrid>
      <w:tr w:rsidR="00BF0382" w:rsidRPr="00D95552" w:rsidTr="00BB474C">
        <w:tc>
          <w:tcPr>
            <w:tcW w:w="9622" w:type="dxa"/>
            <w:gridSpan w:val="2"/>
            <w:shd w:val="clear" w:color="auto" w:fill="auto"/>
          </w:tcPr>
          <w:p w:rsidR="00BF0382" w:rsidRPr="008D6A99" w:rsidRDefault="00BF0382" w:rsidP="00BB474C">
            <w:pPr>
              <w:spacing w:before="120"/>
              <w:rPr>
                <w:b/>
                <w:noProof/>
                <w:lang w:val="en-GB" w:eastAsia="de-AT"/>
              </w:rPr>
            </w:pPr>
            <w:r w:rsidRPr="008D6A99">
              <w:rPr>
                <w:b/>
                <w:noProof/>
                <w:lang w:val="en-GB" w:eastAsia="de-AT"/>
              </w:rPr>
              <w:t xml:space="preserve">Hydrogeological context – Map view and sectional view </w:t>
            </w:r>
          </w:p>
        </w:tc>
      </w:tr>
      <w:tr w:rsidR="00BF0382" w:rsidTr="00BB474C">
        <w:tc>
          <w:tcPr>
            <w:tcW w:w="4836" w:type="dxa"/>
            <w:tcBorders>
              <w:bottom w:val="single" w:sz="4" w:space="0" w:color="auto"/>
            </w:tcBorders>
            <w:shd w:val="clear" w:color="auto" w:fill="auto"/>
          </w:tcPr>
          <w:p w:rsidR="00BF0382" w:rsidRDefault="00BF0382" w:rsidP="00BB474C">
            <w:pPr>
              <w:spacing w:line="276" w:lineRule="auto"/>
              <w:jc w:val="center"/>
              <w:rPr>
                <w:b/>
                <w:sz w:val="23"/>
                <w:szCs w:val="23"/>
              </w:rPr>
            </w:pPr>
            <w:r>
              <w:rPr>
                <w:b/>
                <w:noProof/>
                <w:sz w:val="23"/>
                <w:szCs w:val="23"/>
                <w:lang w:bidi="ar-SA"/>
              </w:rPr>
              <w:drawing>
                <wp:inline distT="0" distB="0" distL="0" distR="0" wp14:anchorId="152081DA" wp14:editId="1B22323C">
                  <wp:extent cx="2279650" cy="978535"/>
                  <wp:effectExtent l="0" t="0" r="0" b="0"/>
                  <wp:docPr id="78"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pic:cNvPicPr>
                            <a:picLocks noChangeAspect="1" noChangeArrowheads="1"/>
                          </pic:cNvPicPr>
                        </pic:nvPicPr>
                        <pic:blipFill>
                          <a:blip r:embed="rId40" cstate="print">
                            <a:extLst>
                              <a:ext uri="{28A0092B-C50C-407E-A947-70E740481C1C}">
                                <a14:useLocalDpi xmlns:a14="http://schemas.microsoft.com/office/drawing/2010/main" val="0"/>
                              </a:ext>
                            </a:extLst>
                          </a:blip>
                          <a:srcRect b="17535"/>
                          <a:stretch>
                            <a:fillRect/>
                          </a:stretch>
                        </pic:blipFill>
                        <pic:spPr bwMode="auto">
                          <a:xfrm>
                            <a:off x="0" y="0"/>
                            <a:ext cx="2279650" cy="978535"/>
                          </a:xfrm>
                          <a:prstGeom prst="rect">
                            <a:avLst/>
                          </a:prstGeom>
                          <a:noFill/>
                          <a:ln>
                            <a:noFill/>
                          </a:ln>
                        </pic:spPr>
                      </pic:pic>
                    </a:graphicData>
                  </a:graphic>
                </wp:inline>
              </w:drawing>
            </w:r>
          </w:p>
        </w:tc>
        <w:tc>
          <w:tcPr>
            <w:tcW w:w="4786" w:type="dxa"/>
            <w:tcBorders>
              <w:bottom w:val="single" w:sz="4" w:space="0" w:color="auto"/>
            </w:tcBorders>
            <w:shd w:val="clear" w:color="auto" w:fill="auto"/>
          </w:tcPr>
          <w:p w:rsidR="00BF0382" w:rsidRDefault="00BF0382" w:rsidP="00BB474C">
            <w:pPr>
              <w:spacing w:line="276" w:lineRule="auto"/>
              <w:jc w:val="center"/>
              <w:rPr>
                <w:b/>
                <w:sz w:val="23"/>
                <w:szCs w:val="23"/>
              </w:rPr>
            </w:pPr>
            <w:r>
              <w:rPr>
                <w:noProof/>
                <w:sz w:val="23"/>
                <w:szCs w:val="23"/>
                <w:lang w:bidi="ar-SA"/>
              </w:rPr>
              <w:drawing>
                <wp:inline distT="0" distB="0" distL="0" distR="0" wp14:anchorId="09EDD774" wp14:editId="046F44B3">
                  <wp:extent cx="2015490" cy="9855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BF0382" w:rsidTr="00BB474C">
        <w:tc>
          <w:tcPr>
            <w:tcW w:w="9622" w:type="dxa"/>
            <w:gridSpan w:val="2"/>
            <w:tcBorders>
              <w:top w:val="single" w:sz="4" w:space="0" w:color="auto"/>
            </w:tcBorders>
            <w:shd w:val="clear" w:color="auto" w:fill="auto"/>
          </w:tcPr>
          <w:p w:rsidR="00BF0382" w:rsidRDefault="00BF0382" w:rsidP="00BB474C">
            <w:pPr>
              <w:spacing w:before="120"/>
              <w:rPr>
                <w:b/>
              </w:rPr>
            </w:pPr>
            <w:r>
              <w:rPr>
                <w:b/>
              </w:rPr>
              <w:t>Delineated groundwater bodies</w:t>
            </w:r>
          </w:p>
        </w:tc>
      </w:tr>
      <w:tr w:rsidR="00BF0382" w:rsidTr="00BB474C">
        <w:tc>
          <w:tcPr>
            <w:tcW w:w="4836" w:type="dxa"/>
            <w:shd w:val="clear" w:color="auto" w:fill="auto"/>
          </w:tcPr>
          <w:p w:rsidR="00BF0382" w:rsidRDefault="00BF0382" w:rsidP="00BB474C">
            <w:pPr>
              <w:ind w:left="1920" w:hanging="240"/>
              <w:rPr>
                <w:b/>
                <w:sz w:val="23"/>
              </w:rPr>
            </w:pPr>
            <w:r>
              <w:t xml:space="preserve">Example 3 – Map view </w:t>
            </w:r>
          </w:p>
        </w:tc>
        <w:tc>
          <w:tcPr>
            <w:tcW w:w="4786" w:type="dxa"/>
            <w:shd w:val="clear" w:color="auto" w:fill="auto"/>
          </w:tcPr>
          <w:p w:rsidR="00BF0382" w:rsidRDefault="00BF0382" w:rsidP="00BB474C">
            <w:pPr>
              <w:ind w:left="1920" w:hanging="240"/>
              <w:jc w:val="center"/>
              <w:rPr>
                <w:b/>
                <w:sz w:val="23"/>
              </w:rPr>
            </w:pPr>
            <w:r>
              <w:t xml:space="preserve">Example 3 – Sectional view </w:t>
            </w:r>
          </w:p>
        </w:tc>
      </w:tr>
      <w:tr w:rsidR="00BF0382" w:rsidTr="00BB474C">
        <w:tc>
          <w:tcPr>
            <w:tcW w:w="4836" w:type="dxa"/>
            <w:tcBorders>
              <w:bottom w:val="single" w:sz="4" w:space="0" w:color="auto"/>
            </w:tcBorders>
            <w:shd w:val="clear" w:color="auto" w:fill="auto"/>
          </w:tcPr>
          <w:p w:rsidR="00BF0382" w:rsidRDefault="00BF0382" w:rsidP="00BB474C">
            <w:pPr>
              <w:spacing w:line="276" w:lineRule="auto"/>
              <w:jc w:val="center"/>
              <w:rPr>
                <w:b/>
                <w:sz w:val="23"/>
                <w:szCs w:val="23"/>
              </w:rPr>
            </w:pPr>
            <w:r>
              <w:rPr>
                <w:noProof/>
                <w:sz w:val="23"/>
                <w:szCs w:val="23"/>
                <w:lang w:bidi="ar-SA"/>
              </w:rPr>
              <w:drawing>
                <wp:inline distT="0" distB="0" distL="0" distR="0" wp14:anchorId="3BAB4C69" wp14:editId="359F39A1">
                  <wp:extent cx="2755900" cy="1429385"/>
                  <wp:effectExtent l="0" t="0" r="0" b="0"/>
                  <wp:docPr id="8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5900" cy="1429385"/>
                          </a:xfrm>
                          <a:prstGeom prst="rect">
                            <a:avLst/>
                          </a:prstGeom>
                          <a:noFill/>
                          <a:ln>
                            <a:noFill/>
                          </a:ln>
                        </pic:spPr>
                      </pic:pic>
                    </a:graphicData>
                  </a:graphic>
                </wp:inline>
              </w:drawing>
            </w:r>
          </w:p>
        </w:tc>
        <w:tc>
          <w:tcPr>
            <w:tcW w:w="4786" w:type="dxa"/>
            <w:tcBorders>
              <w:bottom w:val="single" w:sz="4" w:space="0" w:color="auto"/>
            </w:tcBorders>
            <w:shd w:val="clear" w:color="auto" w:fill="auto"/>
          </w:tcPr>
          <w:p w:rsidR="00BF0382" w:rsidRDefault="00BF0382" w:rsidP="00BB474C">
            <w:pPr>
              <w:spacing w:line="276" w:lineRule="auto"/>
              <w:jc w:val="center"/>
              <w:rPr>
                <w:b/>
                <w:sz w:val="23"/>
                <w:szCs w:val="23"/>
              </w:rPr>
            </w:pPr>
            <w:r>
              <w:rPr>
                <w:noProof/>
                <w:sz w:val="23"/>
                <w:szCs w:val="23"/>
                <w:lang w:bidi="ar-SA"/>
              </w:rPr>
              <w:drawing>
                <wp:inline distT="0" distB="0" distL="0" distR="0" wp14:anchorId="38729507" wp14:editId="1ECC0895">
                  <wp:extent cx="2710815" cy="1455420"/>
                  <wp:effectExtent l="0" t="0" r="0" b="0"/>
                  <wp:docPr id="8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3" cstate="print">
                            <a:extLst>
                              <a:ext uri="{28A0092B-C50C-407E-A947-70E740481C1C}">
                                <a14:useLocalDpi xmlns:a14="http://schemas.microsoft.com/office/drawing/2010/main" val="0"/>
                              </a:ext>
                            </a:extLst>
                          </a:blip>
                          <a:srcRect l="4306" t="41455" r="49760" b="28378"/>
                          <a:stretch>
                            <a:fillRect/>
                          </a:stretch>
                        </pic:blipFill>
                        <pic:spPr bwMode="auto">
                          <a:xfrm>
                            <a:off x="0" y="0"/>
                            <a:ext cx="2710815" cy="1455420"/>
                          </a:xfrm>
                          <a:prstGeom prst="rect">
                            <a:avLst/>
                          </a:prstGeom>
                          <a:noFill/>
                          <a:ln>
                            <a:noFill/>
                          </a:ln>
                        </pic:spPr>
                      </pic:pic>
                    </a:graphicData>
                  </a:graphic>
                </wp:inline>
              </w:drawing>
            </w:r>
          </w:p>
        </w:tc>
      </w:tr>
      <w:tr w:rsidR="00BF0382" w:rsidTr="00BB474C">
        <w:tc>
          <w:tcPr>
            <w:tcW w:w="4836" w:type="dxa"/>
            <w:tcBorders>
              <w:bottom w:val="single" w:sz="4" w:space="0" w:color="auto"/>
            </w:tcBorders>
            <w:shd w:val="clear" w:color="auto" w:fill="auto"/>
          </w:tcPr>
          <w:p w:rsidR="00BF0382" w:rsidRDefault="00BF0382" w:rsidP="00BB474C">
            <w:pPr>
              <w:jc w:val="center"/>
              <w:rPr>
                <w:noProof/>
                <w:sz w:val="23"/>
                <w:szCs w:val="23"/>
                <w:lang w:eastAsia="en-GB"/>
              </w:rPr>
            </w:pPr>
          </w:p>
          <w:p w:rsidR="00BF0382" w:rsidRDefault="00BF0382" w:rsidP="00BB474C">
            <w:pPr>
              <w:jc w:val="center"/>
              <w:rPr>
                <w:noProof/>
                <w:sz w:val="23"/>
                <w:szCs w:val="23"/>
                <w:lang w:eastAsia="en-GB"/>
              </w:rPr>
            </w:pPr>
          </w:p>
        </w:tc>
        <w:tc>
          <w:tcPr>
            <w:tcW w:w="4786" w:type="dxa"/>
            <w:tcBorders>
              <w:bottom w:val="single" w:sz="4" w:space="0" w:color="auto"/>
            </w:tcBorders>
            <w:shd w:val="clear" w:color="auto" w:fill="auto"/>
          </w:tcPr>
          <w:p w:rsidR="00BF0382" w:rsidRDefault="00BF0382" w:rsidP="00BB474C">
            <w:pPr>
              <w:jc w:val="center"/>
              <w:rPr>
                <w:noProof/>
                <w:sz w:val="23"/>
                <w:szCs w:val="23"/>
                <w:lang w:eastAsia="en-GB"/>
              </w:rPr>
            </w:pPr>
          </w:p>
        </w:tc>
      </w:tr>
      <w:tr w:rsidR="00BF0382" w:rsidTr="00BB474C">
        <w:tc>
          <w:tcPr>
            <w:tcW w:w="9622" w:type="dxa"/>
            <w:gridSpan w:val="2"/>
            <w:tcBorders>
              <w:top w:val="single" w:sz="4" w:space="0" w:color="auto"/>
            </w:tcBorders>
            <w:shd w:val="clear" w:color="auto" w:fill="auto"/>
          </w:tcPr>
          <w:p w:rsidR="00BF0382" w:rsidRDefault="00BF0382" w:rsidP="00BB474C">
            <w:pPr>
              <w:spacing w:before="120"/>
              <w:ind w:left="1920" w:hanging="240"/>
              <w:rPr>
                <w:b/>
              </w:rPr>
            </w:pPr>
            <w:r>
              <w:rPr>
                <w:b/>
              </w:rPr>
              <w:t>Horizon assignment – Map view</w:t>
            </w:r>
          </w:p>
        </w:tc>
      </w:tr>
      <w:tr w:rsidR="00BF0382" w:rsidTr="00BB474C">
        <w:tc>
          <w:tcPr>
            <w:tcW w:w="4836" w:type="dxa"/>
            <w:shd w:val="clear" w:color="auto" w:fill="auto"/>
          </w:tcPr>
          <w:p w:rsidR="00BF0382" w:rsidRDefault="00BF0382" w:rsidP="00BB474C">
            <w:pPr>
              <w:ind w:left="1920" w:hanging="240"/>
            </w:pPr>
            <w:r>
              <w:t>Example 3 – Horizon 1</w:t>
            </w:r>
          </w:p>
        </w:tc>
        <w:tc>
          <w:tcPr>
            <w:tcW w:w="4786" w:type="dxa"/>
            <w:shd w:val="clear" w:color="auto" w:fill="auto"/>
          </w:tcPr>
          <w:p w:rsidR="00BF0382" w:rsidRDefault="00BF0382" w:rsidP="00BB474C">
            <w:pPr>
              <w:ind w:left="1920" w:hanging="240"/>
            </w:pPr>
            <w:r>
              <w:t>Example 3 – Horizon 3</w:t>
            </w:r>
          </w:p>
        </w:tc>
      </w:tr>
      <w:tr w:rsidR="00BF0382" w:rsidTr="00BB474C">
        <w:tc>
          <w:tcPr>
            <w:tcW w:w="4836" w:type="dxa"/>
            <w:shd w:val="clear" w:color="auto" w:fill="auto"/>
          </w:tcPr>
          <w:p w:rsidR="00BF0382" w:rsidRDefault="00BF0382" w:rsidP="00BB474C">
            <w:pPr>
              <w:spacing w:line="276" w:lineRule="auto"/>
              <w:jc w:val="center"/>
              <w:rPr>
                <w:b/>
              </w:rPr>
            </w:pPr>
            <w:r>
              <w:rPr>
                <w:noProof/>
                <w:sz w:val="23"/>
                <w:szCs w:val="23"/>
                <w:lang w:bidi="ar-SA"/>
              </w:rPr>
              <w:drawing>
                <wp:inline distT="0" distB="0" distL="0" distR="0" wp14:anchorId="14720A35" wp14:editId="75FE5111">
                  <wp:extent cx="2685415" cy="1403985"/>
                  <wp:effectExtent l="0" t="0" r="0" b="0"/>
                  <wp:docPr id="8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4" cstate="print">
                            <a:extLst>
                              <a:ext uri="{28A0092B-C50C-407E-A947-70E740481C1C}">
                                <a14:useLocalDpi xmlns:a14="http://schemas.microsoft.com/office/drawing/2010/main" val="0"/>
                              </a:ext>
                            </a:extLst>
                          </a:blip>
                          <a:srcRect t="2" r="54227" b="75467"/>
                          <a:stretch>
                            <a:fillRect/>
                          </a:stretch>
                        </pic:blipFill>
                        <pic:spPr bwMode="auto">
                          <a:xfrm>
                            <a:off x="0" y="0"/>
                            <a:ext cx="2685415" cy="1403985"/>
                          </a:xfrm>
                          <a:prstGeom prst="rect">
                            <a:avLst/>
                          </a:prstGeom>
                          <a:noFill/>
                          <a:ln>
                            <a:noFill/>
                          </a:ln>
                        </pic:spPr>
                      </pic:pic>
                    </a:graphicData>
                  </a:graphic>
                </wp:inline>
              </w:drawing>
            </w:r>
          </w:p>
        </w:tc>
        <w:tc>
          <w:tcPr>
            <w:tcW w:w="4786" w:type="dxa"/>
            <w:shd w:val="clear" w:color="auto" w:fill="auto"/>
          </w:tcPr>
          <w:p w:rsidR="00BF0382" w:rsidRDefault="00BF0382" w:rsidP="00BB474C">
            <w:pPr>
              <w:spacing w:line="276" w:lineRule="auto"/>
              <w:jc w:val="center"/>
              <w:rPr>
                <w:b/>
              </w:rPr>
            </w:pPr>
            <w:r>
              <w:rPr>
                <w:noProof/>
                <w:sz w:val="23"/>
                <w:szCs w:val="23"/>
                <w:lang w:bidi="ar-SA"/>
              </w:rPr>
              <w:drawing>
                <wp:inline distT="0" distB="0" distL="0" distR="0" wp14:anchorId="3878F3C2" wp14:editId="132C399D">
                  <wp:extent cx="2685415" cy="1403985"/>
                  <wp:effectExtent l="0" t="0" r="0" b="0"/>
                  <wp:docPr id="8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4" cstate="print">
                            <a:extLst>
                              <a:ext uri="{28A0092B-C50C-407E-A947-70E740481C1C}">
                                <a14:useLocalDpi xmlns:a14="http://schemas.microsoft.com/office/drawing/2010/main" val="0"/>
                              </a:ext>
                            </a:extLst>
                          </a:blip>
                          <a:srcRect t="50359" r="54227" b="25046"/>
                          <a:stretch>
                            <a:fillRect/>
                          </a:stretch>
                        </pic:blipFill>
                        <pic:spPr bwMode="auto">
                          <a:xfrm>
                            <a:off x="0" y="0"/>
                            <a:ext cx="2685415" cy="1403985"/>
                          </a:xfrm>
                          <a:prstGeom prst="rect">
                            <a:avLst/>
                          </a:prstGeom>
                          <a:noFill/>
                          <a:ln>
                            <a:noFill/>
                          </a:ln>
                        </pic:spPr>
                      </pic:pic>
                    </a:graphicData>
                  </a:graphic>
                </wp:inline>
              </w:drawing>
            </w:r>
          </w:p>
        </w:tc>
      </w:tr>
      <w:tr w:rsidR="00BF0382" w:rsidTr="00BB474C">
        <w:tc>
          <w:tcPr>
            <w:tcW w:w="4836" w:type="dxa"/>
            <w:shd w:val="clear" w:color="auto" w:fill="auto"/>
          </w:tcPr>
          <w:p w:rsidR="00BF0382" w:rsidRDefault="00BF0382" w:rsidP="00BB474C">
            <w:pPr>
              <w:ind w:left="1920" w:hanging="240"/>
            </w:pPr>
            <w:r>
              <w:t>Example 3 – Horizon 2</w:t>
            </w:r>
          </w:p>
        </w:tc>
        <w:tc>
          <w:tcPr>
            <w:tcW w:w="4786" w:type="dxa"/>
            <w:shd w:val="clear" w:color="auto" w:fill="auto"/>
          </w:tcPr>
          <w:p w:rsidR="00BF0382" w:rsidRDefault="00BF0382" w:rsidP="00BB474C"/>
        </w:tc>
      </w:tr>
      <w:tr w:rsidR="00BF0382" w:rsidTr="00BB474C">
        <w:tc>
          <w:tcPr>
            <w:tcW w:w="4836" w:type="dxa"/>
            <w:tcBorders>
              <w:bottom w:val="single" w:sz="4" w:space="0" w:color="auto"/>
            </w:tcBorders>
            <w:shd w:val="clear" w:color="auto" w:fill="auto"/>
          </w:tcPr>
          <w:p w:rsidR="00BF0382" w:rsidRDefault="00BF0382" w:rsidP="00BB474C">
            <w:pPr>
              <w:spacing w:line="276" w:lineRule="auto"/>
              <w:jc w:val="center"/>
              <w:rPr>
                <w:b/>
              </w:rPr>
            </w:pPr>
            <w:r>
              <w:rPr>
                <w:noProof/>
                <w:sz w:val="23"/>
                <w:szCs w:val="23"/>
                <w:lang w:bidi="ar-SA"/>
              </w:rPr>
              <w:drawing>
                <wp:inline distT="0" distB="0" distL="0" distR="0" wp14:anchorId="22AAF13D" wp14:editId="12F5634A">
                  <wp:extent cx="2626995" cy="1384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t="24899" r="54227" b="50294"/>
                          <a:stretch>
                            <a:fillRect/>
                          </a:stretch>
                        </pic:blipFill>
                        <pic:spPr bwMode="auto">
                          <a:xfrm>
                            <a:off x="0" y="0"/>
                            <a:ext cx="2626995" cy="1384300"/>
                          </a:xfrm>
                          <a:prstGeom prst="rect">
                            <a:avLst/>
                          </a:prstGeom>
                          <a:noFill/>
                          <a:ln>
                            <a:noFill/>
                          </a:ln>
                        </pic:spPr>
                      </pic:pic>
                    </a:graphicData>
                  </a:graphic>
                </wp:inline>
              </w:drawing>
            </w:r>
          </w:p>
        </w:tc>
        <w:tc>
          <w:tcPr>
            <w:tcW w:w="4786" w:type="dxa"/>
            <w:tcBorders>
              <w:bottom w:val="single" w:sz="4" w:space="0" w:color="auto"/>
            </w:tcBorders>
            <w:shd w:val="clear" w:color="auto" w:fill="auto"/>
          </w:tcPr>
          <w:p w:rsidR="00BF0382" w:rsidRDefault="00BF0382" w:rsidP="00BB474C">
            <w:pPr>
              <w:spacing w:line="276" w:lineRule="auto"/>
              <w:rPr>
                <w:b/>
              </w:rPr>
            </w:pPr>
            <w:r>
              <w:rPr>
                <w:noProof/>
                <w:sz w:val="23"/>
                <w:szCs w:val="23"/>
                <w:lang w:bidi="ar-SA"/>
              </w:rPr>
              <w:drawing>
                <wp:inline distT="0" distB="0" distL="0" distR="0" wp14:anchorId="6AEED536" wp14:editId="677675D2">
                  <wp:extent cx="2717165" cy="1403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t="75764" r="54227" b="2"/>
                          <a:stretch>
                            <a:fillRect/>
                          </a:stretch>
                        </pic:blipFill>
                        <pic:spPr bwMode="auto">
                          <a:xfrm>
                            <a:off x="0" y="0"/>
                            <a:ext cx="2717165" cy="1403985"/>
                          </a:xfrm>
                          <a:prstGeom prst="rect">
                            <a:avLst/>
                          </a:prstGeom>
                          <a:noFill/>
                          <a:ln>
                            <a:noFill/>
                          </a:ln>
                        </pic:spPr>
                      </pic:pic>
                    </a:graphicData>
                  </a:graphic>
                </wp:inline>
              </w:drawing>
            </w:r>
          </w:p>
        </w:tc>
      </w:tr>
      <w:tr w:rsidR="00BF0382" w:rsidTr="00BB474C">
        <w:tc>
          <w:tcPr>
            <w:tcW w:w="9622" w:type="dxa"/>
            <w:gridSpan w:val="2"/>
            <w:tcBorders>
              <w:top w:val="single" w:sz="4" w:space="0" w:color="auto"/>
            </w:tcBorders>
            <w:shd w:val="clear" w:color="auto" w:fill="auto"/>
          </w:tcPr>
          <w:p w:rsidR="00BF0382" w:rsidRDefault="00BF0382" w:rsidP="00BB474C">
            <w:pPr>
              <w:spacing w:before="120"/>
              <w:ind w:left="1920" w:hanging="240"/>
              <w:rPr>
                <w:b/>
                <w:noProof/>
                <w:lang w:eastAsia="de-AT"/>
              </w:rPr>
            </w:pPr>
            <w:r>
              <w:rPr>
                <w:b/>
                <w:noProof/>
                <w:lang w:eastAsia="de-AT"/>
              </w:rPr>
              <w:t>Horizon assignment – Vertical subsequential arrangement</w:t>
            </w:r>
          </w:p>
        </w:tc>
      </w:tr>
      <w:tr w:rsidR="00BF0382" w:rsidTr="00BB474C">
        <w:tc>
          <w:tcPr>
            <w:tcW w:w="9622" w:type="dxa"/>
            <w:gridSpan w:val="2"/>
            <w:shd w:val="clear" w:color="auto" w:fill="auto"/>
          </w:tcPr>
          <w:p w:rsidR="00BF0382" w:rsidRDefault="00BF0382" w:rsidP="00BB474C">
            <w:pPr>
              <w:jc w:val="center"/>
              <w:rPr>
                <w:b/>
              </w:rPr>
            </w:pPr>
            <w:r>
              <w:rPr>
                <w:b/>
                <w:noProof/>
                <w:sz w:val="23"/>
                <w:szCs w:val="23"/>
                <w:lang w:bidi="ar-SA"/>
              </w:rPr>
              <w:drawing>
                <wp:inline distT="0" distB="0" distL="0" distR="0" wp14:anchorId="4692E735" wp14:editId="0CBCC801">
                  <wp:extent cx="4430395" cy="772795"/>
                  <wp:effectExtent l="0" t="0" r="0" b="0"/>
                  <wp:docPr id="8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7" cstate="print">
                            <a:extLst>
                              <a:ext uri="{28A0092B-C50C-407E-A947-70E740481C1C}">
                                <a14:useLocalDpi xmlns:a14="http://schemas.microsoft.com/office/drawing/2010/main" val="0"/>
                              </a:ext>
                            </a:extLst>
                          </a:blip>
                          <a:srcRect l="-517" t="80267" r="51570" b="6827"/>
                          <a:stretch>
                            <a:fillRect/>
                          </a:stretch>
                        </pic:blipFill>
                        <pic:spPr bwMode="auto">
                          <a:xfrm>
                            <a:off x="0" y="0"/>
                            <a:ext cx="4430395" cy="772795"/>
                          </a:xfrm>
                          <a:prstGeom prst="rect">
                            <a:avLst/>
                          </a:prstGeom>
                          <a:noFill/>
                          <a:ln>
                            <a:noFill/>
                          </a:ln>
                        </pic:spPr>
                      </pic:pic>
                    </a:graphicData>
                  </a:graphic>
                </wp:inline>
              </w:drawing>
            </w:r>
          </w:p>
          <w:p w:rsidR="00BF0382" w:rsidRDefault="00BF0382" w:rsidP="00BB474C">
            <w:pPr>
              <w:jc w:val="center"/>
              <w:rPr>
                <w:b/>
              </w:rPr>
            </w:pPr>
          </w:p>
        </w:tc>
      </w:tr>
      <w:tr w:rsidR="00BF0382" w:rsidTr="00BB474C">
        <w:tc>
          <w:tcPr>
            <w:tcW w:w="9622" w:type="dxa"/>
            <w:gridSpan w:val="2"/>
            <w:tcBorders>
              <w:top w:val="single" w:sz="4" w:space="0" w:color="auto"/>
            </w:tcBorders>
            <w:shd w:val="clear" w:color="auto" w:fill="auto"/>
          </w:tcPr>
          <w:p w:rsidR="00BF0382" w:rsidRPr="008D6A99" w:rsidRDefault="00BF0382" w:rsidP="00BB474C">
            <w:pPr>
              <w:spacing w:before="120"/>
              <w:ind w:left="1920" w:hanging="240"/>
              <w:rPr>
                <w:b/>
                <w:lang w:val="en-GB"/>
              </w:rPr>
            </w:pPr>
            <w:r w:rsidRPr="008D6A99">
              <w:rPr>
                <w:b/>
                <w:lang w:val="en-GB"/>
              </w:rPr>
              <w:t>Proposal for GIS layer reporting:</w:t>
            </w:r>
          </w:p>
          <w:p w:rsidR="00BF0382" w:rsidRPr="008D6A99" w:rsidRDefault="00BF0382" w:rsidP="00BB474C">
            <w:pPr>
              <w:spacing w:before="120"/>
              <w:rPr>
                <w:b/>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039"/>
              <w:gridCol w:w="1425"/>
            </w:tblGrid>
            <w:tr w:rsidR="00BF0382" w:rsidTr="00BB474C">
              <w:trPr>
                <w:jc w:val="center"/>
              </w:trPr>
              <w:tc>
                <w:tcPr>
                  <w:tcW w:w="1391" w:type="dxa"/>
                  <w:shd w:val="clear" w:color="auto" w:fill="auto"/>
                </w:tcPr>
                <w:p w:rsidR="00BF0382" w:rsidRDefault="00BF0382" w:rsidP="00BB474C">
                  <w:pPr>
                    <w:spacing w:after="0"/>
                    <w:jc w:val="center"/>
                    <w:rPr>
                      <w:rFonts w:ascii="Calibri" w:hAnsi="Calibri"/>
                      <w:b/>
                    </w:rPr>
                  </w:pPr>
                  <w:r>
                    <w:rPr>
                      <w:rFonts w:ascii="Calibri" w:hAnsi="Calibri"/>
                      <w:b/>
                    </w:rPr>
                    <w:t>EU_CD_GW</w:t>
                  </w:r>
                </w:p>
              </w:tc>
              <w:tc>
                <w:tcPr>
                  <w:tcW w:w="1039" w:type="dxa"/>
                  <w:shd w:val="clear" w:color="auto" w:fill="auto"/>
                </w:tcPr>
                <w:p w:rsidR="00BF0382" w:rsidRDefault="00BF0382" w:rsidP="00BB474C">
                  <w:pPr>
                    <w:spacing w:after="0"/>
                    <w:jc w:val="center"/>
                    <w:rPr>
                      <w:rFonts w:ascii="Calibri" w:hAnsi="Calibri"/>
                      <w:b/>
                    </w:rPr>
                  </w:pPr>
                  <w:r>
                    <w:rPr>
                      <w:rFonts w:ascii="Calibri" w:hAnsi="Calibri"/>
                      <w:b/>
                    </w:rPr>
                    <w:t>Horizon</w:t>
                  </w:r>
                </w:p>
              </w:tc>
              <w:tc>
                <w:tcPr>
                  <w:tcW w:w="1425" w:type="dxa"/>
                  <w:shd w:val="clear" w:color="auto" w:fill="auto"/>
                </w:tcPr>
                <w:p w:rsidR="00BF0382" w:rsidRDefault="00BF0382" w:rsidP="00BB474C">
                  <w:pPr>
                    <w:spacing w:after="0"/>
                    <w:jc w:val="center"/>
                    <w:rPr>
                      <w:rFonts w:ascii="Calibri" w:hAnsi="Calibri"/>
                      <w:b/>
                    </w:rPr>
                  </w:pPr>
                  <w:r>
                    <w:rPr>
                      <w:rFonts w:ascii="Calibri" w:hAnsi="Calibri"/>
                      <w:b/>
                    </w:rPr>
                    <w:t>CD_Polygon</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GWB1</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1</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GWB1-1</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GWB2</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1</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GWB2-1</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GWB2</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2</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GWB2-2</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GWB3</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2</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GWB3-2</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GWB3</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3</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GWB3-3</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GWB4</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3</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GWB4-3</w:t>
                  </w:r>
                </w:p>
              </w:tc>
            </w:tr>
            <w:tr w:rsidR="00BF0382" w:rsidTr="00BB474C">
              <w:trPr>
                <w:jc w:val="center"/>
              </w:trPr>
              <w:tc>
                <w:tcPr>
                  <w:tcW w:w="1391" w:type="dxa"/>
                  <w:shd w:val="clear" w:color="auto" w:fill="auto"/>
                </w:tcPr>
                <w:p w:rsidR="00BF0382" w:rsidRDefault="00BF0382" w:rsidP="00BB474C">
                  <w:pPr>
                    <w:spacing w:after="0"/>
                    <w:jc w:val="center"/>
                    <w:rPr>
                      <w:rFonts w:ascii="Calibri" w:hAnsi="Calibri"/>
                    </w:rPr>
                  </w:pPr>
                  <w:r>
                    <w:rPr>
                      <w:rFonts w:ascii="Calibri" w:hAnsi="Calibri"/>
                    </w:rPr>
                    <w:t>GWB4</w:t>
                  </w:r>
                </w:p>
              </w:tc>
              <w:tc>
                <w:tcPr>
                  <w:tcW w:w="1039" w:type="dxa"/>
                  <w:shd w:val="clear" w:color="auto" w:fill="auto"/>
                </w:tcPr>
                <w:p w:rsidR="00BF0382" w:rsidRDefault="00BF0382" w:rsidP="00BB474C">
                  <w:pPr>
                    <w:spacing w:after="0"/>
                    <w:jc w:val="center"/>
                    <w:rPr>
                      <w:rFonts w:ascii="Calibri" w:hAnsi="Calibri"/>
                    </w:rPr>
                  </w:pPr>
                  <w:r>
                    <w:rPr>
                      <w:rFonts w:ascii="Calibri" w:hAnsi="Calibri"/>
                    </w:rPr>
                    <w:t>4</w:t>
                  </w:r>
                </w:p>
              </w:tc>
              <w:tc>
                <w:tcPr>
                  <w:tcW w:w="1425" w:type="dxa"/>
                  <w:shd w:val="clear" w:color="auto" w:fill="auto"/>
                </w:tcPr>
                <w:p w:rsidR="00BF0382" w:rsidRDefault="00BF0382" w:rsidP="00BB474C">
                  <w:pPr>
                    <w:spacing w:after="0"/>
                    <w:jc w:val="center"/>
                    <w:rPr>
                      <w:rFonts w:ascii="Calibri" w:hAnsi="Calibri"/>
                    </w:rPr>
                  </w:pPr>
                  <w:r>
                    <w:rPr>
                      <w:rFonts w:ascii="Calibri" w:hAnsi="Calibri"/>
                    </w:rPr>
                    <w:t>GWB4-4</w:t>
                  </w:r>
                </w:p>
              </w:tc>
            </w:tr>
          </w:tbl>
          <w:p w:rsidR="00BF0382" w:rsidRDefault="00BF0382" w:rsidP="00BB474C">
            <w:pPr>
              <w:spacing w:before="120"/>
              <w:rPr>
                <w:b/>
                <w:noProof/>
                <w:lang w:eastAsia="de-AT"/>
              </w:rPr>
            </w:pPr>
          </w:p>
        </w:tc>
      </w:tr>
      <w:tr w:rsidR="00BF0382" w:rsidTr="00BB474C">
        <w:tc>
          <w:tcPr>
            <w:tcW w:w="9622" w:type="dxa"/>
            <w:gridSpan w:val="2"/>
            <w:shd w:val="clear" w:color="auto" w:fill="auto"/>
          </w:tcPr>
          <w:p w:rsidR="00BF0382" w:rsidRDefault="00BF0382" w:rsidP="00BB474C">
            <w:pPr>
              <w:jc w:val="center"/>
              <w:rPr>
                <w:b/>
                <w:noProof/>
                <w:sz w:val="23"/>
                <w:szCs w:val="23"/>
              </w:rPr>
            </w:pPr>
          </w:p>
        </w:tc>
      </w:tr>
    </w:tbl>
    <w:p w:rsidR="00BF0382" w:rsidRDefault="00BF0382" w:rsidP="00BF0382">
      <w:pPr>
        <w:pStyle w:val="Rubrik3"/>
        <w:tabs>
          <w:tab w:val="clear" w:pos="3360"/>
          <w:tab w:val="num" w:pos="2835"/>
        </w:tabs>
      </w:pPr>
      <w:r>
        <w:t>Example 4 – non-contiguous bodies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86"/>
      </w:tblGrid>
      <w:tr w:rsidR="00BF0382" w:rsidRPr="00D95552" w:rsidTr="00BB474C">
        <w:tc>
          <w:tcPr>
            <w:tcW w:w="9622" w:type="dxa"/>
            <w:gridSpan w:val="2"/>
          </w:tcPr>
          <w:p w:rsidR="00BF0382" w:rsidRPr="008D6A99" w:rsidRDefault="00BF0382" w:rsidP="00BB474C">
            <w:pPr>
              <w:spacing w:before="120"/>
              <w:rPr>
                <w:b/>
                <w:noProof/>
                <w:lang w:val="en-GB" w:eastAsia="de-AT"/>
              </w:rPr>
            </w:pPr>
            <w:r w:rsidRPr="008D6A99">
              <w:rPr>
                <w:b/>
                <w:noProof/>
                <w:lang w:val="en-GB" w:eastAsia="de-AT"/>
              </w:rPr>
              <w:t xml:space="preserve">Hydrogeological context – Map view and sectional view </w:t>
            </w:r>
          </w:p>
        </w:tc>
      </w:tr>
      <w:tr w:rsidR="00BF0382" w:rsidTr="00BB474C">
        <w:tc>
          <w:tcPr>
            <w:tcW w:w="4836" w:type="dxa"/>
            <w:tcBorders>
              <w:bottom w:val="single" w:sz="4" w:space="0" w:color="auto"/>
            </w:tcBorders>
          </w:tcPr>
          <w:p w:rsidR="00BF0382" w:rsidRDefault="00BF0382" w:rsidP="00BB474C">
            <w:pPr>
              <w:spacing w:line="276" w:lineRule="auto"/>
              <w:jc w:val="center"/>
              <w:rPr>
                <w:b/>
                <w:sz w:val="23"/>
                <w:szCs w:val="23"/>
              </w:rPr>
            </w:pPr>
            <w:r>
              <w:rPr>
                <w:noProof/>
                <w:lang w:bidi="ar-SA"/>
              </w:rPr>
              <w:drawing>
                <wp:inline distT="0" distB="0" distL="0" distR="0" wp14:anchorId="12B7CF57" wp14:editId="3099F780">
                  <wp:extent cx="2733675" cy="1503827"/>
                  <wp:effectExtent l="0" t="0" r="0" b="1270"/>
                  <wp:docPr id="237"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745100" cy="1510112"/>
                          </a:xfrm>
                          <a:prstGeom prst="rect">
                            <a:avLst/>
                          </a:prstGeom>
                        </pic:spPr>
                      </pic:pic>
                    </a:graphicData>
                  </a:graphic>
                </wp:inline>
              </w:drawing>
            </w:r>
          </w:p>
        </w:tc>
        <w:tc>
          <w:tcPr>
            <w:tcW w:w="4786" w:type="dxa"/>
            <w:tcBorders>
              <w:bottom w:val="single" w:sz="4" w:space="0" w:color="auto"/>
            </w:tcBorders>
          </w:tcPr>
          <w:p w:rsidR="00BF0382" w:rsidRDefault="00BF0382" w:rsidP="00BB474C">
            <w:pPr>
              <w:spacing w:line="276" w:lineRule="auto"/>
              <w:jc w:val="center"/>
              <w:rPr>
                <w:b/>
                <w:sz w:val="23"/>
                <w:szCs w:val="23"/>
              </w:rPr>
            </w:pPr>
            <w:r>
              <w:rPr>
                <w:noProof/>
                <w:lang w:bidi="ar-SA"/>
              </w:rPr>
              <w:drawing>
                <wp:inline distT="0" distB="0" distL="0" distR="0" wp14:anchorId="1DB8BA80" wp14:editId="52D78189">
                  <wp:extent cx="2752725" cy="1500906"/>
                  <wp:effectExtent l="0" t="0" r="0" b="4445"/>
                  <wp:docPr id="238"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752725" cy="1500906"/>
                          </a:xfrm>
                          <a:prstGeom prst="rect">
                            <a:avLst/>
                          </a:prstGeom>
                        </pic:spPr>
                      </pic:pic>
                    </a:graphicData>
                  </a:graphic>
                </wp:inline>
              </w:drawing>
            </w:r>
          </w:p>
        </w:tc>
      </w:tr>
      <w:tr w:rsidR="00BF0382" w:rsidTr="00BB474C">
        <w:tc>
          <w:tcPr>
            <w:tcW w:w="9622" w:type="dxa"/>
            <w:gridSpan w:val="2"/>
            <w:tcBorders>
              <w:top w:val="single" w:sz="4" w:space="0" w:color="auto"/>
            </w:tcBorders>
          </w:tcPr>
          <w:p w:rsidR="00BF0382" w:rsidRDefault="00BF0382" w:rsidP="00BB474C">
            <w:pPr>
              <w:spacing w:before="120"/>
              <w:rPr>
                <w:b/>
                <w:noProof/>
                <w:lang w:val="de-AT" w:eastAsia="de-AT"/>
              </w:rPr>
            </w:pPr>
            <w:r>
              <w:rPr>
                <w:b/>
                <w:noProof/>
                <w:lang w:val="de-AT" w:eastAsia="de-AT"/>
              </w:rPr>
              <w:t>Delineated groundwater bodies</w:t>
            </w:r>
          </w:p>
        </w:tc>
      </w:tr>
      <w:tr w:rsidR="00BF0382" w:rsidTr="00BB474C">
        <w:tc>
          <w:tcPr>
            <w:tcW w:w="4836" w:type="dxa"/>
          </w:tcPr>
          <w:p w:rsidR="00BF0382" w:rsidRDefault="00BF0382" w:rsidP="00BB474C">
            <w:pPr>
              <w:rPr>
                <w:b/>
                <w:noProof/>
                <w:sz w:val="23"/>
                <w:szCs w:val="23"/>
                <w:lang w:val="de-AT" w:eastAsia="de-AT"/>
              </w:rPr>
            </w:pPr>
            <w:r>
              <w:t xml:space="preserve">Example 3 – Map view </w:t>
            </w:r>
          </w:p>
        </w:tc>
        <w:tc>
          <w:tcPr>
            <w:tcW w:w="4786" w:type="dxa"/>
          </w:tcPr>
          <w:p w:rsidR="00BF0382" w:rsidRDefault="00BF0382" w:rsidP="00BB474C">
            <w:pPr>
              <w:jc w:val="center"/>
              <w:rPr>
                <w:b/>
                <w:noProof/>
                <w:sz w:val="23"/>
                <w:szCs w:val="23"/>
                <w:lang w:val="de-AT" w:eastAsia="de-AT"/>
              </w:rPr>
            </w:pPr>
            <w:r>
              <w:t xml:space="preserve">Example 3 – Sectional view </w:t>
            </w:r>
          </w:p>
        </w:tc>
      </w:tr>
      <w:tr w:rsidR="00BF0382" w:rsidTr="00BB474C">
        <w:tc>
          <w:tcPr>
            <w:tcW w:w="4836" w:type="dxa"/>
            <w:tcBorders>
              <w:bottom w:val="single" w:sz="4" w:space="0" w:color="auto"/>
            </w:tcBorders>
          </w:tcPr>
          <w:p w:rsidR="00BF0382" w:rsidRDefault="00BF0382" w:rsidP="00BB474C">
            <w:pPr>
              <w:spacing w:line="276" w:lineRule="auto"/>
              <w:jc w:val="center"/>
              <w:rPr>
                <w:b/>
                <w:sz w:val="23"/>
                <w:szCs w:val="23"/>
              </w:rPr>
            </w:pPr>
            <w:r>
              <w:rPr>
                <w:noProof/>
                <w:lang w:bidi="ar-SA"/>
              </w:rPr>
              <w:drawing>
                <wp:inline distT="0" distB="0" distL="0" distR="0" wp14:anchorId="30915816" wp14:editId="52ED0C5F">
                  <wp:extent cx="2686050" cy="1417804"/>
                  <wp:effectExtent l="0" t="0" r="0" b="0"/>
                  <wp:docPr id="239"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686613" cy="1418101"/>
                          </a:xfrm>
                          <a:prstGeom prst="rect">
                            <a:avLst/>
                          </a:prstGeom>
                        </pic:spPr>
                      </pic:pic>
                    </a:graphicData>
                  </a:graphic>
                </wp:inline>
              </w:drawing>
            </w:r>
          </w:p>
        </w:tc>
        <w:tc>
          <w:tcPr>
            <w:tcW w:w="4786" w:type="dxa"/>
            <w:tcBorders>
              <w:bottom w:val="single" w:sz="4" w:space="0" w:color="auto"/>
            </w:tcBorders>
          </w:tcPr>
          <w:p w:rsidR="00BF0382" w:rsidRDefault="00BF0382" w:rsidP="00BB474C">
            <w:pPr>
              <w:spacing w:line="276" w:lineRule="auto"/>
              <w:jc w:val="center"/>
              <w:rPr>
                <w:b/>
                <w:sz w:val="23"/>
                <w:szCs w:val="23"/>
              </w:rPr>
            </w:pPr>
            <w:r>
              <w:rPr>
                <w:noProof/>
                <w:lang w:bidi="ar-SA"/>
              </w:rPr>
              <w:drawing>
                <wp:inline distT="0" distB="0" distL="0" distR="0" wp14:anchorId="6B00842E" wp14:editId="0DDBD997">
                  <wp:extent cx="2705100" cy="1465787"/>
                  <wp:effectExtent l="0" t="0" r="0" b="1270"/>
                  <wp:docPr id="3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708309" cy="1467526"/>
                          </a:xfrm>
                          <a:prstGeom prst="rect">
                            <a:avLst/>
                          </a:prstGeom>
                        </pic:spPr>
                      </pic:pic>
                    </a:graphicData>
                  </a:graphic>
                </wp:inline>
              </w:drawing>
            </w:r>
          </w:p>
        </w:tc>
      </w:tr>
      <w:tr w:rsidR="00BF0382" w:rsidTr="00BB474C">
        <w:tc>
          <w:tcPr>
            <w:tcW w:w="4836" w:type="dxa"/>
            <w:tcBorders>
              <w:bottom w:val="single" w:sz="4" w:space="0" w:color="auto"/>
            </w:tcBorders>
          </w:tcPr>
          <w:p w:rsidR="00BF0382" w:rsidRDefault="00BF0382" w:rsidP="00BB474C">
            <w:pPr>
              <w:jc w:val="center"/>
              <w:rPr>
                <w:noProof/>
                <w:sz w:val="23"/>
                <w:szCs w:val="23"/>
                <w:lang w:eastAsia="en-GB"/>
              </w:rPr>
            </w:pPr>
          </w:p>
          <w:p w:rsidR="00BF0382" w:rsidRDefault="00BF0382" w:rsidP="00BB474C">
            <w:pPr>
              <w:jc w:val="center"/>
              <w:rPr>
                <w:noProof/>
                <w:sz w:val="23"/>
                <w:szCs w:val="23"/>
                <w:lang w:eastAsia="en-GB"/>
              </w:rPr>
            </w:pPr>
          </w:p>
        </w:tc>
        <w:tc>
          <w:tcPr>
            <w:tcW w:w="4786" w:type="dxa"/>
            <w:tcBorders>
              <w:bottom w:val="single" w:sz="4" w:space="0" w:color="auto"/>
            </w:tcBorders>
          </w:tcPr>
          <w:p w:rsidR="00BF0382" w:rsidRDefault="00BF0382" w:rsidP="00BB474C">
            <w:pPr>
              <w:jc w:val="center"/>
              <w:rPr>
                <w:noProof/>
                <w:sz w:val="23"/>
                <w:szCs w:val="23"/>
                <w:lang w:eastAsia="en-GB"/>
              </w:rPr>
            </w:pPr>
          </w:p>
        </w:tc>
      </w:tr>
      <w:tr w:rsidR="00BF0382" w:rsidTr="00BB474C">
        <w:tc>
          <w:tcPr>
            <w:tcW w:w="9622" w:type="dxa"/>
            <w:gridSpan w:val="2"/>
            <w:tcBorders>
              <w:top w:val="single" w:sz="4" w:space="0" w:color="auto"/>
            </w:tcBorders>
          </w:tcPr>
          <w:p w:rsidR="00BF0382" w:rsidRDefault="00BF0382" w:rsidP="00BB474C">
            <w:pPr>
              <w:spacing w:before="120"/>
              <w:rPr>
                <w:b/>
                <w:noProof/>
                <w:lang w:val="de-AT" w:eastAsia="de-AT"/>
              </w:rPr>
            </w:pPr>
            <w:r>
              <w:rPr>
                <w:b/>
                <w:noProof/>
                <w:lang w:val="de-AT" w:eastAsia="de-AT"/>
              </w:rPr>
              <w:t>Horizon assignment – Map view</w:t>
            </w:r>
          </w:p>
        </w:tc>
      </w:tr>
      <w:tr w:rsidR="00BF0382" w:rsidTr="00BB474C">
        <w:tc>
          <w:tcPr>
            <w:tcW w:w="4836" w:type="dxa"/>
          </w:tcPr>
          <w:p w:rsidR="00BF0382" w:rsidRDefault="00BF0382" w:rsidP="00BB474C">
            <w:r>
              <w:t>Example 3 – Horizon 1</w:t>
            </w:r>
          </w:p>
        </w:tc>
        <w:tc>
          <w:tcPr>
            <w:tcW w:w="4786" w:type="dxa"/>
          </w:tcPr>
          <w:p w:rsidR="00BF0382" w:rsidRDefault="00BF0382" w:rsidP="00BB474C">
            <w:r>
              <w:t>Example 3 – Horizon 3</w:t>
            </w:r>
          </w:p>
        </w:tc>
      </w:tr>
      <w:tr w:rsidR="00BF0382" w:rsidTr="00BB474C">
        <w:tc>
          <w:tcPr>
            <w:tcW w:w="4836" w:type="dxa"/>
          </w:tcPr>
          <w:p w:rsidR="00BF0382" w:rsidRDefault="00BF0382" w:rsidP="00BB474C">
            <w:pPr>
              <w:spacing w:line="276" w:lineRule="auto"/>
              <w:jc w:val="center"/>
              <w:rPr>
                <w:b/>
              </w:rPr>
            </w:pPr>
            <w:r>
              <w:rPr>
                <w:noProof/>
                <w:lang w:bidi="ar-SA"/>
              </w:rPr>
              <w:drawing>
                <wp:inline distT="0" distB="0" distL="0" distR="0" wp14:anchorId="46373984" wp14:editId="4FA6579E">
                  <wp:extent cx="2752725" cy="1431173"/>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761560" cy="1435766"/>
                          </a:xfrm>
                          <a:prstGeom prst="rect">
                            <a:avLst/>
                          </a:prstGeom>
                        </pic:spPr>
                      </pic:pic>
                    </a:graphicData>
                  </a:graphic>
                </wp:inline>
              </w:drawing>
            </w:r>
          </w:p>
        </w:tc>
        <w:tc>
          <w:tcPr>
            <w:tcW w:w="4786" w:type="dxa"/>
          </w:tcPr>
          <w:p w:rsidR="00BF0382" w:rsidRDefault="00BF0382" w:rsidP="00BB474C">
            <w:pPr>
              <w:spacing w:line="276" w:lineRule="auto"/>
              <w:jc w:val="center"/>
              <w:rPr>
                <w:b/>
              </w:rPr>
            </w:pPr>
            <w:r>
              <w:rPr>
                <w:noProof/>
                <w:lang w:bidi="ar-SA"/>
              </w:rPr>
              <w:drawing>
                <wp:inline distT="0" distB="0" distL="0" distR="0" wp14:anchorId="3B7C19FF" wp14:editId="22FE1E0F">
                  <wp:extent cx="2714625" cy="1441768"/>
                  <wp:effectExtent l="0" t="0" r="0" b="635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714625" cy="1441768"/>
                          </a:xfrm>
                          <a:prstGeom prst="rect">
                            <a:avLst/>
                          </a:prstGeom>
                        </pic:spPr>
                      </pic:pic>
                    </a:graphicData>
                  </a:graphic>
                </wp:inline>
              </w:drawing>
            </w:r>
          </w:p>
        </w:tc>
      </w:tr>
      <w:tr w:rsidR="00BF0382" w:rsidTr="00BB474C">
        <w:tc>
          <w:tcPr>
            <w:tcW w:w="4836" w:type="dxa"/>
          </w:tcPr>
          <w:p w:rsidR="00BF0382" w:rsidRDefault="00BF0382" w:rsidP="00BB474C">
            <w:r>
              <w:t>Example 3 – Horizon 2</w:t>
            </w:r>
          </w:p>
        </w:tc>
        <w:tc>
          <w:tcPr>
            <w:tcW w:w="4786" w:type="dxa"/>
          </w:tcPr>
          <w:p w:rsidR="00BF0382" w:rsidRDefault="00BF0382" w:rsidP="00BB474C"/>
        </w:tc>
      </w:tr>
      <w:tr w:rsidR="00BF0382" w:rsidTr="00BB474C">
        <w:tc>
          <w:tcPr>
            <w:tcW w:w="4836" w:type="dxa"/>
            <w:tcBorders>
              <w:bottom w:val="single" w:sz="4" w:space="0" w:color="auto"/>
            </w:tcBorders>
          </w:tcPr>
          <w:p w:rsidR="00BF0382" w:rsidRDefault="00BF0382" w:rsidP="00BB474C">
            <w:pPr>
              <w:spacing w:line="276" w:lineRule="auto"/>
              <w:jc w:val="center"/>
              <w:rPr>
                <w:b/>
              </w:rPr>
            </w:pPr>
            <w:r>
              <w:rPr>
                <w:noProof/>
                <w:lang w:bidi="ar-SA"/>
              </w:rPr>
              <w:drawing>
                <wp:inline distT="0" distB="0" distL="0" distR="0" wp14:anchorId="09D3F7CD" wp14:editId="23D6187D">
                  <wp:extent cx="2743200" cy="1429384"/>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752230" cy="1434089"/>
                          </a:xfrm>
                          <a:prstGeom prst="rect">
                            <a:avLst/>
                          </a:prstGeom>
                        </pic:spPr>
                      </pic:pic>
                    </a:graphicData>
                  </a:graphic>
                </wp:inline>
              </w:drawing>
            </w:r>
          </w:p>
        </w:tc>
        <w:tc>
          <w:tcPr>
            <w:tcW w:w="4786" w:type="dxa"/>
            <w:tcBorders>
              <w:bottom w:val="single" w:sz="4" w:space="0" w:color="auto"/>
            </w:tcBorders>
          </w:tcPr>
          <w:p w:rsidR="00BF0382" w:rsidRDefault="00BF0382" w:rsidP="00BB474C">
            <w:pPr>
              <w:spacing w:line="276" w:lineRule="auto"/>
              <w:rPr>
                <w:b/>
              </w:rPr>
            </w:pPr>
          </w:p>
        </w:tc>
      </w:tr>
      <w:tr w:rsidR="00BF0382" w:rsidTr="00BB474C">
        <w:tc>
          <w:tcPr>
            <w:tcW w:w="9622" w:type="dxa"/>
            <w:gridSpan w:val="2"/>
            <w:tcBorders>
              <w:top w:val="single" w:sz="4" w:space="0" w:color="auto"/>
            </w:tcBorders>
          </w:tcPr>
          <w:p w:rsidR="00BF0382" w:rsidRDefault="00BF0382" w:rsidP="00BB474C">
            <w:pPr>
              <w:spacing w:before="120"/>
              <w:rPr>
                <w:b/>
                <w:noProof/>
                <w:lang w:eastAsia="de-AT"/>
              </w:rPr>
            </w:pPr>
            <w:r>
              <w:rPr>
                <w:b/>
                <w:noProof/>
                <w:lang w:eastAsia="de-AT"/>
              </w:rPr>
              <w:t>Horizon assignment – Vertical subsequential arrangement</w:t>
            </w:r>
          </w:p>
        </w:tc>
      </w:tr>
      <w:tr w:rsidR="00BF0382" w:rsidTr="00BB474C">
        <w:tc>
          <w:tcPr>
            <w:tcW w:w="9622" w:type="dxa"/>
            <w:gridSpan w:val="2"/>
          </w:tcPr>
          <w:p w:rsidR="00BF0382" w:rsidRDefault="00BF0382" w:rsidP="00BB474C">
            <w:pPr>
              <w:jc w:val="center"/>
              <w:rPr>
                <w:b/>
                <w:noProof/>
                <w:lang w:val="de-AT" w:eastAsia="de-AT"/>
              </w:rPr>
            </w:pPr>
            <w:r>
              <w:rPr>
                <w:noProof/>
                <w:lang w:bidi="ar-SA"/>
              </w:rPr>
              <w:drawing>
                <wp:inline distT="0" distB="0" distL="0" distR="0" wp14:anchorId="677642E8" wp14:editId="3EF1B3C5">
                  <wp:extent cx="4438650" cy="771525"/>
                  <wp:effectExtent l="0" t="0" r="0" b="952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438650" cy="771525"/>
                          </a:xfrm>
                          <a:prstGeom prst="rect">
                            <a:avLst/>
                          </a:prstGeom>
                        </pic:spPr>
                      </pic:pic>
                    </a:graphicData>
                  </a:graphic>
                </wp:inline>
              </w:drawing>
            </w:r>
          </w:p>
          <w:p w:rsidR="00BF0382" w:rsidRDefault="00BF0382" w:rsidP="00BB474C">
            <w:pPr>
              <w:jc w:val="center"/>
              <w:rPr>
                <w:b/>
                <w:noProof/>
                <w:lang w:val="de-AT" w:eastAsia="de-AT"/>
              </w:rPr>
            </w:pPr>
          </w:p>
        </w:tc>
      </w:tr>
      <w:tr w:rsidR="00BF0382" w:rsidTr="00BB474C">
        <w:tc>
          <w:tcPr>
            <w:tcW w:w="9622" w:type="dxa"/>
            <w:gridSpan w:val="2"/>
            <w:tcBorders>
              <w:top w:val="single" w:sz="4" w:space="0" w:color="auto"/>
            </w:tcBorders>
          </w:tcPr>
          <w:p w:rsidR="00BF0382" w:rsidRPr="008D6A99" w:rsidRDefault="00BF0382" w:rsidP="00BB474C">
            <w:pPr>
              <w:spacing w:before="120"/>
              <w:rPr>
                <w:b/>
                <w:lang w:val="en-GB"/>
              </w:rPr>
            </w:pPr>
            <w:r w:rsidRPr="008D6A99">
              <w:rPr>
                <w:b/>
                <w:lang w:val="en-GB"/>
              </w:rPr>
              <w:t>Proposal for GIS layer reporting:</w:t>
            </w:r>
          </w:p>
          <w:p w:rsidR="00BF0382" w:rsidRPr="008D6A99" w:rsidRDefault="00BF0382" w:rsidP="00BB474C">
            <w:pPr>
              <w:spacing w:before="120"/>
              <w:rPr>
                <w:b/>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039"/>
              <w:gridCol w:w="1425"/>
            </w:tblGrid>
            <w:tr w:rsidR="00BF0382" w:rsidTr="00BB474C">
              <w:trPr>
                <w:jc w:val="center"/>
              </w:trPr>
              <w:tc>
                <w:tcPr>
                  <w:tcW w:w="1391" w:type="dxa"/>
                  <w:shd w:val="clear" w:color="auto" w:fill="auto"/>
                </w:tcPr>
                <w:p w:rsidR="00BF0382" w:rsidRDefault="00BF0382" w:rsidP="00BB474C">
                  <w:pPr>
                    <w:rPr>
                      <w:b/>
                    </w:rPr>
                  </w:pPr>
                  <w:r>
                    <w:rPr>
                      <w:b/>
                    </w:rPr>
                    <w:t>EU_CD_GW</w:t>
                  </w:r>
                </w:p>
              </w:tc>
              <w:tc>
                <w:tcPr>
                  <w:tcW w:w="1039" w:type="dxa"/>
                  <w:shd w:val="clear" w:color="auto" w:fill="auto"/>
                </w:tcPr>
                <w:p w:rsidR="00BF0382" w:rsidRDefault="00BF0382" w:rsidP="00BB474C">
                  <w:pPr>
                    <w:rPr>
                      <w:b/>
                    </w:rPr>
                  </w:pPr>
                  <w:r>
                    <w:rPr>
                      <w:b/>
                    </w:rPr>
                    <w:t>Horizon</w:t>
                  </w:r>
                </w:p>
              </w:tc>
              <w:tc>
                <w:tcPr>
                  <w:tcW w:w="1425" w:type="dxa"/>
                  <w:shd w:val="clear" w:color="auto" w:fill="auto"/>
                </w:tcPr>
                <w:p w:rsidR="00BF0382" w:rsidRDefault="00BF0382" w:rsidP="00BB474C">
                  <w:pPr>
                    <w:rPr>
                      <w:b/>
                    </w:rPr>
                  </w:pPr>
                  <w:r>
                    <w:rPr>
                      <w:b/>
                    </w:rPr>
                    <w:t>CD_Polygon</w:t>
                  </w:r>
                </w:p>
              </w:tc>
            </w:tr>
            <w:tr w:rsidR="00BF0382" w:rsidTr="00BB474C">
              <w:trPr>
                <w:jc w:val="center"/>
              </w:trPr>
              <w:tc>
                <w:tcPr>
                  <w:tcW w:w="1391" w:type="dxa"/>
                  <w:shd w:val="clear" w:color="auto" w:fill="auto"/>
                </w:tcPr>
                <w:p w:rsidR="00BF0382" w:rsidRDefault="00BF0382" w:rsidP="00BB474C">
                  <w:pPr>
                    <w:spacing w:after="0"/>
                    <w:jc w:val="center"/>
                  </w:pPr>
                  <w:r>
                    <w:t>GWB1</w:t>
                  </w:r>
                </w:p>
              </w:tc>
              <w:tc>
                <w:tcPr>
                  <w:tcW w:w="1039" w:type="dxa"/>
                  <w:shd w:val="clear" w:color="auto" w:fill="auto"/>
                </w:tcPr>
                <w:p w:rsidR="00BF0382" w:rsidRDefault="00BF0382" w:rsidP="00BB474C">
                  <w:pPr>
                    <w:spacing w:after="0"/>
                    <w:jc w:val="center"/>
                  </w:pPr>
                  <w:r>
                    <w:t>1</w:t>
                  </w:r>
                </w:p>
              </w:tc>
              <w:tc>
                <w:tcPr>
                  <w:tcW w:w="1425" w:type="dxa"/>
                  <w:shd w:val="clear" w:color="auto" w:fill="auto"/>
                </w:tcPr>
                <w:p w:rsidR="00BF0382" w:rsidRDefault="00BF0382" w:rsidP="00BB474C">
                  <w:pPr>
                    <w:spacing w:after="0"/>
                    <w:jc w:val="center"/>
                  </w:pPr>
                  <w:r>
                    <w:t>GWB1-1</w:t>
                  </w:r>
                </w:p>
              </w:tc>
            </w:tr>
            <w:tr w:rsidR="00BF0382" w:rsidTr="00BB474C">
              <w:trPr>
                <w:jc w:val="center"/>
              </w:trPr>
              <w:tc>
                <w:tcPr>
                  <w:tcW w:w="1391" w:type="dxa"/>
                  <w:shd w:val="clear" w:color="auto" w:fill="auto"/>
                </w:tcPr>
                <w:p w:rsidR="00BF0382" w:rsidRDefault="00BF0382" w:rsidP="00BB474C">
                  <w:pPr>
                    <w:spacing w:after="0"/>
                    <w:jc w:val="center"/>
                  </w:pPr>
                  <w:r>
                    <w:t>GWB3</w:t>
                  </w:r>
                </w:p>
              </w:tc>
              <w:tc>
                <w:tcPr>
                  <w:tcW w:w="1039" w:type="dxa"/>
                  <w:shd w:val="clear" w:color="auto" w:fill="auto"/>
                </w:tcPr>
                <w:p w:rsidR="00BF0382" w:rsidRDefault="00BF0382" w:rsidP="00BB474C">
                  <w:pPr>
                    <w:spacing w:after="0"/>
                    <w:jc w:val="center"/>
                  </w:pPr>
                  <w:r>
                    <w:t>1</w:t>
                  </w:r>
                </w:p>
              </w:tc>
              <w:tc>
                <w:tcPr>
                  <w:tcW w:w="1425" w:type="dxa"/>
                  <w:shd w:val="clear" w:color="auto" w:fill="auto"/>
                </w:tcPr>
                <w:p w:rsidR="00BF0382" w:rsidRDefault="00BF0382" w:rsidP="00BB474C">
                  <w:pPr>
                    <w:spacing w:after="0"/>
                    <w:jc w:val="center"/>
                  </w:pPr>
                  <w:r>
                    <w:t>GWB3-2</w:t>
                  </w:r>
                </w:p>
              </w:tc>
            </w:tr>
            <w:tr w:rsidR="00BF0382" w:rsidTr="00BB474C">
              <w:trPr>
                <w:jc w:val="center"/>
              </w:trPr>
              <w:tc>
                <w:tcPr>
                  <w:tcW w:w="1391" w:type="dxa"/>
                  <w:shd w:val="clear" w:color="auto" w:fill="auto"/>
                </w:tcPr>
                <w:p w:rsidR="00BF0382" w:rsidRDefault="00BF0382" w:rsidP="00BB474C">
                  <w:pPr>
                    <w:spacing w:after="0"/>
                    <w:jc w:val="center"/>
                  </w:pPr>
                  <w:r>
                    <w:t>GWB2</w:t>
                  </w:r>
                </w:p>
              </w:tc>
              <w:tc>
                <w:tcPr>
                  <w:tcW w:w="1039" w:type="dxa"/>
                  <w:shd w:val="clear" w:color="auto" w:fill="auto"/>
                </w:tcPr>
                <w:p w:rsidR="00BF0382" w:rsidRDefault="00BF0382" w:rsidP="00BB474C">
                  <w:pPr>
                    <w:spacing w:after="0"/>
                    <w:jc w:val="center"/>
                  </w:pPr>
                  <w:r>
                    <w:t>2</w:t>
                  </w:r>
                </w:p>
              </w:tc>
              <w:tc>
                <w:tcPr>
                  <w:tcW w:w="1425" w:type="dxa"/>
                  <w:shd w:val="clear" w:color="auto" w:fill="auto"/>
                </w:tcPr>
                <w:p w:rsidR="00BF0382" w:rsidRDefault="00BF0382" w:rsidP="00BB474C">
                  <w:pPr>
                    <w:spacing w:after="0"/>
                    <w:jc w:val="center"/>
                  </w:pPr>
                  <w:r>
                    <w:t>GWB2-2</w:t>
                  </w:r>
                </w:p>
              </w:tc>
            </w:tr>
            <w:tr w:rsidR="00BF0382" w:rsidTr="00BB474C">
              <w:trPr>
                <w:jc w:val="center"/>
              </w:trPr>
              <w:tc>
                <w:tcPr>
                  <w:tcW w:w="1391" w:type="dxa"/>
                  <w:shd w:val="clear" w:color="auto" w:fill="auto"/>
                </w:tcPr>
                <w:p w:rsidR="00BF0382" w:rsidRDefault="00BF0382" w:rsidP="00BB474C">
                  <w:pPr>
                    <w:spacing w:after="0"/>
                    <w:jc w:val="center"/>
                  </w:pPr>
                  <w:r>
                    <w:t>GWB3</w:t>
                  </w:r>
                </w:p>
              </w:tc>
              <w:tc>
                <w:tcPr>
                  <w:tcW w:w="1039" w:type="dxa"/>
                  <w:shd w:val="clear" w:color="auto" w:fill="auto"/>
                </w:tcPr>
                <w:p w:rsidR="00BF0382" w:rsidRDefault="00BF0382" w:rsidP="00BB474C">
                  <w:pPr>
                    <w:spacing w:after="0"/>
                    <w:jc w:val="center"/>
                  </w:pPr>
                  <w:r>
                    <w:t>2</w:t>
                  </w:r>
                </w:p>
              </w:tc>
              <w:tc>
                <w:tcPr>
                  <w:tcW w:w="1425" w:type="dxa"/>
                  <w:shd w:val="clear" w:color="auto" w:fill="auto"/>
                </w:tcPr>
                <w:p w:rsidR="00BF0382" w:rsidRDefault="00BF0382" w:rsidP="00BB474C">
                  <w:pPr>
                    <w:spacing w:after="0"/>
                    <w:jc w:val="center"/>
                  </w:pPr>
                  <w:r>
                    <w:t>GWB3-2</w:t>
                  </w:r>
                </w:p>
              </w:tc>
            </w:tr>
            <w:tr w:rsidR="00BF0382" w:rsidTr="00BB474C">
              <w:trPr>
                <w:jc w:val="center"/>
              </w:trPr>
              <w:tc>
                <w:tcPr>
                  <w:tcW w:w="1391" w:type="dxa"/>
                  <w:shd w:val="clear" w:color="auto" w:fill="auto"/>
                </w:tcPr>
                <w:p w:rsidR="00BF0382" w:rsidRDefault="00BF0382" w:rsidP="00BB474C">
                  <w:pPr>
                    <w:spacing w:after="0"/>
                    <w:jc w:val="center"/>
                  </w:pPr>
                  <w:r>
                    <w:t>GWB3</w:t>
                  </w:r>
                </w:p>
              </w:tc>
              <w:tc>
                <w:tcPr>
                  <w:tcW w:w="1039" w:type="dxa"/>
                  <w:shd w:val="clear" w:color="auto" w:fill="auto"/>
                </w:tcPr>
                <w:p w:rsidR="00BF0382" w:rsidRDefault="00BF0382" w:rsidP="00BB474C">
                  <w:pPr>
                    <w:spacing w:after="0"/>
                    <w:jc w:val="center"/>
                  </w:pPr>
                  <w:r>
                    <w:t>3</w:t>
                  </w:r>
                </w:p>
              </w:tc>
              <w:tc>
                <w:tcPr>
                  <w:tcW w:w="1425" w:type="dxa"/>
                  <w:shd w:val="clear" w:color="auto" w:fill="auto"/>
                </w:tcPr>
                <w:p w:rsidR="00BF0382" w:rsidRDefault="00BF0382" w:rsidP="00BB474C">
                  <w:pPr>
                    <w:spacing w:after="0"/>
                    <w:jc w:val="center"/>
                  </w:pPr>
                  <w:r>
                    <w:t>GWB3-3</w:t>
                  </w:r>
                </w:p>
              </w:tc>
            </w:tr>
          </w:tbl>
          <w:p w:rsidR="00BF0382" w:rsidRDefault="00BF0382" w:rsidP="00BB474C">
            <w:pPr>
              <w:spacing w:before="120"/>
              <w:rPr>
                <w:b/>
                <w:noProof/>
                <w:lang w:eastAsia="de-AT"/>
              </w:rPr>
            </w:pPr>
          </w:p>
        </w:tc>
      </w:tr>
      <w:tr w:rsidR="00BF0382" w:rsidTr="00BB474C">
        <w:tc>
          <w:tcPr>
            <w:tcW w:w="9622" w:type="dxa"/>
            <w:gridSpan w:val="2"/>
          </w:tcPr>
          <w:p w:rsidR="00BF0382" w:rsidRDefault="00BF0382" w:rsidP="00BB474C">
            <w:pPr>
              <w:jc w:val="center"/>
              <w:rPr>
                <w:b/>
                <w:noProof/>
                <w:sz w:val="23"/>
                <w:szCs w:val="23"/>
              </w:rPr>
            </w:pPr>
          </w:p>
        </w:tc>
      </w:tr>
    </w:tbl>
    <w:p w:rsidR="00BF0382" w:rsidRDefault="00BF0382" w:rsidP="00BF0382"/>
    <w:p w:rsidR="00BF0382" w:rsidRPr="008D6A99" w:rsidRDefault="00BF0382" w:rsidP="00BF0382">
      <w:pPr>
        <w:pStyle w:val="Rubrik2"/>
        <w:jc w:val="both"/>
        <w:rPr>
          <w:lang w:val="en-GB"/>
        </w:rPr>
      </w:pPr>
      <w:bookmarkStart w:id="937" w:name="_Toc386462470"/>
      <w:bookmarkStart w:id="938" w:name="_Toc386464275"/>
      <w:bookmarkStart w:id="939" w:name="_Toc388524219"/>
      <w:bookmarkStart w:id="940" w:name="_Toc389206540"/>
      <w:bookmarkStart w:id="941" w:name="_Toc403040993"/>
      <w:bookmarkStart w:id="942" w:name="_Toc432666122"/>
      <w:bookmarkStart w:id="943" w:name="_Toc437520318"/>
      <w:r w:rsidRPr="008D6A99">
        <w:rPr>
          <w:lang w:val="en-GB"/>
        </w:rPr>
        <w:t>Migration from current horizon classification to the amended proposal</w:t>
      </w:r>
      <w:bookmarkEnd w:id="937"/>
      <w:bookmarkEnd w:id="938"/>
      <w:bookmarkEnd w:id="939"/>
      <w:bookmarkEnd w:id="940"/>
      <w:bookmarkEnd w:id="941"/>
      <w:bookmarkEnd w:id="942"/>
      <w:bookmarkEnd w:id="943"/>
    </w:p>
    <w:p w:rsidR="00BF0382" w:rsidRPr="008D6A99" w:rsidRDefault="00BF0382" w:rsidP="00BF0382">
      <w:pPr>
        <w:pStyle w:val="Rubrik3"/>
        <w:tabs>
          <w:tab w:val="clear" w:pos="3360"/>
          <w:tab w:val="num" w:pos="2835"/>
        </w:tabs>
        <w:rPr>
          <w:lang w:val="en-GB"/>
        </w:rPr>
      </w:pPr>
      <w:r w:rsidRPr="008D6A99">
        <w:rPr>
          <w:lang w:val="en-GB"/>
        </w:rPr>
        <w:t>No overlapped GWBs in one unique horizon</w:t>
      </w:r>
    </w:p>
    <w:p w:rsidR="00BF0382" w:rsidRPr="008D6A99" w:rsidRDefault="00BF0382" w:rsidP="00BF0382">
      <w:pPr>
        <w:rPr>
          <w:lang w:val="en-GB"/>
        </w:rPr>
      </w:pPr>
      <w:r w:rsidRPr="008D6A99">
        <w:rPr>
          <w:lang w:val="en-GB"/>
        </w:rPr>
        <w:t xml:space="preserve">For a large majority of Member States, each groundwater body is assigned to one unique horizon and there are no overlapped groundwater bodies within one horizon. </w:t>
      </w:r>
    </w:p>
    <w:p w:rsidR="00BF0382" w:rsidRPr="008D6A99" w:rsidRDefault="00BF0382" w:rsidP="00BF0382">
      <w:pPr>
        <w:rPr>
          <w:lang w:val="en-GB"/>
        </w:rPr>
      </w:pPr>
      <w:r w:rsidRPr="008D6A99">
        <w:rPr>
          <w:lang w:val="en-GB"/>
        </w:rPr>
        <w:t>In this case, the procedure proposed to re-assigned horizon number in accordance with the amended proposal is the following:</w:t>
      </w:r>
    </w:p>
    <w:p w:rsidR="00BF0382" w:rsidRDefault="00BF0382" w:rsidP="00BF0382">
      <w:r>
        <w:rPr>
          <w:noProof/>
          <w:lang w:bidi="ar-SA"/>
        </w:rPr>
        <mc:AlternateContent>
          <mc:Choice Requires="wps">
            <w:drawing>
              <wp:anchor distT="0" distB="0" distL="114300" distR="114300" simplePos="0" relativeHeight="251682816" behindDoc="0" locked="0" layoutInCell="1" allowOverlap="1" wp14:anchorId="598A5F36" wp14:editId="2C7381DF">
                <wp:simplePos x="0" y="0"/>
                <wp:positionH relativeFrom="column">
                  <wp:posOffset>3694430</wp:posOffset>
                </wp:positionH>
                <wp:positionV relativeFrom="paragraph">
                  <wp:posOffset>6621145</wp:posOffset>
                </wp:positionV>
                <wp:extent cx="2354580" cy="822960"/>
                <wp:effectExtent l="0" t="0" r="26670" b="152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822960"/>
                        </a:xfrm>
                        <a:prstGeom prst="rect">
                          <a:avLst/>
                        </a:prstGeom>
                        <a:solidFill>
                          <a:sysClr val="window" lastClr="FFFFFF"/>
                        </a:solidFill>
                        <a:ln w="6350">
                          <a:solidFill>
                            <a:prstClr val="black"/>
                          </a:solidFill>
                        </a:ln>
                        <a:effectLst/>
                      </wps:spPr>
                      <wps:txbx>
                        <w:txbxContent>
                          <w:p w:rsidR="003F7836" w:rsidRPr="008D6A99" w:rsidRDefault="003F7836" w:rsidP="00BF0382">
                            <w:pPr>
                              <w:jc w:val="center"/>
                              <w:rPr>
                                <w:color w:val="000000" w:themeColor="text1"/>
                                <w:lang w:val="en-GB"/>
                              </w:rPr>
                            </w:pPr>
                            <w:r w:rsidRPr="008D6A99">
                              <w:rPr>
                                <w:b/>
                                <w:color w:val="000000" w:themeColor="text1"/>
                                <w:lang w:val="en-GB"/>
                              </w:rPr>
                              <w:t>STEP 3</w:t>
                            </w:r>
                            <w:r w:rsidRPr="008D6A99">
                              <w:rPr>
                                <w:color w:val="000000" w:themeColor="text1"/>
                                <w:lang w:val="en-GB"/>
                              </w:rPr>
                              <w:t>: Reunification of polygons assigned to the same GWB and the same horizon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1" o:spid="_x0000_s1035" type="#_x0000_t202" style="position:absolute;margin-left:290.9pt;margin-top:521.35pt;width:185.4pt;height:6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uXagIAAOI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" fillcolor="window" strokeweight=".5pt">
                <v:path arrowok="t"/>
                <v:textbox>
                  <w:txbxContent>
                    <w:p w:rsidR="003F7836" w:rsidRPr="008D6A99" w:rsidRDefault="003F7836" w:rsidP="00BF0382">
                      <w:pPr>
                        <w:jc w:val="center"/>
                        <w:rPr>
                          <w:color w:val="000000" w:themeColor="text1"/>
                          <w:lang w:val="en-GB"/>
                        </w:rPr>
                      </w:pPr>
                      <w:r w:rsidRPr="008D6A99">
                        <w:rPr>
                          <w:b/>
                          <w:color w:val="000000" w:themeColor="text1"/>
                          <w:lang w:val="en-GB"/>
                        </w:rPr>
                        <w:t>STEP 3</w:t>
                      </w:r>
                      <w:r w:rsidRPr="008D6A99">
                        <w:rPr>
                          <w:color w:val="000000" w:themeColor="text1"/>
                          <w:lang w:val="en-GB"/>
                        </w:rPr>
                        <w:t>: Reunification of polygons assigned to the same GWB and the same horizon number.</w:t>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14:anchorId="664A0706" wp14:editId="40FC682B">
                <wp:simplePos x="0" y="0"/>
                <wp:positionH relativeFrom="column">
                  <wp:posOffset>3629660</wp:posOffset>
                </wp:positionH>
                <wp:positionV relativeFrom="paragraph">
                  <wp:posOffset>4352925</wp:posOffset>
                </wp:positionV>
                <wp:extent cx="2354580" cy="1024255"/>
                <wp:effectExtent l="0" t="0" r="26670" b="2349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1024255"/>
                        </a:xfrm>
                        <a:prstGeom prst="rect">
                          <a:avLst/>
                        </a:prstGeom>
                        <a:solidFill>
                          <a:sysClr val="window" lastClr="FFFFFF"/>
                        </a:solidFill>
                        <a:ln w="6350">
                          <a:solidFill>
                            <a:prstClr val="black"/>
                          </a:solidFill>
                        </a:ln>
                        <a:effectLst/>
                      </wps:spPr>
                      <wps:txbx>
                        <w:txbxContent>
                          <w:p w:rsidR="003F7836" w:rsidRPr="008D6A99" w:rsidRDefault="003F7836" w:rsidP="00BF0382">
                            <w:pPr>
                              <w:jc w:val="center"/>
                              <w:rPr>
                                <w:color w:val="000000" w:themeColor="text1"/>
                                <w:lang w:val="en-GB"/>
                              </w:rPr>
                            </w:pPr>
                            <w:r w:rsidRPr="008D6A99">
                              <w:rPr>
                                <w:b/>
                                <w:color w:val="000000" w:themeColor="text1"/>
                                <w:lang w:val="en-GB"/>
                              </w:rPr>
                              <w:t>STEP 2</w:t>
                            </w:r>
                            <w:r w:rsidRPr="008D6A99">
                              <w:rPr>
                                <w:color w:val="000000" w:themeColor="text1"/>
                                <w:lang w:val="en-GB"/>
                              </w:rPr>
                              <w:t>: Replication of each intermediary polygon as many times as different GWBs are concerned and assignment to GWBs.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6" type="#_x0000_t202" style="position:absolute;margin-left:285.8pt;margin-top:342.75pt;width:185.4pt;height:8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" fillcolor="window" strokeweight=".5pt">
                <v:path arrowok="t"/>
                <v:textbox>
                  <w:txbxContent>
                    <w:p w:rsidR="003F7836" w:rsidRPr="008D6A99" w:rsidRDefault="003F7836" w:rsidP="00BF0382">
                      <w:pPr>
                        <w:jc w:val="center"/>
                        <w:rPr>
                          <w:color w:val="000000" w:themeColor="text1"/>
                          <w:lang w:val="en-GB"/>
                        </w:rPr>
                      </w:pPr>
                      <w:r w:rsidRPr="008D6A99">
                        <w:rPr>
                          <w:b/>
                          <w:color w:val="000000" w:themeColor="text1"/>
                          <w:lang w:val="en-GB"/>
                        </w:rPr>
                        <w:t>STEP 2</w:t>
                      </w:r>
                      <w:r w:rsidRPr="008D6A99">
                        <w:rPr>
                          <w:color w:val="000000" w:themeColor="text1"/>
                          <w:lang w:val="en-GB"/>
                        </w:rPr>
                        <w:t>: Replication of each intermediary polygon as many times as different GWBs are concerned and assignment to GWBs.</w:t>
                      </w:r>
                    </w:p>
                  </w:txbxContent>
                </v:textbox>
              </v:shape>
            </w:pict>
          </mc:Fallback>
        </mc:AlternateContent>
      </w:r>
      <w:r>
        <w:rPr>
          <w:noProof/>
          <w:lang w:bidi="ar-SA"/>
        </w:rPr>
        <mc:AlternateContent>
          <mc:Choice Requires="wps">
            <w:drawing>
              <wp:anchor distT="0" distB="0" distL="114300" distR="114300" simplePos="0" relativeHeight="251677696" behindDoc="0" locked="0" layoutInCell="1" allowOverlap="1" wp14:anchorId="2E34FE2F" wp14:editId="42080C45">
                <wp:simplePos x="0" y="0"/>
                <wp:positionH relativeFrom="column">
                  <wp:posOffset>3634740</wp:posOffset>
                </wp:positionH>
                <wp:positionV relativeFrom="paragraph">
                  <wp:posOffset>47625</wp:posOffset>
                </wp:positionV>
                <wp:extent cx="2349500" cy="614045"/>
                <wp:effectExtent l="0" t="0" r="12700" b="146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614045"/>
                        </a:xfrm>
                        <a:prstGeom prst="rect">
                          <a:avLst/>
                        </a:prstGeom>
                        <a:solidFill>
                          <a:sysClr val="window" lastClr="FFFFFF"/>
                        </a:solidFill>
                        <a:ln w="6350">
                          <a:solidFill>
                            <a:prstClr val="black"/>
                          </a:solidFill>
                        </a:ln>
                        <a:effectLst/>
                      </wps:spPr>
                      <wps:txbx>
                        <w:txbxContent>
                          <w:p w:rsidR="003F7836" w:rsidRPr="008D6A99" w:rsidRDefault="003F7836" w:rsidP="00BF0382">
                            <w:pPr>
                              <w:jc w:val="center"/>
                              <w:rPr>
                                <w:color w:val="000000" w:themeColor="text1"/>
                                <w:lang w:val="en-GB"/>
                              </w:rPr>
                            </w:pPr>
                            <w:r w:rsidRPr="008D6A99">
                              <w:rPr>
                                <w:color w:val="000000" w:themeColor="text1"/>
                                <w:lang w:val="en-GB"/>
                              </w:rPr>
                              <w:t>Map view of 3 groundwater bodies as currently reported (3 horizon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margin-left:286.2pt;margin-top:3.75pt;width:185pt;height:4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" fillcolor="window" strokeweight=".5pt">
                <v:path arrowok="t"/>
                <v:textbox>
                  <w:txbxContent>
                    <w:p w:rsidR="003F7836" w:rsidRPr="008D6A99" w:rsidRDefault="003F7836" w:rsidP="00BF0382">
                      <w:pPr>
                        <w:jc w:val="center"/>
                        <w:rPr>
                          <w:color w:val="000000" w:themeColor="text1"/>
                          <w:lang w:val="en-GB"/>
                        </w:rPr>
                      </w:pPr>
                      <w:r w:rsidRPr="008D6A99">
                        <w:rPr>
                          <w:color w:val="000000" w:themeColor="text1"/>
                          <w:lang w:val="en-GB"/>
                        </w:rPr>
                        <w:t>Map view of 3 groundwater bodies as currently reported (3 horizon layers)</w:t>
                      </w:r>
                    </w:p>
                  </w:txbxContent>
                </v:textbox>
              </v:shape>
            </w:pict>
          </mc:Fallback>
        </mc:AlternateContent>
      </w:r>
      <w:r>
        <w:rPr>
          <w:noProof/>
          <w:lang w:bidi="ar-SA"/>
        </w:rPr>
        <mc:AlternateContent>
          <mc:Choice Requires="wps">
            <w:drawing>
              <wp:anchor distT="0" distB="0" distL="114300" distR="114300" simplePos="0" relativeHeight="251683840" behindDoc="0" locked="0" layoutInCell="1" allowOverlap="1" wp14:anchorId="49CB7993" wp14:editId="1E03D352">
                <wp:simplePos x="0" y="0"/>
                <wp:positionH relativeFrom="column">
                  <wp:posOffset>5840730</wp:posOffset>
                </wp:positionH>
                <wp:positionV relativeFrom="paragraph">
                  <wp:posOffset>5043805</wp:posOffset>
                </wp:positionV>
                <wp:extent cx="567690" cy="1721485"/>
                <wp:effectExtent l="0" t="0" r="22860" b="0"/>
                <wp:wrapNone/>
                <wp:docPr id="48" name="Curved Lef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 cy="172148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8" o:spid="_x0000_s1026" type="#_x0000_t103" style="position:absolute;margin-left:459.9pt;margin-top:397.15pt;width:44.7pt;height:13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" adj="18039,20710,5400" fillcolor="#4f81bd" strokecolor="#385d8a" strokeweight="2pt">
                <v:path arrowok="t"/>
              </v:shape>
            </w:pict>
          </mc:Fallback>
        </mc:AlternateContent>
      </w:r>
      <w:r>
        <w:rPr>
          <w:noProof/>
          <w:lang w:bidi="ar-SA"/>
        </w:rPr>
        <mc:AlternateContent>
          <mc:Choice Requires="wps">
            <w:drawing>
              <wp:anchor distT="4294967292" distB="4294967292" distL="114300" distR="114300" simplePos="0" relativeHeight="251686912" behindDoc="0" locked="0" layoutInCell="1" allowOverlap="1" wp14:anchorId="13CEBF3E" wp14:editId="7D8B67D0">
                <wp:simplePos x="0" y="0"/>
                <wp:positionH relativeFrom="column">
                  <wp:posOffset>1562735</wp:posOffset>
                </wp:positionH>
                <wp:positionV relativeFrom="paragraph">
                  <wp:posOffset>5427979</wp:posOffset>
                </wp:positionV>
                <wp:extent cx="1861185" cy="0"/>
                <wp:effectExtent l="0" t="0" r="2476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118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7"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3.05pt,427.4pt" to="269.6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" strokecolor="#4a7ebb" strokeweight="1.5pt">
                <o:lock v:ext="edit" shapetype="f"/>
              </v:line>
            </w:pict>
          </mc:Fallback>
        </mc:AlternateContent>
      </w:r>
      <w:r>
        <w:rPr>
          <w:noProof/>
          <w:lang w:bidi="ar-SA"/>
        </w:rPr>
        <mc:AlternateContent>
          <mc:Choice Requires="wps">
            <w:drawing>
              <wp:anchor distT="4294967292" distB="4294967292" distL="114300" distR="114300" simplePos="0" relativeHeight="251685888" behindDoc="0" locked="0" layoutInCell="1" allowOverlap="1" wp14:anchorId="681AA2E7" wp14:editId="60E859FF">
                <wp:simplePos x="0" y="0"/>
                <wp:positionH relativeFrom="column">
                  <wp:posOffset>1562735</wp:posOffset>
                </wp:positionH>
                <wp:positionV relativeFrom="paragraph">
                  <wp:posOffset>2939414</wp:posOffset>
                </wp:positionV>
                <wp:extent cx="1861185" cy="0"/>
                <wp:effectExtent l="0" t="0" r="2476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118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6" o:spid="_x0000_s1026" style="position:absolute;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3.05pt,231.45pt" to="269.6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" strokecolor="#4a7ebb" strokeweight="1.5pt">
                <o:lock v:ext="edit" shapetype="f"/>
              </v:line>
            </w:pict>
          </mc:Fallback>
        </mc:AlternateContent>
      </w:r>
      <w:r>
        <w:rPr>
          <w:noProof/>
          <w:lang w:bidi="ar-SA"/>
        </w:rPr>
        <mc:AlternateContent>
          <mc:Choice Requires="wps">
            <w:drawing>
              <wp:anchor distT="4294967292" distB="4294967292" distL="114300" distR="114300" simplePos="0" relativeHeight="251684864" behindDoc="0" locked="0" layoutInCell="1" allowOverlap="1" wp14:anchorId="4CD182EC" wp14:editId="1C98782B">
                <wp:simplePos x="0" y="0"/>
                <wp:positionH relativeFrom="column">
                  <wp:posOffset>1563370</wp:posOffset>
                </wp:positionH>
                <wp:positionV relativeFrom="paragraph">
                  <wp:posOffset>937259</wp:posOffset>
                </wp:positionV>
                <wp:extent cx="1860550" cy="0"/>
                <wp:effectExtent l="0" t="0" r="2540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3.1pt,73.8pt" to="269.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" strokecolor="#4a7ebb" strokeweight="1.5pt">
                <o:lock v:ext="edit" shapetype="f"/>
              </v:line>
            </w:pict>
          </mc:Fallback>
        </mc:AlternateContent>
      </w:r>
      <w:r>
        <w:rPr>
          <w:noProof/>
          <w:lang w:bidi="ar-SA"/>
        </w:rPr>
        <mc:AlternateContent>
          <mc:Choice Requires="wps">
            <w:drawing>
              <wp:anchor distT="0" distB="0" distL="114300" distR="114300" simplePos="0" relativeHeight="251681792" behindDoc="0" locked="0" layoutInCell="1" allowOverlap="1" wp14:anchorId="2046DAB2" wp14:editId="5940A6AB">
                <wp:simplePos x="0" y="0"/>
                <wp:positionH relativeFrom="column">
                  <wp:posOffset>5671185</wp:posOffset>
                </wp:positionH>
                <wp:positionV relativeFrom="paragraph">
                  <wp:posOffset>1769110</wp:posOffset>
                </wp:positionV>
                <wp:extent cx="610870" cy="2828290"/>
                <wp:effectExtent l="0" t="0" r="17780" b="0"/>
                <wp:wrapNone/>
                <wp:docPr id="44" name="Curved Lef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 cy="282829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4" o:spid="_x0000_s1026" type="#_x0000_t103" style="position:absolute;margin-left:446.55pt;margin-top:139.3pt;width:48.1pt;height:2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" adj="19267,21017,5400" fillcolor="#4f81bd" strokecolor="#385d8a" strokeweight="2pt">
                <v:path arrowok="t"/>
              </v:shape>
            </w:pict>
          </mc:Fallback>
        </mc:AlternateContent>
      </w:r>
      <w:r>
        <w:rPr>
          <w:noProof/>
          <w:lang w:bidi="ar-SA"/>
        </w:rPr>
        <mc:AlternateContent>
          <mc:Choice Requires="wps">
            <w:drawing>
              <wp:anchor distT="0" distB="0" distL="114300" distR="114300" simplePos="0" relativeHeight="251678720" behindDoc="0" locked="0" layoutInCell="1" allowOverlap="1" wp14:anchorId="2046DD51" wp14:editId="59A5352E">
                <wp:simplePos x="0" y="0"/>
                <wp:positionH relativeFrom="column">
                  <wp:posOffset>5670550</wp:posOffset>
                </wp:positionH>
                <wp:positionV relativeFrom="paragraph">
                  <wp:posOffset>562610</wp:posOffset>
                </wp:positionV>
                <wp:extent cx="313055" cy="659130"/>
                <wp:effectExtent l="0" t="0" r="10795" b="26670"/>
                <wp:wrapNone/>
                <wp:docPr id="43" name="Curved 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65913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3" o:spid="_x0000_s1026" type="#_x0000_t103" style="position:absolute;margin-left:446.5pt;margin-top:44.3pt;width:24.65pt;height:5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" adj="16471,20318,5400" fillcolor="#4f81bd" strokecolor="#385d8a" strokeweight="2pt">
                <v:path arrowok="t"/>
              </v:shape>
            </w:pict>
          </mc:Fallback>
        </mc:AlternateContent>
      </w:r>
      <w:r>
        <w:rPr>
          <w:noProof/>
          <w:lang w:bidi="ar-SA"/>
        </w:rPr>
        <mc:AlternateContent>
          <mc:Choice Requires="wps">
            <w:drawing>
              <wp:anchor distT="0" distB="0" distL="114300" distR="114300" simplePos="0" relativeHeight="251679744" behindDoc="0" locked="0" layoutInCell="1" allowOverlap="1" wp14:anchorId="31F60DDD" wp14:editId="477E9D31">
                <wp:simplePos x="0" y="0"/>
                <wp:positionH relativeFrom="column">
                  <wp:posOffset>3565525</wp:posOffset>
                </wp:positionH>
                <wp:positionV relativeFrom="paragraph">
                  <wp:posOffset>1205230</wp:posOffset>
                </wp:positionV>
                <wp:extent cx="2354580" cy="664210"/>
                <wp:effectExtent l="0" t="0" r="26670" b="215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664210"/>
                        </a:xfrm>
                        <a:prstGeom prst="rect">
                          <a:avLst/>
                        </a:prstGeom>
                        <a:solidFill>
                          <a:sysClr val="window" lastClr="FFFFFF"/>
                        </a:solidFill>
                        <a:ln w="6350">
                          <a:solidFill>
                            <a:prstClr val="black"/>
                          </a:solidFill>
                        </a:ln>
                        <a:effectLst/>
                      </wps:spPr>
                      <wps:txbx>
                        <w:txbxContent>
                          <w:p w:rsidR="003F7836" w:rsidRPr="008D6A99" w:rsidRDefault="003F7836" w:rsidP="00BF0382">
                            <w:pPr>
                              <w:jc w:val="center"/>
                              <w:rPr>
                                <w:color w:val="000000" w:themeColor="text1"/>
                                <w:lang w:val="en-GB"/>
                              </w:rPr>
                            </w:pPr>
                            <w:r w:rsidRPr="008D6A99">
                              <w:rPr>
                                <w:b/>
                                <w:color w:val="000000" w:themeColor="text1"/>
                                <w:lang w:val="en-GB"/>
                              </w:rPr>
                              <w:t>STEP 1</w:t>
                            </w:r>
                            <w:r w:rsidRPr="008D6A99">
                              <w:rPr>
                                <w:color w:val="000000" w:themeColor="text1"/>
                                <w:lang w:val="en-GB"/>
                              </w:rPr>
                              <w:t>: Creation of an intermediary GIS layer by intersecting GIS horizon layers from 1 to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 o:spid="_x0000_s1038" type="#_x0000_t202" style="position:absolute;margin-left:280.75pt;margin-top:94.9pt;width:185.4pt;height:5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" fillcolor="window" strokeweight=".5pt">
                <v:path arrowok="t"/>
                <v:textbox>
                  <w:txbxContent>
                    <w:p w:rsidR="003F7836" w:rsidRPr="008D6A99" w:rsidRDefault="003F7836" w:rsidP="00BF0382">
                      <w:pPr>
                        <w:jc w:val="center"/>
                        <w:rPr>
                          <w:color w:val="000000" w:themeColor="text1"/>
                          <w:lang w:val="en-GB"/>
                        </w:rPr>
                      </w:pPr>
                      <w:r w:rsidRPr="008D6A99">
                        <w:rPr>
                          <w:b/>
                          <w:color w:val="000000" w:themeColor="text1"/>
                          <w:lang w:val="en-GB"/>
                        </w:rPr>
                        <w:t>STEP 1</w:t>
                      </w:r>
                      <w:r w:rsidRPr="008D6A99">
                        <w:rPr>
                          <w:color w:val="000000" w:themeColor="text1"/>
                          <w:lang w:val="en-GB"/>
                        </w:rPr>
                        <w:t>: Creation of an intermediary GIS layer by intersecting GIS horizon layers from 1 to n.</w:t>
                      </w:r>
                    </w:p>
                  </w:txbxContent>
                </v:textbox>
              </v:shape>
            </w:pict>
          </mc:Fallback>
        </mc:AlternateContent>
      </w:r>
      <w:r>
        <w:rPr>
          <w:noProof/>
          <w:lang w:bidi="ar-SA"/>
        </w:rPr>
        <w:drawing>
          <wp:inline distT="0" distB="0" distL="0" distR="0" wp14:anchorId="5F614CB2" wp14:editId="32C83815">
            <wp:extent cx="4939030" cy="7372985"/>
            <wp:effectExtent l="0" t="0" r="0" b="0"/>
            <wp:docPr id="8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39030" cy="7372985"/>
                    </a:xfrm>
                    <a:prstGeom prst="rect">
                      <a:avLst/>
                    </a:prstGeom>
                    <a:noFill/>
                    <a:ln>
                      <a:noFill/>
                    </a:ln>
                  </pic:spPr>
                </pic:pic>
              </a:graphicData>
            </a:graphic>
          </wp:inline>
        </w:drawing>
      </w:r>
    </w:p>
    <w:p w:rsidR="00BF0382" w:rsidRPr="008D6A99" w:rsidRDefault="00BF0382" w:rsidP="00BF0382">
      <w:pPr>
        <w:rPr>
          <w:lang w:val="en-GB"/>
        </w:rPr>
      </w:pPr>
      <w:r w:rsidRPr="008D6A99">
        <w:rPr>
          <w:lang w:val="en-GB"/>
        </w:rPr>
        <w:t>It has to be emphasized that this procedure can be carried out provided that the current existing horizon layers were defined strictly in accordance with the numeration proposed in guidance document of 2009.</w:t>
      </w:r>
    </w:p>
    <w:p w:rsidR="00BF0382" w:rsidRPr="008D6A99" w:rsidRDefault="00BF0382" w:rsidP="00BF0382">
      <w:pPr>
        <w:pStyle w:val="Rubrik3"/>
        <w:tabs>
          <w:tab w:val="clear" w:pos="3360"/>
          <w:tab w:val="num" w:pos="2835"/>
        </w:tabs>
        <w:rPr>
          <w:lang w:val="en-GB"/>
        </w:rPr>
      </w:pPr>
      <w:r w:rsidRPr="008D6A99">
        <w:rPr>
          <w:lang w:val="en-GB"/>
        </w:rPr>
        <w:t>Existing overlapped GWBs in one unique horizon</w:t>
      </w:r>
    </w:p>
    <w:p w:rsidR="00BF0382" w:rsidRPr="008D6A99" w:rsidRDefault="00BF0382" w:rsidP="00BF0382">
      <w:pPr>
        <w:rPr>
          <w:lang w:val="en-GB"/>
        </w:rPr>
      </w:pPr>
      <w:r w:rsidRPr="008D6A99">
        <w:rPr>
          <w:lang w:val="en-GB"/>
        </w:rPr>
        <w:t xml:space="preserve">The analysis of groundwater bodies that are actually available in WISE shows that some Member States assigned overlapped groundwater bodies to one unique horizon (i.e. IT, BE, BG, EE, DK, LA). </w:t>
      </w:r>
    </w:p>
    <w:p w:rsidR="00BF0382" w:rsidRPr="008D6A99" w:rsidRDefault="00BF0382" w:rsidP="00BF0382">
      <w:pPr>
        <w:rPr>
          <w:lang w:val="en-GB"/>
        </w:rPr>
      </w:pPr>
      <w:r w:rsidRPr="008D6A99">
        <w:rPr>
          <w:lang w:val="en-GB"/>
        </w:rPr>
        <w:t xml:space="preserve">The amended proposal needs a good comprehension of the vertical situation for all GWBs. As a consequence, overlapped GWBs assigned to one horizon need to be differentiated vertically before applying the proposed procedure of horizon re-assignment. To do so, Member States concerned shall then assign a stratigraphic order to their groundwater bodies. </w:t>
      </w:r>
    </w:p>
    <w:p w:rsidR="00BF0382" w:rsidRPr="008D6A99" w:rsidRDefault="00BF0382" w:rsidP="00BF0382">
      <w:pPr>
        <w:rPr>
          <w:lang w:val="en-GB"/>
        </w:rPr>
      </w:pPr>
      <w:r w:rsidRPr="008D6A99">
        <w:rPr>
          <w:lang w:val="en-GB"/>
        </w:rPr>
        <w:t>It is recommended to carry out this task as a preliminary step (i.e. by adding a temporary attribute on the current layer that will contain the stratigraphic absolute order of each GWB). Step 2 where polygons are assigned to groundwater bodies and their horizon needs to be done cautiously.</w:t>
      </w:r>
    </w:p>
    <w:p w:rsidR="00BF0382" w:rsidRPr="008D6A99" w:rsidRDefault="00BF0382" w:rsidP="00BF0382">
      <w:pPr>
        <w:rPr>
          <w:lang w:val="en-GB"/>
        </w:rPr>
      </w:pPr>
    </w:p>
    <w:p w:rsidR="00BF0382" w:rsidRDefault="00BF0382" w:rsidP="00BF0382">
      <w:pPr>
        <w:pStyle w:val="Rubrik2"/>
        <w:jc w:val="both"/>
      </w:pPr>
      <w:bookmarkStart w:id="944" w:name="_Toc386462471"/>
      <w:bookmarkStart w:id="945" w:name="_Toc386464276"/>
      <w:bookmarkStart w:id="946" w:name="_Toc388524220"/>
      <w:bookmarkStart w:id="947" w:name="_Toc389206541"/>
      <w:bookmarkStart w:id="948" w:name="_Toc403040994"/>
      <w:bookmarkStart w:id="949" w:name="_Toc432666123"/>
      <w:bookmarkStart w:id="950" w:name="_Toc437520319"/>
      <w:r>
        <w:t>Resumee</w:t>
      </w:r>
      <w:bookmarkEnd w:id="944"/>
      <w:bookmarkEnd w:id="945"/>
      <w:bookmarkEnd w:id="946"/>
      <w:bookmarkEnd w:id="947"/>
      <w:bookmarkEnd w:id="948"/>
      <w:bookmarkEnd w:id="949"/>
      <w:bookmarkEnd w:id="950"/>
    </w:p>
    <w:p w:rsidR="00BF0382" w:rsidRPr="008D6A99" w:rsidRDefault="00BF0382" w:rsidP="00BF0382">
      <w:pPr>
        <w:rPr>
          <w:lang w:val="en-GB"/>
        </w:rPr>
      </w:pPr>
      <w:r w:rsidRPr="008D6A99">
        <w:rPr>
          <w:lang w:val="en-GB"/>
        </w:rPr>
        <w:t xml:space="preserve">The proposed procedure covers both simple and complex hydrogeological configurations: </w:t>
      </w:r>
    </w:p>
    <w:p w:rsidR="00BF0382" w:rsidRPr="008D6A99" w:rsidRDefault="00BF0382" w:rsidP="00BF0382">
      <w:pPr>
        <w:pStyle w:val="Liststycke"/>
        <w:numPr>
          <w:ilvl w:val="0"/>
          <w:numId w:val="55"/>
        </w:numPr>
        <w:spacing w:after="120" w:line="276" w:lineRule="auto"/>
        <w:jc w:val="both"/>
        <w:rPr>
          <w:lang w:val="en-GB"/>
        </w:rPr>
      </w:pPr>
      <w:r w:rsidRPr="008D6A99">
        <w:rPr>
          <w:lang w:val="en-GB"/>
        </w:rPr>
        <w:t>In areas with simple hydrogeology, or simple GWB delineation, the situation remains unchanged compared to the current procedure which means that additional efforts due to the changes are very limited.</w:t>
      </w:r>
    </w:p>
    <w:p w:rsidR="00BF0382" w:rsidRPr="008D6A99" w:rsidRDefault="00BF0382" w:rsidP="00BF0382">
      <w:pPr>
        <w:pStyle w:val="Liststycke"/>
        <w:numPr>
          <w:ilvl w:val="0"/>
          <w:numId w:val="55"/>
        </w:numPr>
        <w:spacing w:after="120" w:line="276" w:lineRule="auto"/>
        <w:jc w:val="both"/>
        <w:rPr>
          <w:lang w:val="en-GB"/>
        </w:rPr>
      </w:pPr>
      <w:r w:rsidRPr="008D6A99">
        <w:rPr>
          <w:lang w:val="en-GB"/>
        </w:rPr>
        <w:t>For more complex situations, their complexity can fully be taken into account without the use of complementary parameters (such as “extra Horizon” proposed by Belgium in 2010).</w:t>
      </w:r>
    </w:p>
    <w:p w:rsidR="00BF0382" w:rsidRPr="008D6A99" w:rsidRDefault="00BF0382" w:rsidP="00BF0382">
      <w:pPr>
        <w:pStyle w:val="Liststycke"/>
        <w:numPr>
          <w:ilvl w:val="0"/>
          <w:numId w:val="55"/>
        </w:numPr>
        <w:spacing w:after="120" w:line="276" w:lineRule="auto"/>
        <w:jc w:val="both"/>
        <w:rPr>
          <w:lang w:val="en-GB"/>
        </w:rPr>
      </w:pPr>
      <w:r w:rsidRPr="008D6A99">
        <w:rPr>
          <w:lang w:val="en-GB"/>
        </w:rPr>
        <w:t>It would be quite easy to prepare a map showing the (parts of) GWBs which are most exposed to pressures on the surface or in the uppermost layer (soil).</w:t>
      </w:r>
    </w:p>
    <w:p w:rsidR="00BF0382" w:rsidRPr="008D6A99" w:rsidRDefault="00BF0382" w:rsidP="00BF0382">
      <w:pPr>
        <w:rPr>
          <w:lang w:val="en-GB"/>
        </w:rPr>
      </w:pPr>
    </w:p>
    <w:p w:rsidR="00BF0382" w:rsidRDefault="00BF0382" w:rsidP="00BF0382">
      <w:pPr>
        <w:pStyle w:val="Rubrik2"/>
        <w:jc w:val="both"/>
      </w:pPr>
      <w:bookmarkStart w:id="951" w:name="_Toc386462472"/>
      <w:bookmarkStart w:id="952" w:name="_Toc386464277"/>
      <w:bookmarkStart w:id="953" w:name="_Toc388524221"/>
      <w:bookmarkStart w:id="954" w:name="_Toc389206542"/>
      <w:bookmarkStart w:id="955" w:name="_Toc403040995"/>
      <w:bookmarkStart w:id="956" w:name="_Toc432666124"/>
      <w:bookmarkStart w:id="957" w:name="_Toc437520320"/>
      <w:r>
        <w:t>Recommendation for map production</w:t>
      </w:r>
      <w:bookmarkEnd w:id="951"/>
      <w:bookmarkEnd w:id="952"/>
      <w:bookmarkEnd w:id="953"/>
      <w:bookmarkEnd w:id="954"/>
      <w:bookmarkEnd w:id="955"/>
      <w:bookmarkEnd w:id="956"/>
      <w:bookmarkEnd w:id="957"/>
    </w:p>
    <w:p w:rsidR="00BF0382" w:rsidRPr="008D6A99" w:rsidRDefault="00BF0382" w:rsidP="00BF0382">
      <w:pPr>
        <w:rPr>
          <w:lang w:val="en-GB"/>
        </w:rPr>
      </w:pPr>
      <w:r w:rsidRPr="008D6A99">
        <w:rPr>
          <w:lang w:val="en-GB"/>
        </w:rPr>
        <w:t xml:space="preserve">It is recommended that the EEA includes an explanation of what the maps represent when they produce these. The following wording is suggested: </w:t>
      </w:r>
    </w:p>
    <w:p w:rsidR="00BF0382" w:rsidRPr="008D6A99" w:rsidRDefault="00BF0382" w:rsidP="00BF0382">
      <w:pPr>
        <w:rPr>
          <w:i/>
          <w:lang w:val="en-GB"/>
        </w:rPr>
      </w:pPr>
      <w:r w:rsidRPr="008D6A99">
        <w:rPr>
          <w:i/>
          <w:lang w:val="en-GB"/>
        </w:rPr>
        <w:t>“Groundwater bodies are assigned to horizons which overlie each other. Horizons help to reflect the three-dimensionality of groundwater bodies and their relative position vertically to other groundwater bodies. This map shows horizon 1, which contains the first layer of groundwater bodies to be encountered across each member state. In some areas the groundwater bodies outcrop and are vulnerable to pollution from activities at the ground surface. In other parts the groundwater bodies are overlain by other strata which provide protection from pollution. This map does not seek to distinguish between these geological circumstances.”</w:t>
      </w:r>
    </w:p>
    <w:p w:rsidR="00BF0382" w:rsidRPr="008D6A99" w:rsidRDefault="00BF0382" w:rsidP="00BF0382">
      <w:pPr>
        <w:rPr>
          <w:lang w:val="en-GB"/>
        </w:rPr>
      </w:pPr>
      <w:r w:rsidRPr="008D6A99">
        <w:rPr>
          <w:lang w:val="en-GB"/>
        </w:rPr>
        <w:t xml:space="preserve">It is further recommended that the EEA should include a block diagram to illustrate how horizons and groundwater bodies overlie each other. </w:t>
      </w:r>
    </w:p>
    <w:p w:rsidR="00BF0382" w:rsidRPr="008D6A99" w:rsidRDefault="00BF0382" w:rsidP="00BF0382">
      <w:pPr>
        <w:jc w:val="both"/>
        <w:rPr>
          <w:sz w:val="23"/>
          <w:szCs w:val="23"/>
          <w:lang w:val="en-GB"/>
        </w:rPr>
      </w:pPr>
      <w:r w:rsidRPr="008D6A99">
        <w:rPr>
          <w:sz w:val="23"/>
          <w:szCs w:val="23"/>
          <w:lang w:val="en-GB"/>
        </w:rPr>
        <w:br w:type="page"/>
      </w:r>
    </w:p>
    <w:p w:rsidR="00BF0382" w:rsidRDefault="00BF0382" w:rsidP="00BF0382">
      <w:pPr>
        <w:pStyle w:val="Rubrik1"/>
        <w:tabs>
          <w:tab w:val="clear" w:pos="1920"/>
        </w:tabs>
        <w:ind w:left="851" w:hanging="851"/>
        <w:jc w:val="both"/>
      </w:pPr>
      <w:bookmarkStart w:id="958" w:name="_Toc386462473"/>
      <w:bookmarkStart w:id="959" w:name="_Toc386464278"/>
      <w:bookmarkStart w:id="960" w:name="_Toc388524222"/>
      <w:bookmarkStart w:id="961" w:name="_Toc389206543"/>
      <w:bookmarkStart w:id="962" w:name="_Toc403040996"/>
      <w:bookmarkStart w:id="963" w:name="_Toc425522109"/>
      <w:bookmarkStart w:id="964" w:name="_Toc432666125"/>
      <w:bookmarkStart w:id="965" w:name="_Toc437520321"/>
      <w:r>
        <w:t>References</w:t>
      </w:r>
      <w:bookmarkEnd w:id="958"/>
      <w:bookmarkEnd w:id="959"/>
      <w:bookmarkEnd w:id="960"/>
      <w:bookmarkEnd w:id="961"/>
      <w:bookmarkEnd w:id="962"/>
      <w:bookmarkEnd w:id="963"/>
      <w:bookmarkEnd w:id="964"/>
      <w:bookmarkEnd w:id="965"/>
    </w:p>
    <w:p w:rsidR="00BF0382" w:rsidRPr="008D6A99" w:rsidRDefault="00BF0382" w:rsidP="00BF0382">
      <w:pPr>
        <w:jc w:val="both"/>
        <w:rPr>
          <w:lang w:val="en-GB"/>
        </w:rPr>
      </w:pPr>
      <w:r w:rsidRPr="008D6A99">
        <w:rPr>
          <w:lang w:val="en-GB"/>
        </w:rPr>
        <w:t>Duscher, K., Struckmeier, W. (2011) – A common vision about groundwater entities in Europe, Presentation at the 2nd Workshop on Groundwater bodies held in Berlin 15th-16th December 2011.</w:t>
      </w:r>
    </w:p>
    <w:p w:rsidR="00BF0382" w:rsidRPr="008D6A99" w:rsidRDefault="00BF0382" w:rsidP="00BF0382">
      <w:pPr>
        <w:jc w:val="both"/>
        <w:rPr>
          <w:lang w:val="en-GB"/>
        </w:rPr>
      </w:pPr>
      <w:r w:rsidRPr="008D6A99">
        <w:rPr>
          <w:lang w:val="en-GB"/>
        </w:rPr>
        <w:t>ETC/ICM (2013) – Groundwater GIS reference layer. Submission/compilation status and evaluation. Version 3.</w:t>
      </w:r>
    </w:p>
    <w:p w:rsidR="00BF0382" w:rsidRPr="008D6A99" w:rsidRDefault="00BF0382" w:rsidP="00BF0382">
      <w:pPr>
        <w:jc w:val="both"/>
        <w:rPr>
          <w:lang w:val="en-GB"/>
        </w:rPr>
      </w:pPr>
      <w:r w:rsidRPr="008D6A99">
        <w:rPr>
          <w:lang w:val="en-GB"/>
        </w:rPr>
        <w:t>European Commission (2003) – Guidance Document No 2: Identification of Water Bodies. ISBN 92-894-5122-X. European Communities, Luxembourg.</w:t>
      </w:r>
    </w:p>
    <w:p w:rsidR="00BF0382" w:rsidRPr="008D6A99" w:rsidRDefault="00BF0382" w:rsidP="00BF0382">
      <w:pPr>
        <w:jc w:val="both"/>
        <w:rPr>
          <w:lang w:val="en-GB"/>
        </w:rPr>
      </w:pPr>
      <w:r w:rsidRPr="008D6A99">
        <w:rPr>
          <w:lang w:val="en-GB"/>
        </w:rPr>
        <w:t>European Commission (2009) – Guidance on reporting of spatial data for the WFD (RBMP). Tools and services for reporting under RBMP within WISE. Version 3.0. .</w:t>
      </w:r>
    </w:p>
    <w:p w:rsidR="00BF0382" w:rsidRPr="008D6A99" w:rsidRDefault="00BF0382" w:rsidP="00BF0382">
      <w:pPr>
        <w:jc w:val="both"/>
        <w:rPr>
          <w:lang w:val="en-GB"/>
        </w:rPr>
      </w:pPr>
      <w:r w:rsidRPr="008D6A99">
        <w:rPr>
          <w:lang w:val="en-GB"/>
        </w:rPr>
        <w:t>European Commission (2010) – Guidance Document No. 26. Guidance on Risk Assessment and the use of conceptual models for groundwater.</w:t>
      </w:r>
    </w:p>
    <w:p w:rsidR="00BF0382" w:rsidRPr="008D6A99" w:rsidRDefault="00BF0382" w:rsidP="00BF0382">
      <w:pPr>
        <w:jc w:val="both"/>
        <w:rPr>
          <w:lang w:val="en-GB"/>
        </w:rPr>
      </w:pPr>
      <w:r w:rsidRPr="008D6A99">
        <w:rPr>
          <w:lang w:val="en-GB"/>
        </w:rPr>
        <w:t>UK Technical Advisory Group on the Water Framework Directive (2012) – Defining &amp; Reporting on Groundwater Bodies. Final version.</w:t>
      </w:r>
    </w:p>
    <w:p w:rsidR="00BF0382" w:rsidRPr="008D6A99" w:rsidRDefault="00BF0382" w:rsidP="00BF0382">
      <w:pPr>
        <w:jc w:val="both"/>
        <w:rPr>
          <w:lang w:val="en-GB"/>
        </w:rPr>
      </w:pPr>
      <w:r w:rsidRPr="008D6A99">
        <w:rPr>
          <w:lang w:val="en-GB"/>
        </w:rPr>
        <w:t>Ward, R. (2011) – 2nd Workshop on Groundwater Bodies held in Berlin 15/16 December 2011, Presentation at the 22</w:t>
      </w:r>
      <w:r w:rsidRPr="008D6A99">
        <w:rPr>
          <w:vertAlign w:val="superscript"/>
          <w:lang w:val="en-GB"/>
        </w:rPr>
        <w:t>nd</w:t>
      </w:r>
      <w:r w:rsidRPr="008D6A99">
        <w:rPr>
          <w:lang w:val="en-GB"/>
        </w:rPr>
        <w:t xml:space="preserve"> Working Group C plenary meeting held in Brussels the 21</w:t>
      </w:r>
      <w:r w:rsidRPr="008D6A99">
        <w:rPr>
          <w:vertAlign w:val="superscript"/>
          <w:lang w:val="en-GB"/>
        </w:rPr>
        <w:t>st</w:t>
      </w:r>
      <w:r w:rsidRPr="008D6A99">
        <w:rPr>
          <w:lang w:val="en-GB"/>
        </w:rPr>
        <w:t xml:space="preserve"> March 2012.</w:t>
      </w:r>
    </w:p>
    <w:p w:rsidR="00BF0382" w:rsidRPr="008D6A99" w:rsidRDefault="00BF0382" w:rsidP="00BF0382">
      <w:pPr>
        <w:jc w:val="both"/>
        <w:outlineLvl w:val="0"/>
        <w:rPr>
          <w:b/>
          <w:lang w:val="en-GB"/>
        </w:rPr>
      </w:pPr>
      <w:r w:rsidRPr="008D6A99">
        <w:rPr>
          <w:lang w:val="en-GB"/>
        </w:rPr>
        <w:br w:type="page"/>
      </w:r>
      <w:bookmarkStart w:id="966" w:name="_Toc403040997"/>
      <w:bookmarkStart w:id="967" w:name="_Toc425522110"/>
      <w:bookmarkStart w:id="968" w:name="_Toc432666126"/>
      <w:bookmarkStart w:id="969" w:name="_Toc437520322"/>
      <w:r w:rsidRPr="008D6A99">
        <w:rPr>
          <w:b/>
          <w:lang w:val="en-GB"/>
        </w:rPr>
        <w:t>Annex 5: GIS Guidance</w:t>
      </w:r>
      <w:bookmarkEnd w:id="966"/>
      <w:bookmarkEnd w:id="967"/>
      <w:bookmarkEnd w:id="968"/>
      <w:bookmarkEnd w:id="969"/>
    </w:p>
    <w:p w:rsidR="00BF0382" w:rsidRPr="008D6A99" w:rsidRDefault="00BF0382" w:rsidP="00BF0382">
      <w:pPr>
        <w:jc w:val="both"/>
        <w:rPr>
          <w:lang w:val="en-GB"/>
        </w:rPr>
      </w:pPr>
      <w:r w:rsidRPr="008D6A99">
        <w:rPr>
          <w:lang w:val="en-GB"/>
        </w:rPr>
        <w:t>The GIS Guidance is available as a separate document for the time being.</w:t>
      </w:r>
    </w:p>
    <w:p w:rsidR="00BF0382" w:rsidRPr="008D6A99" w:rsidRDefault="00BF0382" w:rsidP="00BF0382">
      <w:pPr>
        <w:jc w:val="both"/>
        <w:rPr>
          <w:lang w:val="en-GB"/>
        </w:rPr>
      </w:pPr>
      <w:r w:rsidRPr="008D6A99">
        <w:rPr>
          <w:lang w:val="en-GB"/>
        </w:rPr>
        <w:br w:type="page"/>
      </w:r>
    </w:p>
    <w:p w:rsidR="00BF0382" w:rsidRPr="008D6A99" w:rsidRDefault="00BF0382" w:rsidP="00BF0382">
      <w:pPr>
        <w:jc w:val="both"/>
        <w:outlineLvl w:val="0"/>
        <w:rPr>
          <w:b/>
          <w:lang w:val="en-GB"/>
        </w:rPr>
      </w:pPr>
      <w:bookmarkStart w:id="970" w:name="_Toc403040998"/>
      <w:bookmarkStart w:id="971" w:name="_Toc425522111"/>
      <w:bookmarkStart w:id="972" w:name="_Toc432666127"/>
      <w:bookmarkStart w:id="973" w:name="_Toc437520323"/>
      <w:r w:rsidRPr="008D6A99">
        <w:rPr>
          <w:b/>
          <w:lang w:val="en-GB"/>
        </w:rPr>
        <w:t>Annex 6: Reporting on the River Basin Management Plans – a user manual</w:t>
      </w:r>
      <w:bookmarkEnd w:id="970"/>
      <w:bookmarkEnd w:id="971"/>
      <w:bookmarkEnd w:id="972"/>
      <w:bookmarkEnd w:id="973"/>
    </w:p>
    <w:p w:rsidR="00BF0382" w:rsidRPr="008D6A99" w:rsidRDefault="00BF0382" w:rsidP="00BF0382">
      <w:pPr>
        <w:jc w:val="both"/>
        <w:rPr>
          <w:lang w:val="en-GB"/>
        </w:rPr>
      </w:pPr>
      <w:bookmarkStart w:id="974" w:name="_Toc403040999"/>
      <w:r w:rsidRPr="008D6A99">
        <w:rPr>
          <w:lang w:val="en-GB"/>
        </w:rPr>
        <w:t>Reporting on the River Basin Management Plans will be done, as was the case for the 2010 reporting exercise, through Reportnet.</w:t>
      </w:r>
    </w:p>
    <w:p w:rsidR="00BF0382" w:rsidRPr="008D6A99" w:rsidRDefault="00BF0382" w:rsidP="00BF0382">
      <w:pPr>
        <w:spacing w:after="0"/>
        <w:jc w:val="both"/>
        <w:rPr>
          <w:lang w:val="en-GB"/>
        </w:rPr>
      </w:pPr>
      <w:r w:rsidRPr="008D6A99">
        <w:rPr>
          <w:lang w:val="en-GB"/>
        </w:rPr>
        <w:t>Annex 6 will contain a detailed user manual, along the same lines of the one developed for the previous cycle, which is available at</w:t>
      </w:r>
    </w:p>
    <w:p w:rsidR="00BF0382" w:rsidRPr="008D6A99" w:rsidRDefault="00FA0245" w:rsidP="00BF0382">
      <w:pPr>
        <w:jc w:val="both"/>
        <w:rPr>
          <w:lang w:val="en-GB"/>
        </w:rPr>
      </w:pPr>
      <w:hyperlink r:id="rId57" w:history="1">
        <w:r w:rsidR="00BF0382" w:rsidRPr="008D6A99">
          <w:rPr>
            <w:rStyle w:val="Hyperlnk"/>
            <w:color w:val="auto"/>
            <w:lang w:val="en-GB"/>
          </w:rPr>
          <w:t>http://icm.eionet.europa.eu/schemas/dir200060ec/resources/Reporting%20User%20Manual%20RBMP%20v2.0.pdf</w:t>
        </w:r>
      </w:hyperlink>
      <w:r w:rsidR="00BF0382" w:rsidRPr="008D6A99">
        <w:rPr>
          <w:lang w:val="en-GB"/>
        </w:rPr>
        <w:t xml:space="preserve"> </w:t>
      </w:r>
    </w:p>
    <w:p w:rsidR="00BF0382" w:rsidRPr="008D6A99" w:rsidRDefault="00BF0382" w:rsidP="00BF0382">
      <w:pPr>
        <w:jc w:val="both"/>
        <w:rPr>
          <w:lang w:val="en-GB"/>
        </w:rPr>
      </w:pPr>
      <w:r w:rsidRPr="008D6A99">
        <w:rPr>
          <w:lang w:val="en-GB"/>
        </w:rPr>
        <w:t>This user manual can only be finalised once the design of the Reportnet operational environment for WFD reporting is completed. The work is on-going at the moment and it is expected that such operational environment will be available in the autumn of 2015. The guiding principles for the development of this operational environment, however, have been discussed in the past and remain valid: to provide swift feedback to data providers on the quality of their data, leading to a significant reduction of the number of errors and to an improvement of the quality of the Member State submissions; and to improve the user-friendliness of the system for all users, both when providing data and when extracting/using that data.</w:t>
      </w:r>
    </w:p>
    <w:p w:rsidR="00BF0382" w:rsidRPr="008D6A99" w:rsidRDefault="00BF0382" w:rsidP="00BF0382">
      <w:pPr>
        <w:jc w:val="both"/>
        <w:rPr>
          <w:lang w:val="en-GB"/>
        </w:rPr>
      </w:pPr>
      <w:r w:rsidRPr="008D6A99">
        <w:rPr>
          <w:lang w:val="en-GB"/>
        </w:rPr>
        <w:t>These guiding principles lead to a number of features in the operational setup that will be described in detail in the future manual:</w:t>
      </w:r>
    </w:p>
    <w:p w:rsidR="00BF0382" w:rsidRPr="008D6A99" w:rsidRDefault="00BF0382" w:rsidP="00BF0382">
      <w:pPr>
        <w:pStyle w:val="Liststycke"/>
        <w:numPr>
          <w:ilvl w:val="0"/>
          <w:numId w:val="85"/>
        </w:numPr>
        <w:jc w:val="both"/>
        <w:rPr>
          <w:lang w:val="en-GB"/>
        </w:rPr>
      </w:pPr>
      <w:r w:rsidRPr="008D6A99">
        <w:rPr>
          <w:lang w:val="en-GB"/>
        </w:rPr>
        <w:t>A separate “reporting obligation” will be created in Reportnet, to ensure a clear distinction between the files submitted for the 2010 reporting cycle and the new information uploaded in 2016.</w:t>
      </w:r>
    </w:p>
    <w:p w:rsidR="00BF0382" w:rsidRPr="008D6A99" w:rsidRDefault="00BF0382" w:rsidP="00BF0382">
      <w:pPr>
        <w:pStyle w:val="Liststycke"/>
        <w:numPr>
          <w:ilvl w:val="0"/>
          <w:numId w:val="85"/>
        </w:numPr>
        <w:jc w:val="both"/>
        <w:rPr>
          <w:lang w:val="en-GB"/>
        </w:rPr>
      </w:pPr>
      <w:r w:rsidRPr="008D6A99">
        <w:rPr>
          <w:lang w:val="en-GB"/>
        </w:rPr>
        <w:t>Each Member State will designate a “reporting coordinator”, who will communicate to the EEA the coordinates of the individual data providers, which will allow the EEA to give access to the system to those who need it in a more efficient and transparent way than is currently the case. This “reporting coordinator” can be, by default, the Member State representative in the WG DIS, but can be a different person. Ideally, this role should be common for all reporting on all water Directives. As this role also exists for other reporting streams to the EEA, in the form of the Eionet National Focal Point (NFP), Member States could also assess the possibility of extending the role of the NFPs to include also reporting for the different water Directives.</w:t>
      </w:r>
    </w:p>
    <w:p w:rsidR="00BF0382" w:rsidRPr="008D6A99" w:rsidRDefault="00BF0382" w:rsidP="00BF0382">
      <w:pPr>
        <w:pStyle w:val="Liststycke"/>
        <w:numPr>
          <w:ilvl w:val="0"/>
          <w:numId w:val="85"/>
        </w:numPr>
        <w:jc w:val="both"/>
        <w:rPr>
          <w:lang w:val="en-GB"/>
        </w:rPr>
      </w:pPr>
      <w:r w:rsidRPr="008D6A99">
        <w:rPr>
          <w:lang w:val="en-GB"/>
        </w:rPr>
        <w:t>There will be a clear naming convention for folders and files in the WFD “section” of Reportnet and this naming convention will be enforced, to ensure that all users have a clear view of what was uploaded, which version is the latest, etc. and to enable an automated, effective and efficient quality control system.</w:t>
      </w:r>
    </w:p>
    <w:p w:rsidR="00BF0382" w:rsidRPr="008D6A99" w:rsidRDefault="00BF0382" w:rsidP="00BF0382">
      <w:pPr>
        <w:pStyle w:val="Liststycke"/>
        <w:numPr>
          <w:ilvl w:val="0"/>
          <w:numId w:val="85"/>
        </w:numPr>
        <w:jc w:val="both"/>
        <w:rPr>
          <w:lang w:val="en-GB"/>
        </w:rPr>
      </w:pPr>
      <w:r w:rsidRPr="008D6A99">
        <w:rPr>
          <w:lang w:val="en-GB"/>
        </w:rPr>
        <w:t>Partial reporting will not be possible. If a re-submission is needed to correct mistakes in a previous version, the full data set needs to be uploaded. Once again, this will allow for a clear view of the different versions of the data submitted by the Member States. It will also allow a fully automated import of the data provided into a master database, which is then used to produce all the products necessary for assessment or dissemination.</w:t>
      </w:r>
    </w:p>
    <w:p w:rsidR="00BF0382" w:rsidRPr="008D6A99" w:rsidRDefault="00BF0382" w:rsidP="00BF0382">
      <w:pPr>
        <w:pStyle w:val="Liststycke"/>
        <w:numPr>
          <w:ilvl w:val="0"/>
          <w:numId w:val="85"/>
        </w:numPr>
        <w:jc w:val="both"/>
        <w:rPr>
          <w:lang w:val="en-GB"/>
        </w:rPr>
      </w:pPr>
      <w:r w:rsidRPr="008D6A99">
        <w:rPr>
          <w:lang w:val="en-GB"/>
        </w:rPr>
        <w:t>The order in which different files need to be uploaded will be clearly specified, to ensure that cross-schema validation checks can be performed.</w:t>
      </w:r>
    </w:p>
    <w:p w:rsidR="00BF0382" w:rsidRPr="008D6A99" w:rsidRDefault="00BF0382" w:rsidP="00BF0382">
      <w:pPr>
        <w:pStyle w:val="Liststycke"/>
        <w:numPr>
          <w:ilvl w:val="0"/>
          <w:numId w:val="85"/>
        </w:numPr>
        <w:jc w:val="both"/>
        <w:rPr>
          <w:lang w:val="en-GB"/>
        </w:rPr>
      </w:pPr>
      <w:r w:rsidRPr="008D6A99">
        <w:rPr>
          <w:lang w:val="en-GB"/>
        </w:rPr>
        <w:t>Data providers will have the possibility of checking their data and introducing any corrections needed before releasing the information, which should reduce the number of re-submissions needed and also reduce significantly the time needed to reach a final submitted data set. The checks on the uploaded data will include automatic QA/QC checks but also the production of a number of products (tables, charts, maps) that will allow the data provider to have a better overview of the information he/she is uploading. This will allow for a check of the information provided not only from a purely formal point of view but also from the point of view of the contents.</w:t>
      </w:r>
    </w:p>
    <w:bookmarkEnd w:id="974"/>
    <w:p w:rsidR="00BF0382" w:rsidRPr="008D6A99" w:rsidRDefault="00BF0382" w:rsidP="00BF0382">
      <w:pPr>
        <w:jc w:val="both"/>
        <w:rPr>
          <w:lang w:val="en-GB"/>
        </w:rPr>
      </w:pPr>
      <w:r w:rsidRPr="008D6A99">
        <w:rPr>
          <w:lang w:val="en-GB"/>
        </w:rPr>
        <w:br w:type="page"/>
      </w:r>
    </w:p>
    <w:p w:rsidR="00BF0382" w:rsidRPr="008D6A99" w:rsidRDefault="00BF0382" w:rsidP="00BF0382">
      <w:pPr>
        <w:outlineLvl w:val="0"/>
        <w:rPr>
          <w:lang w:val="en-GB"/>
        </w:rPr>
      </w:pPr>
      <w:bookmarkStart w:id="975" w:name="_Toc426534623"/>
      <w:bookmarkStart w:id="976" w:name="_Toc432666128"/>
      <w:bookmarkStart w:id="977" w:name="_Toc437520324"/>
      <w:r w:rsidRPr="008D6A99">
        <w:rPr>
          <w:b/>
          <w:lang w:val="en-GB"/>
        </w:rPr>
        <w:t>Annex 7:</w:t>
      </w:r>
      <w:r w:rsidRPr="008D6A99">
        <w:rPr>
          <w:b/>
          <w:lang w:val="en-GB"/>
        </w:rPr>
        <w:tab/>
        <w:t>Reporting guidance on inventories</w:t>
      </w:r>
      <w:bookmarkEnd w:id="975"/>
      <w:bookmarkEnd w:id="976"/>
      <w:bookmarkEnd w:id="977"/>
    </w:p>
    <w:p w:rsidR="00BF0382" w:rsidRPr="008D6A99" w:rsidRDefault="00BF0382" w:rsidP="00BF0382">
      <w:pPr>
        <w:rPr>
          <w:lang w:val="en-GB"/>
        </w:rPr>
      </w:pPr>
      <w:r w:rsidRPr="008D6A99">
        <w:rPr>
          <w:lang w:val="en-GB"/>
        </w:rPr>
        <w:t>The CIS Technical Guidance Document No. 28, “</w:t>
      </w:r>
      <w:r w:rsidRPr="008D6A99">
        <w:rPr>
          <w:bCs/>
          <w:lang w:val="en-GB"/>
        </w:rPr>
        <w:t>Technical Guidance on the Preparation of an Inventory of Emissions, Discharges and Losses of Priority and Priority Hazardous Substances</w:t>
      </w:r>
      <w:r>
        <w:rPr>
          <w:rStyle w:val="Fotnotsreferens"/>
          <w:bCs/>
        </w:rPr>
        <w:footnoteReference w:id="142"/>
      </w:r>
      <w:r w:rsidRPr="008D6A99">
        <w:rPr>
          <w:bCs/>
          <w:lang w:val="en-GB"/>
        </w:rPr>
        <w:t xml:space="preserve">” (TGD 28), sets out the steps to help Member States establish their inventories. The purpose of this annex is to relate SoE-WISE categories to the sources and pathways set out in that guidance. This is intended to allow the collection of comparable data which may then be used in assessment of sources, trends and review of policy measures. </w:t>
      </w:r>
    </w:p>
    <w:p w:rsidR="00BF0382" w:rsidRPr="008D6A99" w:rsidRDefault="00BF0382" w:rsidP="00BF0382">
      <w:pPr>
        <w:rPr>
          <w:lang w:val="en-GB"/>
        </w:rPr>
      </w:pPr>
      <w:r w:rsidRPr="008D6A99">
        <w:rPr>
          <w:lang w:val="en-GB"/>
        </w:rPr>
        <w:t xml:space="preserve">As set out in Section 9.3 of the WFD Reporting Guidance 2016, different source and/or pathway categorisation schemes exist. Of particular relevance here are: the source or pathway categories in TGD 28; the WISE SoE emissions source categories </w:t>
      </w:r>
      <w:hyperlink r:id="rId58" w:history="1">
        <w:r w:rsidRPr="008D6A99">
          <w:rPr>
            <w:rStyle w:val="Hyperlnk"/>
            <w:sz w:val="20"/>
            <w:lang w:val="en-GB"/>
          </w:rPr>
          <w:t>http://dd.eionet.europa.eu/datasets/latest/Emissions</w:t>
        </w:r>
      </w:hyperlink>
      <w:r w:rsidRPr="008D6A99">
        <w:rPr>
          <w:sz w:val="20"/>
          <w:lang w:val="en-GB"/>
        </w:rPr>
        <w:t xml:space="preserve"> </w:t>
      </w:r>
      <w:r w:rsidRPr="008D6A99">
        <w:rPr>
          <w:lang w:val="en-GB"/>
        </w:rPr>
        <w:t>; the WFD list of pressure types</w:t>
      </w:r>
      <w:r>
        <w:rPr>
          <w:rStyle w:val="Fotnotsreferens"/>
        </w:rPr>
        <w:footnoteReference w:id="143"/>
      </w:r>
      <w:r w:rsidRPr="008D6A99">
        <w:rPr>
          <w:lang w:val="en-GB"/>
        </w:rPr>
        <w:t xml:space="preserve">. </w:t>
      </w:r>
      <w:r w:rsidRPr="008D6A99">
        <w:rPr>
          <w:bCs/>
          <w:lang w:val="en-GB"/>
        </w:rPr>
        <w:t xml:space="preserve">Efforts to harmonise these categories are under way, with the alignment </w:t>
      </w:r>
      <w:r w:rsidRPr="008D6A99">
        <w:rPr>
          <w:lang w:val="en-GB"/>
        </w:rPr>
        <w:t xml:space="preserve">of WISE SoE source categories with WFD pressures and new WISE SoE Emission reporting (2015) to be based on the updated source category code list. </w:t>
      </w:r>
    </w:p>
    <w:p w:rsidR="00BF0382" w:rsidRPr="008D6A99" w:rsidRDefault="00BF0382" w:rsidP="00BF0382">
      <w:pPr>
        <w:rPr>
          <w:bCs/>
          <w:lang w:val="en-GB"/>
        </w:rPr>
      </w:pPr>
      <w:r w:rsidRPr="008D6A99">
        <w:rPr>
          <w:bCs/>
          <w:lang w:val="en-GB"/>
        </w:rPr>
        <w:t>Section III.1 of TGD 28 describes the general working scheme of the inventory of emissions. Sources, pathways and riverine loads to surface waters are considered. To reduce the risk of differing interpretations as to where data should be recorded, the information in tables [2i] and [2ii] below is provided to assist Member States in their submission of inventory data.</w:t>
      </w:r>
    </w:p>
    <w:p w:rsidR="00BF0382" w:rsidRPr="008D6A99" w:rsidRDefault="00BF0382" w:rsidP="00BF0382">
      <w:pPr>
        <w:rPr>
          <w:lang w:val="en-GB"/>
        </w:rPr>
      </w:pPr>
      <w:r w:rsidRPr="008D6A99">
        <w:rPr>
          <w:lang w:val="en-GB"/>
        </w:rPr>
        <w:t>For the 2</w:t>
      </w:r>
      <w:r w:rsidRPr="008D6A99">
        <w:rPr>
          <w:vertAlign w:val="superscript"/>
          <w:lang w:val="en-GB"/>
        </w:rPr>
        <w:t>nd</w:t>
      </w:r>
      <w:r w:rsidRPr="008D6A99">
        <w:rPr>
          <w:lang w:val="en-GB"/>
        </w:rPr>
        <w:t xml:space="preserve"> RBMPs, the following notes are intended to facilitate voluntary reporting of pollutant inputs according to one of the above categorisations.</w:t>
      </w:r>
    </w:p>
    <w:p w:rsidR="00BF0382" w:rsidRPr="008D6A99" w:rsidRDefault="00BF0382" w:rsidP="00BF0382">
      <w:pPr>
        <w:rPr>
          <w:lang w:val="en-GB"/>
        </w:rPr>
      </w:pPr>
      <w:r w:rsidRPr="008D6A99">
        <w:rPr>
          <w:lang w:val="en-GB"/>
        </w:rPr>
        <w:t>Table 1 illustrates approximate correspondence between the source and pathway categories in TGD28, SoE source categories and WFD list of pressures.  See also Figure 5 in Section 9.3 of the WFD Reporting Guidance 2016.</w:t>
      </w:r>
    </w:p>
    <w:p w:rsidR="00BF0382" w:rsidRPr="008D6A99" w:rsidRDefault="00BF0382" w:rsidP="00BF0382">
      <w:pPr>
        <w:rPr>
          <w:b/>
          <w:lang w:val="en-GB"/>
        </w:rPr>
      </w:pPr>
      <w:r w:rsidRPr="008D6A99">
        <w:rPr>
          <w:b/>
          <w:lang w:val="en-GB"/>
        </w:rPr>
        <w:t>Table 1: Relationships between the source and pathway categories in the CIS Inventory Guidance, the SoE source categories and the WFD list of pressures</w:t>
      </w:r>
    </w:p>
    <w:tbl>
      <w:tblPr>
        <w:tblStyle w:val="TableGrid1"/>
        <w:tblW w:w="0" w:type="auto"/>
        <w:tblLook w:val="0000" w:firstRow="0" w:lastRow="0" w:firstColumn="0" w:lastColumn="0" w:noHBand="0" w:noVBand="0"/>
      </w:tblPr>
      <w:tblGrid>
        <w:gridCol w:w="2694"/>
        <w:gridCol w:w="2314"/>
        <w:gridCol w:w="2314"/>
        <w:gridCol w:w="2315"/>
      </w:tblGrid>
      <w:tr w:rsidR="00BF0382" w:rsidRPr="00D95552" w:rsidTr="00BB474C">
        <w:trPr>
          <w:tblHeader/>
        </w:trPr>
        <w:tc>
          <w:tcPr>
            <w:tcW w:w="2694" w:type="dxa"/>
            <w:shd w:val="clear" w:color="auto" w:fill="FFFFFF" w:themeFill="background1"/>
          </w:tcPr>
          <w:p w:rsidR="00BF0382" w:rsidRDefault="00BF0382" w:rsidP="00BB474C">
            <w:pPr>
              <w:ind w:right="132"/>
              <w:rPr>
                <w:rFonts w:asciiTheme="minorHAnsi" w:hAnsiTheme="minorHAnsi"/>
                <w:b/>
              </w:rPr>
            </w:pPr>
            <w:r>
              <w:rPr>
                <w:rFonts w:asciiTheme="minorHAnsi" w:hAnsiTheme="minorHAnsi"/>
                <w:b/>
              </w:rPr>
              <w:t>Inventory Guidance source</w:t>
            </w:r>
          </w:p>
        </w:tc>
        <w:tc>
          <w:tcPr>
            <w:tcW w:w="2314" w:type="dxa"/>
            <w:shd w:val="clear" w:color="auto" w:fill="FFFFFF" w:themeFill="background1"/>
          </w:tcPr>
          <w:p w:rsidR="00BF0382" w:rsidRDefault="00BF0382" w:rsidP="00BB474C">
            <w:pPr>
              <w:ind w:right="132"/>
              <w:rPr>
                <w:rFonts w:asciiTheme="minorHAnsi" w:hAnsiTheme="minorHAnsi"/>
                <w:b/>
              </w:rPr>
            </w:pPr>
            <w:r>
              <w:rPr>
                <w:rFonts w:asciiTheme="minorHAnsi" w:hAnsiTheme="minorHAnsi"/>
                <w:b/>
              </w:rPr>
              <w:t>Inventory Guidance pathway</w:t>
            </w:r>
          </w:p>
        </w:tc>
        <w:tc>
          <w:tcPr>
            <w:tcW w:w="2314" w:type="dxa"/>
            <w:shd w:val="clear" w:color="auto" w:fill="FFFFFF" w:themeFill="background1"/>
          </w:tcPr>
          <w:p w:rsidR="00BF0382" w:rsidRDefault="00BF0382" w:rsidP="00BB474C">
            <w:pPr>
              <w:ind w:right="132"/>
              <w:rPr>
                <w:rFonts w:asciiTheme="minorHAnsi" w:hAnsiTheme="minorHAnsi"/>
                <w:b/>
                <w:lang w:val="fr-FR"/>
              </w:rPr>
            </w:pPr>
            <w:r>
              <w:rPr>
                <w:rFonts w:asciiTheme="minorHAnsi" w:hAnsiTheme="minorHAnsi"/>
                <w:b/>
                <w:lang w:val="fr-FR"/>
              </w:rPr>
              <w:t>SoE emissions code</w:t>
            </w:r>
          </w:p>
        </w:tc>
        <w:tc>
          <w:tcPr>
            <w:tcW w:w="2315" w:type="dxa"/>
            <w:shd w:val="clear" w:color="auto" w:fill="FFFFFF" w:themeFill="background1"/>
          </w:tcPr>
          <w:p w:rsidR="00BF0382" w:rsidRDefault="00BF0382" w:rsidP="00BB474C">
            <w:pPr>
              <w:ind w:right="132"/>
              <w:rPr>
                <w:rFonts w:asciiTheme="minorHAnsi" w:hAnsiTheme="minorHAnsi"/>
                <w:b/>
                <w:lang w:val="fr-FR"/>
              </w:rPr>
            </w:pPr>
            <w:r>
              <w:rPr>
                <w:rFonts w:asciiTheme="minorHAnsi" w:hAnsiTheme="minorHAnsi"/>
                <w:b/>
                <w:lang w:val="fr-FR"/>
              </w:rPr>
              <w:t>WFD pressure type (source code)</w:t>
            </w:r>
          </w:p>
        </w:tc>
      </w:tr>
      <w:tr w:rsidR="00BF0382" w:rsidTr="00BB474C">
        <w:trPr>
          <w:cantSplit/>
        </w:trPr>
        <w:tc>
          <w:tcPr>
            <w:tcW w:w="2694" w:type="dxa"/>
          </w:tcPr>
          <w:p w:rsidR="00BF0382" w:rsidRDefault="00BF0382" w:rsidP="00BB474C">
            <w:pPr>
              <w:ind w:right="132"/>
              <w:rPr>
                <w:rFonts w:asciiTheme="minorHAnsi" w:hAnsiTheme="minorHAnsi"/>
              </w:rPr>
            </w:pPr>
            <w:r>
              <w:rPr>
                <w:rFonts w:asciiTheme="minorHAnsi" w:hAnsiTheme="minorHAnsi"/>
              </w:rPr>
              <w:t>Air Emissions</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P1: Atmospheric Deposition directly to Surface Waters</w:t>
            </w:r>
          </w:p>
        </w:tc>
        <w:tc>
          <w:tcPr>
            <w:tcW w:w="2314" w:type="dxa"/>
          </w:tcPr>
          <w:p w:rsidR="00BF0382" w:rsidRDefault="00BF0382" w:rsidP="00BB474C">
            <w:pPr>
              <w:ind w:right="132"/>
              <w:rPr>
                <w:rFonts w:asciiTheme="minorHAnsi" w:hAnsiTheme="minorHAnsi"/>
                <w:lang w:val="fr-FR"/>
              </w:rPr>
            </w:pPr>
            <w:r>
              <w:rPr>
                <w:rFonts w:asciiTheme="minorHAnsi" w:hAnsiTheme="minorHAnsi"/>
                <w:lang w:val="fr-FR"/>
              </w:rPr>
              <w:t>NP2</w:t>
            </w:r>
            <w:r>
              <w:rPr>
                <w:rStyle w:val="Fotnotsreferens"/>
                <w:rFonts w:asciiTheme="minorHAnsi" w:hAnsiTheme="minorHAnsi"/>
                <w:lang w:val="fr-FR"/>
              </w:rPr>
              <w:footnoteReference w:id="144"/>
            </w:r>
          </w:p>
        </w:tc>
        <w:tc>
          <w:tcPr>
            <w:tcW w:w="2315" w:type="dxa"/>
          </w:tcPr>
          <w:p w:rsidR="00BF0382" w:rsidRDefault="00BF0382" w:rsidP="00BB474C">
            <w:pPr>
              <w:ind w:right="132"/>
              <w:rPr>
                <w:rFonts w:asciiTheme="minorHAnsi" w:hAnsiTheme="minorHAnsi"/>
                <w:lang w:val="fr-FR"/>
              </w:rPr>
            </w:pPr>
            <w:r>
              <w:rPr>
                <w:rFonts w:asciiTheme="minorHAnsi" w:hAnsiTheme="minorHAnsi"/>
                <w:lang w:val="fr-FR"/>
              </w:rPr>
              <w:t>2.7</w:t>
            </w:r>
          </w:p>
        </w:tc>
      </w:tr>
      <w:tr w:rsidR="00BF0382" w:rsidTr="00BB474C">
        <w:trPr>
          <w:cantSplit/>
        </w:trPr>
        <w:tc>
          <w:tcPr>
            <w:tcW w:w="2694" w:type="dxa"/>
          </w:tcPr>
          <w:p w:rsidR="00BF0382" w:rsidRDefault="00BF0382" w:rsidP="00BB474C">
            <w:pPr>
              <w:ind w:right="132"/>
              <w:rPr>
                <w:rFonts w:asciiTheme="minorHAnsi" w:hAnsiTheme="minorHAnsi"/>
              </w:rPr>
            </w:pPr>
            <w:r>
              <w:rPr>
                <w:rFonts w:asciiTheme="minorHAnsi" w:hAnsiTheme="minorHAnsi"/>
              </w:rPr>
              <w:t>Agriculture, Air Emissions</w:t>
            </w:r>
          </w:p>
        </w:tc>
        <w:tc>
          <w:tcPr>
            <w:tcW w:w="2314" w:type="dxa"/>
          </w:tcPr>
          <w:p w:rsidR="00BF0382" w:rsidRDefault="00BF0382" w:rsidP="00BB474C">
            <w:pPr>
              <w:ind w:right="132"/>
              <w:rPr>
                <w:rFonts w:asciiTheme="minorHAnsi" w:hAnsiTheme="minorHAnsi"/>
              </w:rPr>
            </w:pPr>
            <w:r>
              <w:rPr>
                <w:rFonts w:asciiTheme="minorHAnsi" w:hAnsiTheme="minorHAnsi"/>
              </w:rPr>
              <w:t>P2: Erosion</w:t>
            </w:r>
          </w:p>
        </w:tc>
        <w:tc>
          <w:tcPr>
            <w:tcW w:w="2314" w:type="dxa"/>
          </w:tcPr>
          <w:p w:rsidR="00BF0382" w:rsidRDefault="00BF0382" w:rsidP="00BB474C">
            <w:pPr>
              <w:ind w:right="132"/>
              <w:rPr>
                <w:rFonts w:asciiTheme="minorHAnsi" w:hAnsiTheme="minorHAnsi"/>
              </w:rPr>
            </w:pPr>
            <w:r>
              <w:rPr>
                <w:rFonts w:asciiTheme="minorHAnsi" w:hAnsiTheme="minorHAnsi"/>
              </w:rPr>
              <w:t>Can be a component in NP1, NP2, NP7, NP8 and NP72</w:t>
            </w:r>
          </w:p>
        </w:tc>
        <w:tc>
          <w:tcPr>
            <w:tcW w:w="2315" w:type="dxa"/>
          </w:tcPr>
          <w:p w:rsidR="00BF0382" w:rsidRDefault="00BF0382" w:rsidP="00BB474C">
            <w:pPr>
              <w:ind w:right="132"/>
              <w:rPr>
                <w:rFonts w:asciiTheme="minorHAnsi" w:hAnsiTheme="minorHAnsi"/>
              </w:rPr>
            </w:pPr>
            <w:r>
              <w:rPr>
                <w:rFonts w:asciiTheme="minorHAnsi" w:hAnsiTheme="minorHAnsi"/>
              </w:rPr>
              <w:t>Source-dependent</w:t>
            </w:r>
          </w:p>
        </w:tc>
      </w:tr>
      <w:tr w:rsidR="00BF0382" w:rsidTr="00BB474C">
        <w:trPr>
          <w:cantSplit/>
        </w:trPr>
        <w:tc>
          <w:tcPr>
            <w:tcW w:w="2694" w:type="dxa"/>
          </w:tcPr>
          <w:p w:rsidR="00BF0382" w:rsidRDefault="00BF0382" w:rsidP="00BB474C">
            <w:pPr>
              <w:ind w:right="132"/>
              <w:rPr>
                <w:rFonts w:asciiTheme="minorHAnsi" w:hAnsiTheme="minorHAnsi"/>
              </w:rPr>
            </w:pPr>
            <w:r>
              <w:rPr>
                <w:rFonts w:asciiTheme="minorHAnsi" w:hAnsiTheme="minorHAnsi"/>
              </w:rPr>
              <w:t>Agriculture, Air Emissions</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P3: Surface Runoff from Unsealed Areas</w:t>
            </w:r>
          </w:p>
        </w:tc>
        <w:tc>
          <w:tcPr>
            <w:tcW w:w="2314" w:type="dxa"/>
          </w:tcPr>
          <w:p w:rsidR="00BF0382" w:rsidRDefault="00BF0382" w:rsidP="00BB474C">
            <w:pPr>
              <w:ind w:right="132"/>
              <w:rPr>
                <w:rFonts w:asciiTheme="minorHAnsi" w:hAnsiTheme="minorHAnsi"/>
              </w:rPr>
            </w:pPr>
            <w:r>
              <w:rPr>
                <w:rFonts w:asciiTheme="minorHAnsi" w:hAnsiTheme="minorHAnsi"/>
              </w:rPr>
              <w:t>Can be a component in NP1, NP2, NP7, NP8 and NP72</w:t>
            </w:r>
          </w:p>
        </w:tc>
        <w:tc>
          <w:tcPr>
            <w:tcW w:w="2315" w:type="dxa"/>
          </w:tcPr>
          <w:p w:rsidR="00BF0382" w:rsidRDefault="00BF0382" w:rsidP="00BB474C">
            <w:pPr>
              <w:ind w:right="132"/>
              <w:rPr>
                <w:rFonts w:asciiTheme="minorHAnsi" w:hAnsiTheme="minorHAnsi"/>
              </w:rPr>
            </w:pPr>
            <w:r>
              <w:rPr>
                <w:rFonts w:asciiTheme="minorHAnsi" w:hAnsiTheme="minorHAnsi"/>
              </w:rPr>
              <w:t>2.2, 2.3, 2.4, 2.7, 2.10</w:t>
            </w:r>
          </w:p>
        </w:tc>
      </w:tr>
      <w:tr w:rsidR="00BF0382" w:rsidTr="00BB474C">
        <w:trPr>
          <w:cantSplit/>
        </w:trPr>
        <w:tc>
          <w:tcPr>
            <w:tcW w:w="2694" w:type="dxa"/>
          </w:tcPr>
          <w:p w:rsidR="00BF0382" w:rsidRDefault="00BF0382" w:rsidP="00BB474C">
            <w:pPr>
              <w:ind w:right="132"/>
              <w:rPr>
                <w:rFonts w:asciiTheme="minorHAnsi" w:hAnsiTheme="minorHAnsi"/>
              </w:rPr>
            </w:pPr>
            <w:r>
              <w:rPr>
                <w:rFonts w:asciiTheme="minorHAnsi" w:hAnsiTheme="minorHAnsi"/>
              </w:rPr>
              <w:t>Agriculture, Households, Air Emissions</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P4 Interflow, Tile Drainage and Groundwater</w:t>
            </w:r>
          </w:p>
        </w:tc>
        <w:tc>
          <w:tcPr>
            <w:tcW w:w="2314" w:type="dxa"/>
          </w:tcPr>
          <w:p w:rsidR="00BF0382" w:rsidRDefault="00BF0382" w:rsidP="00BB474C">
            <w:pPr>
              <w:ind w:right="132"/>
              <w:rPr>
                <w:rFonts w:asciiTheme="minorHAnsi" w:hAnsiTheme="minorHAnsi"/>
              </w:rPr>
            </w:pPr>
            <w:r>
              <w:rPr>
                <w:rFonts w:asciiTheme="minorHAnsi" w:hAnsiTheme="minorHAnsi"/>
              </w:rPr>
              <w:t>Can be a component in NP1, NP 2, NP7, NP8 and NP72</w:t>
            </w:r>
          </w:p>
        </w:tc>
        <w:tc>
          <w:tcPr>
            <w:tcW w:w="2315" w:type="dxa"/>
          </w:tcPr>
          <w:p w:rsidR="00BF0382" w:rsidRDefault="00BF0382" w:rsidP="00BB474C">
            <w:pPr>
              <w:ind w:right="132"/>
              <w:rPr>
                <w:rFonts w:asciiTheme="minorHAnsi" w:hAnsiTheme="minorHAnsi"/>
              </w:rPr>
            </w:pPr>
            <w:r>
              <w:rPr>
                <w:rFonts w:asciiTheme="minorHAnsi" w:hAnsiTheme="minorHAnsi"/>
              </w:rPr>
              <w:t>Source-dependent</w:t>
            </w:r>
          </w:p>
        </w:tc>
      </w:tr>
      <w:tr w:rsidR="00BF0382" w:rsidTr="00BB474C">
        <w:trPr>
          <w:cantSplit/>
        </w:trPr>
        <w:tc>
          <w:tcPr>
            <w:tcW w:w="2694" w:type="dxa"/>
          </w:tcPr>
          <w:p w:rsidR="00BF0382" w:rsidRDefault="00BF0382" w:rsidP="00BB474C">
            <w:pPr>
              <w:ind w:right="132"/>
              <w:rPr>
                <w:rFonts w:asciiTheme="minorHAnsi" w:hAnsiTheme="minorHAnsi"/>
              </w:rPr>
            </w:pPr>
            <w:r>
              <w:rPr>
                <w:rFonts w:asciiTheme="minorHAnsi" w:hAnsiTheme="minorHAnsi"/>
              </w:rPr>
              <w:t>Agriculture</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P5: Direct Discharges and Drifting</w:t>
            </w:r>
          </w:p>
        </w:tc>
        <w:tc>
          <w:tcPr>
            <w:tcW w:w="2314" w:type="dxa"/>
          </w:tcPr>
          <w:p w:rsidR="00BF0382" w:rsidRDefault="00BF0382" w:rsidP="00BB474C">
            <w:pPr>
              <w:ind w:right="132"/>
              <w:rPr>
                <w:rFonts w:asciiTheme="minorHAnsi" w:hAnsiTheme="minorHAnsi"/>
              </w:rPr>
            </w:pPr>
            <w:r>
              <w:rPr>
                <w:rFonts w:asciiTheme="minorHAnsi" w:hAnsiTheme="minorHAnsi"/>
              </w:rPr>
              <w:t>NP1</w:t>
            </w:r>
          </w:p>
        </w:tc>
        <w:tc>
          <w:tcPr>
            <w:tcW w:w="2315" w:type="dxa"/>
          </w:tcPr>
          <w:p w:rsidR="00BF0382" w:rsidRDefault="00BF0382" w:rsidP="00BB474C">
            <w:pPr>
              <w:ind w:right="132"/>
              <w:rPr>
                <w:rFonts w:asciiTheme="minorHAnsi" w:hAnsiTheme="minorHAnsi"/>
              </w:rPr>
            </w:pPr>
            <w:r>
              <w:rPr>
                <w:rFonts w:asciiTheme="minorHAnsi" w:hAnsiTheme="minorHAnsi"/>
              </w:rPr>
              <w:t>2.2</w:t>
            </w:r>
          </w:p>
        </w:tc>
      </w:tr>
      <w:tr w:rsidR="00BF0382" w:rsidTr="00BB474C">
        <w:trPr>
          <w:cantSplit/>
        </w:trPr>
        <w:tc>
          <w:tcPr>
            <w:tcW w:w="2694" w:type="dxa"/>
          </w:tcPr>
          <w:p w:rsidR="00BF0382" w:rsidRDefault="00BF0382" w:rsidP="00BB474C">
            <w:pPr>
              <w:ind w:right="132"/>
              <w:rPr>
                <w:rFonts w:asciiTheme="minorHAnsi" w:hAnsiTheme="minorHAnsi"/>
              </w:rPr>
            </w:pPr>
            <w:r>
              <w:rPr>
                <w:rFonts w:asciiTheme="minorHAnsi" w:hAnsiTheme="minorHAnsi"/>
              </w:rPr>
              <w:t>Air Emissions, Transportation and Infrastructure, Construction Material</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 xml:space="preserve">P6: Surface Runoff from </w:t>
            </w:r>
            <w:r>
              <w:rPr>
                <w:rFonts w:asciiTheme="minorHAnsi" w:hAnsiTheme="minorHAnsi"/>
                <w:lang w:val="en-US"/>
              </w:rPr>
              <w:t>Sealed Areas</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can be a component in NP 2, NP7 and NP72</w:t>
            </w:r>
          </w:p>
        </w:tc>
        <w:tc>
          <w:tcPr>
            <w:tcW w:w="2315" w:type="dxa"/>
          </w:tcPr>
          <w:p w:rsidR="00BF0382" w:rsidRDefault="00BF0382" w:rsidP="00BB474C">
            <w:pPr>
              <w:ind w:right="132"/>
              <w:rPr>
                <w:rFonts w:asciiTheme="minorHAnsi" w:hAnsiTheme="minorHAnsi"/>
              </w:rPr>
            </w:pPr>
            <w:r>
              <w:rPr>
                <w:rFonts w:asciiTheme="minorHAnsi" w:hAnsiTheme="minorHAnsi"/>
              </w:rPr>
              <w:t>2.1, 2.4</w:t>
            </w:r>
          </w:p>
        </w:tc>
      </w:tr>
      <w:tr w:rsidR="00BF0382" w:rsidTr="00BB474C">
        <w:trPr>
          <w:cantSplit/>
        </w:trPr>
        <w:tc>
          <w:tcPr>
            <w:tcW w:w="269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Air Emissions, Transportation and Infrastructure, Construction Material, Households, Industry</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P7: Storm Water Outlets, Combined Sewer Overflows  and Unconnected Sewers</w:t>
            </w:r>
          </w:p>
        </w:tc>
        <w:tc>
          <w:tcPr>
            <w:tcW w:w="2314" w:type="dxa"/>
          </w:tcPr>
          <w:p w:rsidR="00BF0382" w:rsidRDefault="00BF0382" w:rsidP="00BB474C">
            <w:pPr>
              <w:ind w:right="132"/>
              <w:rPr>
                <w:rFonts w:asciiTheme="minorHAnsi" w:hAnsiTheme="minorHAnsi"/>
              </w:rPr>
            </w:pPr>
            <w:r>
              <w:rPr>
                <w:rFonts w:asciiTheme="minorHAnsi" w:hAnsiTheme="minorHAnsi"/>
              </w:rPr>
              <w:t>U1+ NP5</w:t>
            </w:r>
          </w:p>
        </w:tc>
        <w:tc>
          <w:tcPr>
            <w:tcW w:w="2315" w:type="dxa"/>
          </w:tcPr>
          <w:p w:rsidR="00BF0382" w:rsidRDefault="00BF0382" w:rsidP="00BB474C">
            <w:pPr>
              <w:ind w:right="132"/>
              <w:rPr>
                <w:rFonts w:asciiTheme="minorHAnsi" w:hAnsiTheme="minorHAnsi"/>
              </w:rPr>
            </w:pPr>
            <w:r>
              <w:rPr>
                <w:rFonts w:asciiTheme="minorHAnsi" w:hAnsiTheme="minorHAnsi"/>
              </w:rPr>
              <w:t>1.2</w:t>
            </w:r>
          </w:p>
        </w:tc>
      </w:tr>
      <w:tr w:rsidR="00BF0382" w:rsidTr="00BB474C">
        <w:tc>
          <w:tcPr>
            <w:tcW w:w="269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 xml:space="preserve">Air Emissions, Transportation and Infrastructure, Construction Material, Households, Industry </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P8: Urban Waste Water Treated</w:t>
            </w:r>
          </w:p>
        </w:tc>
        <w:tc>
          <w:tcPr>
            <w:tcW w:w="2314" w:type="dxa"/>
          </w:tcPr>
          <w:p w:rsidR="00BF0382" w:rsidRDefault="00BF0382" w:rsidP="00BB474C">
            <w:pPr>
              <w:ind w:right="132"/>
              <w:rPr>
                <w:rFonts w:asciiTheme="minorHAnsi" w:hAnsiTheme="minorHAnsi"/>
              </w:rPr>
            </w:pPr>
            <w:r>
              <w:rPr>
                <w:rFonts w:asciiTheme="minorHAnsi" w:hAnsiTheme="minorHAnsi"/>
              </w:rPr>
              <w:t xml:space="preserve">U2 </w:t>
            </w:r>
          </w:p>
        </w:tc>
        <w:tc>
          <w:tcPr>
            <w:tcW w:w="2315" w:type="dxa"/>
          </w:tcPr>
          <w:p w:rsidR="00BF0382" w:rsidRDefault="00BF0382" w:rsidP="00BB474C">
            <w:pPr>
              <w:ind w:right="132"/>
              <w:rPr>
                <w:rFonts w:asciiTheme="minorHAnsi" w:hAnsiTheme="minorHAnsi"/>
              </w:rPr>
            </w:pPr>
            <w:r>
              <w:rPr>
                <w:rFonts w:asciiTheme="minorHAnsi" w:hAnsiTheme="minorHAnsi"/>
              </w:rPr>
              <w:t>1.1</w:t>
            </w:r>
          </w:p>
        </w:tc>
      </w:tr>
      <w:tr w:rsidR="00BF0382" w:rsidTr="00BB474C">
        <w:tc>
          <w:tcPr>
            <w:tcW w:w="2694" w:type="dxa"/>
          </w:tcPr>
          <w:p w:rsidR="00BF0382" w:rsidRDefault="00BF0382" w:rsidP="00BB474C">
            <w:pPr>
              <w:ind w:right="132"/>
              <w:rPr>
                <w:rFonts w:asciiTheme="minorHAnsi" w:hAnsiTheme="minorHAnsi"/>
              </w:rPr>
            </w:pPr>
            <w:r>
              <w:rPr>
                <w:rFonts w:asciiTheme="minorHAnsi" w:hAnsiTheme="minorHAnsi"/>
              </w:rPr>
              <w:t>Households</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P9: Individual - Treated and Untreated - Household Discharges</w:t>
            </w:r>
          </w:p>
        </w:tc>
        <w:tc>
          <w:tcPr>
            <w:tcW w:w="2314" w:type="dxa"/>
          </w:tcPr>
          <w:p w:rsidR="00BF0382" w:rsidRDefault="00BF0382" w:rsidP="00BB474C">
            <w:pPr>
              <w:ind w:right="132"/>
              <w:rPr>
                <w:rFonts w:asciiTheme="minorHAnsi" w:hAnsiTheme="minorHAnsi"/>
              </w:rPr>
            </w:pPr>
            <w:r>
              <w:rPr>
                <w:rFonts w:asciiTheme="minorHAnsi" w:hAnsiTheme="minorHAnsi"/>
              </w:rPr>
              <w:t>NP3</w:t>
            </w:r>
          </w:p>
        </w:tc>
        <w:tc>
          <w:tcPr>
            <w:tcW w:w="2315" w:type="dxa"/>
          </w:tcPr>
          <w:p w:rsidR="00BF0382" w:rsidRDefault="00BF0382" w:rsidP="00BB474C">
            <w:pPr>
              <w:ind w:right="132"/>
              <w:rPr>
                <w:rFonts w:asciiTheme="minorHAnsi" w:hAnsiTheme="minorHAnsi"/>
              </w:rPr>
            </w:pPr>
            <w:r>
              <w:rPr>
                <w:rFonts w:asciiTheme="minorHAnsi" w:hAnsiTheme="minorHAnsi"/>
              </w:rPr>
              <w:t>2.6</w:t>
            </w:r>
          </w:p>
        </w:tc>
      </w:tr>
      <w:tr w:rsidR="00BF0382" w:rsidTr="00BB474C">
        <w:tc>
          <w:tcPr>
            <w:tcW w:w="2694" w:type="dxa"/>
          </w:tcPr>
          <w:p w:rsidR="00BF0382" w:rsidRDefault="00BF0382" w:rsidP="00BB474C">
            <w:pPr>
              <w:ind w:right="132"/>
              <w:rPr>
                <w:rFonts w:asciiTheme="minorHAnsi" w:hAnsiTheme="minorHAnsi"/>
              </w:rPr>
            </w:pPr>
            <w:r>
              <w:rPr>
                <w:rFonts w:asciiTheme="minorHAnsi" w:hAnsiTheme="minorHAnsi"/>
              </w:rPr>
              <w:t>Industry</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 xml:space="preserve">P10 Industrial Waste Water treated </w:t>
            </w:r>
          </w:p>
          <w:p w:rsidR="00BF0382" w:rsidRPr="008D6A99" w:rsidRDefault="00BF0382" w:rsidP="00BB474C">
            <w:pPr>
              <w:ind w:right="132"/>
              <w:rPr>
                <w:rFonts w:asciiTheme="minorHAnsi" w:hAnsiTheme="minorHAnsi"/>
                <w:lang w:val="en-GB"/>
              </w:rPr>
            </w:pPr>
            <w:r w:rsidRPr="008D6A99">
              <w:rPr>
                <w:rFonts w:asciiTheme="minorHAnsi" w:hAnsiTheme="minorHAnsi"/>
                <w:lang w:val="en-GB"/>
              </w:rPr>
              <w:t>(and untreated)</w:t>
            </w:r>
          </w:p>
        </w:tc>
        <w:tc>
          <w:tcPr>
            <w:tcW w:w="2314" w:type="dxa"/>
          </w:tcPr>
          <w:p w:rsidR="00BF0382" w:rsidRDefault="00BF0382" w:rsidP="00BB474C">
            <w:pPr>
              <w:ind w:right="132"/>
              <w:rPr>
                <w:rFonts w:asciiTheme="minorHAnsi" w:hAnsiTheme="minorHAnsi"/>
              </w:rPr>
            </w:pPr>
            <w:r>
              <w:rPr>
                <w:rFonts w:asciiTheme="minorHAnsi" w:hAnsiTheme="minorHAnsi"/>
              </w:rPr>
              <w:t xml:space="preserve">I3+ I4 </w:t>
            </w:r>
          </w:p>
        </w:tc>
        <w:tc>
          <w:tcPr>
            <w:tcW w:w="2315" w:type="dxa"/>
          </w:tcPr>
          <w:p w:rsidR="00BF0382" w:rsidRDefault="00BF0382" w:rsidP="00BB474C">
            <w:pPr>
              <w:ind w:right="132"/>
              <w:rPr>
                <w:rFonts w:asciiTheme="minorHAnsi" w:hAnsiTheme="minorHAnsi"/>
              </w:rPr>
            </w:pPr>
            <w:r>
              <w:rPr>
                <w:rFonts w:asciiTheme="minorHAnsi" w:hAnsiTheme="minorHAnsi"/>
              </w:rPr>
              <w:t>1.3, 1.4</w:t>
            </w:r>
          </w:p>
        </w:tc>
      </w:tr>
      <w:tr w:rsidR="00BF0382" w:rsidTr="00BB474C">
        <w:tc>
          <w:tcPr>
            <w:tcW w:w="2694" w:type="dxa"/>
          </w:tcPr>
          <w:p w:rsidR="00BF0382" w:rsidRDefault="00BF0382" w:rsidP="00BB474C">
            <w:pPr>
              <w:ind w:right="132"/>
              <w:rPr>
                <w:rFonts w:asciiTheme="minorHAnsi" w:hAnsiTheme="minorHAnsi"/>
              </w:rPr>
            </w:pPr>
            <w:r>
              <w:rPr>
                <w:rFonts w:asciiTheme="minorHAnsi" w:hAnsiTheme="minorHAnsi"/>
              </w:rPr>
              <w:t>Abandoned and Historic Mines</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P11: Direct Discharges from Mining Areas</w:t>
            </w:r>
          </w:p>
        </w:tc>
        <w:tc>
          <w:tcPr>
            <w:tcW w:w="2314" w:type="dxa"/>
          </w:tcPr>
          <w:p w:rsidR="00BF0382" w:rsidRDefault="00BF0382" w:rsidP="00BB474C">
            <w:pPr>
              <w:ind w:right="132"/>
              <w:rPr>
                <w:rFonts w:asciiTheme="minorHAnsi" w:hAnsiTheme="minorHAnsi"/>
              </w:rPr>
            </w:pPr>
            <w:r>
              <w:rPr>
                <w:rFonts w:asciiTheme="minorHAnsi" w:hAnsiTheme="minorHAnsi"/>
              </w:rPr>
              <w:t>O</w:t>
            </w:r>
          </w:p>
        </w:tc>
        <w:tc>
          <w:tcPr>
            <w:tcW w:w="2315" w:type="dxa"/>
          </w:tcPr>
          <w:p w:rsidR="00BF0382" w:rsidRDefault="00BF0382" w:rsidP="00BB474C">
            <w:pPr>
              <w:ind w:right="132"/>
              <w:rPr>
                <w:rFonts w:asciiTheme="minorHAnsi" w:hAnsiTheme="minorHAnsi"/>
              </w:rPr>
            </w:pPr>
            <w:r>
              <w:rPr>
                <w:rFonts w:asciiTheme="minorHAnsi" w:hAnsiTheme="minorHAnsi"/>
              </w:rPr>
              <w:t>1.7, 2.8</w:t>
            </w:r>
          </w:p>
        </w:tc>
      </w:tr>
      <w:tr w:rsidR="00BF0382" w:rsidTr="00BB474C">
        <w:tc>
          <w:tcPr>
            <w:tcW w:w="2694" w:type="dxa"/>
          </w:tcPr>
          <w:p w:rsidR="00BF0382" w:rsidRDefault="00BF0382" w:rsidP="00BB474C">
            <w:pPr>
              <w:ind w:right="132"/>
              <w:rPr>
                <w:rFonts w:asciiTheme="minorHAnsi" w:hAnsiTheme="minorHAnsi"/>
              </w:rPr>
            </w:pPr>
            <w:r>
              <w:rPr>
                <w:rFonts w:asciiTheme="minorHAnsi" w:hAnsiTheme="minorHAnsi"/>
              </w:rPr>
              <w:t>Inland Navigation</w:t>
            </w:r>
          </w:p>
        </w:tc>
        <w:tc>
          <w:tcPr>
            <w:tcW w:w="2314" w:type="dxa"/>
          </w:tcPr>
          <w:p w:rsidR="00BF0382" w:rsidRPr="008D6A99" w:rsidRDefault="00BF0382" w:rsidP="00BB474C">
            <w:pPr>
              <w:ind w:right="132"/>
              <w:rPr>
                <w:rFonts w:asciiTheme="minorHAnsi" w:hAnsiTheme="minorHAnsi"/>
                <w:lang w:val="en-GB"/>
              </w:rPr>
            </w:pPr>
            <w:r w:rsidRPr="008D6A99">
              <w:rPr>
                <w:rFonts w:asciiTheme="minorHAnsi" w:hAnsiTheme="minorHAnsi"/>
                <w:lang w:val="en-GB"/>
              </w:rPr>
              <w:t>P12: Direct Discharges from Navigation</w:t>
            </w:r>
          </w:p>
        </w:tc>
        <w:tc>
          <w:tcPr>
            <w:tcW w:w="2314" w:type="dxa"/>
          </w:tcPr>
          <w:p w:rsidR="00BF0382" w:rsidRDefault="00BF0382" w:rsidP="00BB474C">
            <w:pPr>
              <w:ind w:right="132"/>
              <w:rPr>
                <w:rFonts w:asciiTheme="minorHAnsi" w:hAnsiTheme="minorHAnsi"/>
              </w:rPr>
            </w:pPr>
            <w:r>
              <w:rPr>
                <w:rFonts w:asciiTheme="minorHAnsi" w:hAnsiTheme="minorHAnsi"/>
              </w:rPr>
              <w:t>NP7</w:t>
            </w:r>
          </w:p>
        </w:tc>
        <w:tc>
          <w:tcPr>
            <w:tcW w:w="2315" w:type="dxa"/>
          </w:tcPr>
          <w:p w:rsidR="00BF0382" w:rsidRDefault="00BF0382" w:rsidP="00BB474C">
            <w:pPr>
              <w:ind w:right="132"/>
              <w:rPr>
                <w:rFonts w:asciiTheme="minorHAnsi" w:hAnsiTheme="minorHAnsi"/>
              </w:rPr>
            </w:pPr>
            <w:r>
              <w:rPr>
                <w:rFonts w:asciiTheme="minorHAnsi" w:hAnsiTheme="minorHAnsi"/>
              </w:rPr>
              <w:t>2.4</w:t>
            </w:r>
          </w:p>
        </w:tc>
      </w:tr>
      <w:tr w:rsidR="00BF0382" w:rsidTr="00BB474C">
        <w:tc>
          <w:tcPr>
            <w:tcW w:w="2694" w:type="dxa"/>
          </w:tcPr>
          <w:p w:rsidR="00BF0382" w:rsidRDefault="00BF0382" w:rsidP="00BB474C">
            <w:pPr>
              <w:ind w:right="132"/>
              <w:rPr>
                <w:rFonts w:asciiTheme="minorHAnsi" w:hAnsiTheme="minorHAnsi"/>
              </w:rPr>
            </w:pPr>
            <w:r>
              <w:rPr>
                <w:rFonts w:asciiTheme="minorHAnsi" w:hAnsiTheme="minorHAnsi"/>
              </w:rPr>
              <w:t>Natural Background</w:t>
            </w:r>
          </w:p>
        </w:tc>
        <w:tc>
          <w:tcPr>
            <w:tcW w:w="2314" w:type="dxa"/>
          </w:tcPr>
          <w:p w:rsidR="00BF0382" w:rsidRDefault="00BF0382" w:rsidP="00BB474C">
            <w:pPr>
              <w:ind w:right="132"/>
              <w:rPr>
                <w:rFonts w:asciiTheme="minorHAnsi" w:hAnsiTheme="minorHAnsi"/>
                <w:lang w:val="fr-FR"/>
              </w:rPr>
            </w:pPr>
            <w:r>
              <w:rPr>
                <w:rFonts w:asciiTheme="minorHAnsi" w:hAnsiTheme="minorHAnsi"/>
              </w:rPr>
              <w:t>P13 Natural Background</w:t>
            </w:r>
          </w:p>
        </w:tc>
        <w:tc>
          <w:tcPr>
            <w:tcW w:w="2314" w:type="dxa"/>
          </w:tcPr>
          <w:p w:rsidR="00BF0382" w:rsidRDefault="00BF0382" w:rsidP="00BB474C">
            <w:pPr>
              <w:ind w:right="132"/>
              <w:rPr>
                <w:rFonts w:asciiTheme="minorHAnsi" w:hAnsiTheme="minorHAnsi"/>
                <w:lang w:val="fr-FR"/>
              </w:rPr>
            </w:pPr>
            <w:r>
              <w:rPr>
                <w:rFonts w:asciiTheme="minorHAnsi" w:hAnsiTheme="minorHAnsi"/>
                <w:lang w:val="fr-FR"/>
              </w:rPr>
              <w:t>NP8</w:t>
            </w:r>
          </w:p>
        </w:tc>
        <w:tc>
          <w:tcPr>
            <w:tcW w:w="2315" w:type="dxa"/>
          </w:tcPr>
          <w:p w:rsidR="00BF0382" w:rsidRDefault="00BF0382" w:rsidP="00BB474C">
            <w:pPr>
              <w:ind w:right="132"/>
              <w:rPr>
                <w:rFonts w:asciiTheme="minorHAnsi" w:hAnsiTheme="minorHAnsi"/>
                <w:lang w:val="fr-FR"/>
              </w:rPr>
            </w:pPr>
            <w:r>
              <w:rPr>
                <w:rFonts w:asciiTheme="minorHAnsi" w:hAnsiTheme="minorHAnsi"/>
                <w:lang w:val="fr-FR"/>
              </w:rPr>
              <w:t> Not applicable</w:t>
            </w:r>
          </w:p>
        </w:tc>
      </w:tr>
    </w:tbl>
    <w:p w:rsidR="00BF0382" w:rsidRDefault="00BF0382" w:rsidP="00BF0382"/>
    <w:p w:rsidR="00BF0382" w:rsidRPr="008D6A99" w:rsidRDefault="00BF0382" w:rsidP="00BF0382">
      <w:pPr>
        <w:rPr>
          <w:szCs w:val="24"/>
          <w:lang w:val="en-GB"/>
        </w:rPr>
      </w:pPr>
      <w:r w:rsidRPr="008D6A99">
        <w:rPr>
          <w:szCs w:val="24"/>
          <w:lang w:val="en-GB"/>
        </w:rPr>
        <w:t xml:space="preserve">Tables 2i and 2ii show how to correlate between the WFD list of pressure types list and SoE emissions source categories. </w:t>
      </w:r>
    </w:p>
    <w:p w:rsidR="00BF0382" w:rsidRPr="008D6A99" w:rsidRDefault="00BF0382" w:rsidP="00BF0382">
      <w:pPr>
        <w:rPr>
          <w:b/>
          <w:noProof/>
          <w:lang w:val="en-GB" w:eastAsia="en-GB"/>
        </w:rPr>
      </w:pPr>
      <w:r w:rsidRPr="008D6A99">
        <w:rPr>
          <w:b/>
          <w:noProof/>
          <w:lang w:val="en-GB" w:eastAsia="en-GB"/>
        </w:rPr>
        <w:t xml:space="preserve">Table 2i: </w:t>
      </w:r>
      <w:r w:rsidRPr="008D6A99">
        <w:rPr>
          <w:b/>
          <w:lang w:val="en-GB"/>
        </w:rPr>
        <w:t xml:space="preserve">Relationship between the WFD list of pressure types to WISE SoE emissions source categories </w:t>
      </w:r>
    </w:p>
    <w:tbl>
      <w:tblPr>
        <w:tblW w:w="9771" w:type="dxa"/>
        <w:tblLook w:val="04A0" w:firstRow="1" w:lastRow="0" w:firstColumn="1" w:lastColumn="0" w:noHBand="0" w:noVBand="1"/>
      </w:tblPr>
      <w:tblGrid>
        <w:gridCol w:w="4460"/>
        <w:gridCol w:w="5311"/>
      </w:tblGrid>
      <w:tr w:rsidR="00BF0382" w:rsidTr="00BB474C">
        <w:trPr>
          <w:trHeight w:val="288"/>
          <w:tblHeader/>
        </w:trPr>
        <w:tc>
          <w:tcPr>
            <w:tcW w:w="4460" w:type="dxa"/>
            <w:tcBorders>
              <w:top w:val="single" w:sz="8" w:space="0" w:color="auto"/>
              <w:left w:val="single" w:sz="8" w:space="0" w:color="auto"/>
              <w:bottom w:val="nil"/>
              <w:right w:val="nil"/>
            </w:tcBorders>
            <w:shd w:val="clear" w:color="000000" w:fill="9CC2CB"/>
            <w:noWrap/>
            <w:vAlign w:val="center"/>
            <w:hideMark/>
          </w:tcPr>
          <w:p w:rsidR="00BF0382" w:rsidRDefault="00BF0382" w:rsidP="00BB474C">
            <w:pPr>
              <w:spacing w:after="0"/>
              <w:jc w:val="center"/>
              <w:rPr>
                <w:b/>
                <w:color w:val="000000"/>
                <w:sz w:val="20"/>
                <w:lang w:eastAsia="en-GB"/>
              </w:rPr>
            </w:pPr>
            <w:r>
              <w:rPr>
                <w:b/>
                <w:color w:val="000000"/>
                <w:sz w:val="20"/>
                <w:lang w:eastAsia="en-GB"/>
              </w:rPr>
              <w:t>WFD pressure type</w:t>
            </w:r>
          </w:p>
        </w:tc>
        <w:tc>
          <w:tcPr>
            <w:tcW w:w="5311" w:type="dxa"/>
            <w:tcBorders>
              <w:top w:val="single" w:sz="8" w:space="0" w:color="auto"/>
              <w:left w:val="single" w:sz="4" w:space="0" w:color="auto"/>
              <w:bottom w:val="nil"/>
              <w:right w:val="single" w:sz="8" w:space="0" w:color="auto"/>
            </w:tcBorders>
            <w:shd w:val="clear" w:color="000000" w:fill="9CC2CB"/>
            <w:noWrap/>
            <w:vAlign w:val="center"/>
            <w:hideMark/>
          </w:tcPr>
          <w:p w:rsidR="00BF0382" w:rsidRDefault="00BF0382" w:rsidP="00BB474C">
            <w:pPr>
              <w:spacing w:after="0"/>
              <w:jc w:val="center"/>
              <w:rPr>
                <w:b/>
                <w:color w:val="000000"/>
                <w:sz w:val="20"/>
                <w:lang w:eastAsia="en-GB"/>
              </w:rPr>
            </w:pPr>
            <w:r>
              <w:rPr>
                <w:b/>
                <w:color w:val="000000"/>
                <w:sz w:val="20"/>
                <w:lang w:eastAsia="en-GB"/>
              </w:rPr>
              <w:t>WISE SoE emissions source</w:t>
            </w:r>
          </w:p>
        </w:tc>
      </w:tr>
      <w:tr w:rsidR="00BF0382" w:rsidRPr="00D95552" w:rsidTr="00BB474C">
        <w:trPr>
          <w:cantSplit/>
          <w:trHeight w:val="40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 – Point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PT – Point sources</w:t>
            </w:r>
            <w:r w:rsidRPr="008D6A99">
              <w:rPr>
                <w:color w:val="000000"/>
                <w:sz w:val="16"/>
                <w:szCs w:val="16"/>
                <w:lang w:val="en-GB" w:eastAsia="en-GB"/>
              </w:rPr>
              <w:br/>
            </w:r>
            <w:r w:rsidRPr="008D6A99">
              <w:rPr>
                <w:i/>
                <w:iCs/>
                <w:color w:val="000000"/>
                <w:sz w:val="16"/>
                <w:szCs w:val="16"/>
                <w:lang w:val="en-GB" w:eastAsia="en-GB"/>
              </w:rPr>
              <w:t>Note that the proper correspondence is PT plus NP5.</w:t>
            </w:r>
          </w:p>
        </w:tc>
      </w:tr>
      <w:tr w:rsidR="00BF0382" w:rsidRPr="00D95552" w:rsidTr="00BB474C">
        <w:trPr>
          <w:cantSplit/>
          <w:trHeight w:val="408"/>
        </w:trPr>
        <w:tc>
          <w:tcPr>
            <w:tcW w:w="4460" w:type="dxa"/>
            <w:tcBorders>
              <w:top w:val="nil"/>
              <w:left w:val="single" w:sz="8"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1.1 – Point - Urban waste water </w:t>
            </w:r>
          </w:p>
        </w:tc>
        <w:tc>
          <w:tcPr>
            <w:tcW w:w="5311" w:type="dxa"/>
            <w:tcBorders>
              <w:top w:val="nil"/>
              <w:left w:val="single" w:sz="4" w:space="0" w:color="auto"/>
              <w:bottom w:val="nil"/>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 – Point - Urban waste water</w:t>
            </w:r>
            <w:r w:rsidRPr="008D6A99">
              <w:rPr>
                <w:i/>
                <w:iCs/>
                <w:color w:val="000000"/>
                <w:sz w:val="16"/>
                <w:szCs w:val="16"/>
                <w:lang w:val="en-GB" w:eastAsia="en-GB"/>
              </w:rPr>
              <w:br/>
              <w:t>Further disaggregation is possible in the WISE SoE Emissions data flow.</w:t>
            </w:r>
          </w:p>
        </w:tc>
      </w:tr>
      <w:tr w:rsidR="00BF0382" w:rsidRPr="00D95552" w:rsidTr="00BB474C">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1.2 – Point - Storm overflows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NP5 – Diffuse - Storm overflow emissions</w:t>
            </w:r>
            <w:r w:rsidRPr="008D6A99">
              <w:rPr>
                <w:color w:val="000000"/>
                <w:sz w:val="16"/>
                <w:szCs w:val="16"/>
                <w:lang w:val="en-GB" w:eastAsia="en-GB"/>
              </w:rPr>
              <w:br/>
            </w:r>
            <w:r w:rsidRPr="008D6A99">
              <w:rPr>
                <w:i/>
                <w:iCs/>
                <w:color w:val="000000"/>
                <w:sz w:val="16"/>
                <w:szCs w:val="16"/>
                <w:lang w:val="en-GB" w:eastAsia="en-GB"/>
              </w:rPr>
              <w:t>Note that in the WISE SoE Emissions data flow, this source is reported as a diffuse sources.</w:t>
            </w:r>
          </w:p>
        </w:tc>
      </w:tr>
      <w:tr w:rsidR="00BF0382" w:rsidRPr="00D95552" w:rsidTr="00BB474C">
        <w:trPr>
          <w:cantSplit/>
          <w:trHeight w:val="408"/>
        </w:trPr>
        <w:tc>
          <w:tcPr>
            <w:tcW w:w="4460" w:type="dxa"/>
            <w:tcBorders>
              <w:top w:val="nil"/>
              <w:left w:val="single" w:sz="8" w:space="0" w:color="auto"/>
              <w:bottom w:val="nil"/>
              <w:right w:val="nil"/>
            </w:tcBorders>
            <w:shd w:val="clear" w:color="auto" w:fill="auto"/>
            <w:vAlign w:val="center"/>
            <w:hideMark/>
          </w:tcPr>
          <w:p w:rsidR="00BF0382" w:rsidRDefault="00BF0382" w:rsidP="00BB474C">
            <w:pPr>
              <w:spacing w:after="0"/>
              <w:rPr>
                <w:color w:val="000000"/>
                <w:sz w:val="16"/>
                <w:szCs w:val="16"/>
                <w:lang w:eastAsia="en-GB"/>
              </w:rPr>
            </w:pPr>
            <w:r>
              <w:rPr>
                <w:color w:val="000000"/>
                <w:sz w:val="16"/>
                <w:szCs w:val="16"/>
                <w:lang w:eastAsia="en-GB"/>
              </w:rPr>
              <w:t>1.3 – Point - IED plants</w:t>
            </w:r>
          </w:p>
        </w:tc>
        <w:tc>
          <w:tcPr>
            <w:tcW w:w="5311" w:type="dxa"/>
            <w:tcBorders>
              <w:top w:val="nil"/>
              <w:left w:val="single" w:sz="4" w:space="0" w:color="auto"/>
              <w:bottom w:val="nil"/>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I – Point - Industrial waste water</w:t>
            </w:r>
            <w:r w:rsidRPr="008D6A99">
              <w:rPr>
                <w:color w:val="000000"/>
                <w:sz w:val="16"/>
                <w:szCs w:val="16"/>
                <w:lang w:val="en-GB" w:eastAsia="en-GB"/>
              </w:rPr>
              <w:br/>
            </w:r>
            <w:r w:rsidRPr="008D6A99">
              <w:rPr>
                <w:i/>
                <w:iCs/>
                <w:color w:val="000000"/>
                <w:sz w:val="16"/>
                <w:szCs w:val="16"/>
                <w:lang w:val="en-GB" w:eastAsia="en-GB"/>
              </w:rPr>
              <w:t>Further disaggregation is possible in the WISE SoE Emissions data flow.</w:t>
            </w:r>
          </w:p>
        </w:tc>
      </w:tr>
      <w:tr w:rsidR="00BF0382" w:rsidRPr="00D95552" w:rsidTr="00BB474C">
        <w:trPr>
          <w:cantSplit/>
          <w:trHeight w:val="408"/>
        </w:trPr>
        <w:tc>
          <w:tcPr>
            <w:tcW w:w="4460" w:type="dxa"/>
            <w:tcBorders>
              <w:top w:val="single" w:sz="4" w:space="0" w:color="auto"/>
              <w:left w:val="single" w:sz="8" w:space="0" w:color="auto"/>
              <w:bottom w:val="single" w:sz="4" w:space="0" w:color="auto"/>
              <w:right w:val="nil"/>
            </w:tcBorders>
            <w:shd w:val="clear" w:color="auto" w:fill="auto"/>
            <w:vAlign w:val="center"/>
            <w:hideMark/>
          </w:tcPr>
          <w:p w:rsidR="00BF0382" w:rsidRDefault="00BF0382" w:rsidP="00BB474C">
            <w:pPr>
              <w:spacing w:after="0"/>
              <w:rPr>
                <w:color w:val="000000"/>
                <w:sz w:val="16"/>
                <w:szCs w:val="16"/>
                <w:lang w:eastAsia="en-GB"/>
              </w:rPr>
            </w:pPr>
            <w:r>
              <w:rPr>
                <w:color w:val="000000"/>
                <w:sz w:val="16"/>
                <w:szCs w:val="16"/>
                <w:lang w:eastAsia="en-GB"/>
              </w:rPr>
              <w:t>1.4 – Point - Non IED plants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I – Point - Industrial waste water</w:t>
            </w:r>
            <w:r w:rsidRPr="008D6A99">
              <w:rPr>
                <w:color w:val="000000"/>
                <w:sz w:val="16"/>
                <w:szCs w:val="16"/>
                <w:lang w:val="en-GB" w:eastAsia="en-GB"/>
              </w:rPr>
              <w:br/>
            </w:r>
            <w:r w:rsidRPr="008D6A99">
              <w:rPr>
                <w:i/>
                <w:iCs/>
                <w:color w:val="000000"/>
                <w:sz w:val="16"/>
                <w:szCs w:val="16"/>
                <w:lang w:val="en-GB" w:eastAsia="en-GB"/>
              </w:rPr>
              <w:t>Further disaggregation is possible in the WISE SoE Emissions data flow.</w:t>
            </w:r>
          </w:p>
        </w:tc>
      </w:tr>
      <w:tr w:rsidR="00BF0382" w:rsidRPr="00D95552" w:rsidTr="00BB474C">
        <w:trPr>
          <w:cantSplit/>
          <w:trHeight w:val="612"/>
        </w:trPr>
        <w:tc>
          <w:tcPr>
            <w:tcW w:w="4460" w:type="dxa"/>
            <w:tcBorders>
              <w:top w:val="nil"/>
              <w:left w:val="single" w:sz="8"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1.5 – Point - Contaminated sites or abandoned industrial sites</w:t>
            </w:r>
          </w:p>
        </w:tc>
        <w:tc>
          <w:tcPr>
            <w:tcW w:w="5311" w:type="dxa"/>
            <w:tcBorders>
              <w:top w:val="nil"/>
              <w:left w:val="single" w:sz="4" w:space="0" w:color="auto"/>
              <w:bottom w:val="nil"/>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O1 – Point - Contaminated sites or abandoned industrial sites</w:t>
            </w:r>
            <w:r w:rsidRPr="008D6A99">
              <w:rPr>
                <w:color w:val="000000"/>
                <w:sz w:val="16"/>
                <w:szCs w:val="16"/>
                <w:lang w:val="en-GB" w:eastAsia="en-GB"/>
              </w:rPr>
              <w:br/>
            </w:r>
            <w:r w:rsidRPr="008D6A99">
              <w:rPr>
                <w:i/>
                <w:iCs/>
                <w:color w:val="000000"/>
                <w:sz w:val="16"/>
                <w:szCs w:val="16"/>
                <w:lang w:val="en-GB" w:eastAsia="en-GB"/>
              </w:rPr>
              <w:t>Note that under WISE SoE Emissions, these emissions can be included in the "O – Point - Other" value if the data is not disaggregated by subcategory.</w:t>
            </w:r>
          </w:p>
        </w:tc>
      </w:tr>
      <w:tr w:rsidR="00BF0382" w:rsidRPr="00D95552" w:rsidTr="00BB474C">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1.6 – Point - Waste disposal sites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O2 – Point - Waste disposal sites</w:t>
            </w:r>
            <w:r w:rsidRPr="008D6A99">
              <w:rPr>
                <w:color w:val="000000"/>
                <w:sz w:val="16"/>
                <w:szCs w:val="16"/>
                <w:lang w:val="en-GB" w:eastAsia="en-GB"/>
              </w:rPr>
              <w:br/>
            </w:r>
            <w:r w:rsidRPr="008D6A99">
              <w:rPr>
                <w:i/>
                <w:iCs/>
                <w:color w:val="000000"/>
                <w:sz w:val="16"/>
                <w:szCs w:val="16"/>
                <w:lang w:val="en-GB" w:eastAsia="en-GB"/>
              </w:rPr>
              <w:t>Note that under WISE SoE Emissions, these emissions can be included in the "O – Point - Other" value if the data is not disaggregated by subcategory.</w:t>
            </w:r>
          </w:p>
        </w:tc>
      </w:tr>
      <w:tr w:rsidR="00BF0382" w:rsidRPr="00D95552" w:rsidTr="00BB474C">
        <w:trPr>
          <w:cantSplit/>
          <w:trHeight w:val="612"/>
        </w:trPr>
        <w:tc>
          <w:tcPr>
            <w:tcW w:w="4460" w:type="dxa"/>
            <w:tcBorders>
              <w:top w:val="nil"/>
              <w:left w:val="single" w:sz="8"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1.7 – Point - Mine waters</w:t>
            </w:r>
          </w:p>
        </w:tc>
        <w:tc>
          <w:tcPr>
            <w:tcW w:w="5311" w:type="dxa"/>
            <w:tcBorders>
              <w:top w:val="nil"/>
              <w:left w:val="single" w:sz="4" w:space="0" w:color="auto"/>
              <w:bottom w:val="nil"/>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O3 – Point - Mine waters</w:t>
            </w:r>
            <w:r w:rsidRPr="008D6A99">
              <w:rPr>
                <w:color w:val="000000"/>
                <w:sz w:val="16"/>
                <w:szCs w:val="16"/>
                <w:lang w:val="en-GB" w:eastAsia="en-GB"/>
              </w:rPr>
              <w:br/>
            </w:r>
            <w:r w:rsidRPr="008D6A99">
              <w:rPr>
                <w:i/>
                <w:iCs/>
                <w:color w:val="000000"/>
                <w:sz w:val="16"/>
                <w:szCs w:val="16"/>
                <w:lang w:val="en-GB" w:eastAsia="en-GB"/>
              </w:rPr>
              <w:t>Note that under WISE SoE Emissions, these emissions can be included in the "O – Point - Other" value if the data is not disaggregated by subcategory.</w:t>
            </w:r>
          </w:p>
        </w:tc>
      </w:tr>
      <w:tr w:rsidR="00BF0382" w:rsidRPr="00D95552" w:rsidTr="00BB474C">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1.8 – Point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O4 – Point - Aquaculture</w:t>
            </w:r>
            <w:r w:rsidRPr="008D6A99">
              <w:rPr>
                <w:color w:val="000000"/>
                <w:sz w:val="16"/>
                <w:szCs w:val="16"/>
                <w:lang w:val="en-GB" w:eastAsia="en-GB"/>
              </w:rPr>
              <w:br/>
            </w:r>
            <w:r w:rsidRPr="008D6A99">
              <w:rPr>
                <w:i/>
                <w:iCs/>
                <w:color w:val="000000"/>
                <w:sz w:val="16"/>
                <w:szCs w:val="16"/>
                <w:lang w:val="en-GB" w:eastAsia="en-GB"/>
              </w:rPr>
              <w:t>Note that under WISE SoE Emissions, these emissions can be included in the "O – Point - Other" value if the data is not disaggregated by subcategory.</w:t>
            </w:r>
          </w:p>
        </w:tc>
      </w:tr>
      <w:tr w:rsidR="00BF0382" w:rsidRPr="00D95552" w:rsidTr="00BB474C">
        <w:trPr>
          <w:cantSplit/>
          <w:trHeight w:val="1020"/>
        </w:trPr>
        <w:tc>
          <w:tcPr>
            <w:tcW w:w="4460" w:type="dxa"/>
            <w:tcBorders>
              <w:top w:val="nil"/>
              <w:left w:val="single" w:sz="8"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1.9 – Point - Other</w:t>
            </w:r>
          </w:p>
        </w:tc>
        <w:tc>
          <w:tcPr>
            <w:tcW w:w="5311" w:type="dxa"/>
            <w:tcBorders>
              <w:top w:val="nil"/>
              <w:left w:val="single" w:sz="4" w:space="0" w:color="auto"/>
              <w:bottom w:val="nil"/>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O – Point - Other</w:t>
            </w:r>
            <w:r w:rsidRPr="008D6A99">
              <w:rPr>
                <w:color w:val="000000"/>
                <w:sz w:val="16"/>
                <w:szCs w:val="16"/>
                <w:lang w:val="en-GB" w:eastAsia="en-GB"/>
              </w:rPr>
              <w:br/>
            </w:r>
            <w:r w:rsidRPr="008D6A99">
              <w:rPr>
                <w:i/>
                <w:iCs/>
                <w:color w:val="000000"/>
                <w:sz w:val="16"/>
                <w:szCs w:val="16"/>
                <w:lang w:val="en-GB"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BF0382" w:rsidRPr="00D95552" w:rsidTr="00BB474C">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 – Diffuse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Pr>
                <w:color w:val="000000"/>
                <w:sz w:val="16"/>
                <w:szCs w:val="16"/>
                <w:lang w:val="fr-BE" w:eastAsia="en-GB"/>
              </w:rPr>
              <w:t>NP – Diffuse sources</w:t>
            </w:r>
            <w:r>
              <w:rPr>
                <w:color w:val="000000"/>
                <w:sz w:val="16"/>
                <w:szCs w:val="16"/>
                <w:lang w:val="fr-BE" w:eastAsia="en-GB"/>
              </w:rPr>
              <w:br/>
            </w:r>
            <w:r>
              <w:rPr>
                <w:i/>
                <w:iCs/>
                <w:color w:val="000000"/>
                <w:sz w:val="16"/>
                <w:szCs w:val="16"/>
                <w:lang w:val="fr-BE" w:eastAsia="en-GB"/>
              </w:rPr>
              <w:t xml:space="preserve">Partial correspondence. </w:t>
            </w:r>
            <w:r w:rsidRPr="008D6A99">
              <w:rPr>
                <w:i/>
                <w:iCs/>
                <w:color w:val="000000"/>
                <w:sz w:val="16"/>
                <w:szCs w:val="16"/>
                <w:lang w:val="en-GB" w:eastAsia="en-GB"/>
              </w:rPr>
              <w:t>Note that WFD 2.5 is included under point sources in the WISE SoE Emissions.</w:t>
            </w:r>
          </w:p>
        </w:tc>
      </w:tr>
      <w:tr w:rsidR="00BF0382" w:rsidRPr="00D95552" w:rsidTr="00BB474C">
        <w:trPr>
          <w:cantSplit/>
          <w:trHeight w:val="288"/>
        </w:trPr>
        <w:tc>
          <w:tcPr>
            <w:tcW w:w="4460" w:type="dxa"/>
            <w:tcBorders>
              <w:top w:val="nil"/>
              <w:left w:val="single" w:sz="8"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2.1 – Diffuse - Urban run-off</w:t>
            </w:r>
          </w:p>
        </w:tc>
        <w:tc>
          <w:tcPr>
            <w:tcW w:w="5311" w:type="dxa"/>
            <w:tcBorders>
              <w:top w:val="nil"/>
              <w:left w:val="single" w:sz="4" w:space="0" w:color="auto"/>
              <w:bottom w:val="nil"/>
              <w:right w:val="single" w:sz="8" w:space="0" w:color="auto"/>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NP4 – Diffuse - Urban run-off</w:t>
            </w:r>
          </w:p>
        </w:tc>
      </w:tr>
      <w:tr w:rsidR="00BF0382" w:rsidTr="00BB474C">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2.2 – Diffuse - Agricultural</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NP1 – Diffuse - Agricultural emissions</w:t>
            </w:r>
          </w:p>
        </w:tc>
      </w:tr>
      <w:tr w:rsidR="00BF0382" w:rsidTr="00BB474C">
        <w:trPr>
          <w:cantSplit/>
          <w:trHeight w:val="288"/>
        </w:trPr>
        <w:tc>
          <w:tcPr>
            <w:tcW w:w="4460" w:type="dxa"/>
            <w:tcBorders>
              <w:top w:val="nil"/>
              <w:left w:val="single" w:sz="8"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2.3 – Diffuse - Forestry</w:t>
            </w:r>
          </w:p>
        </w:tc>
        <w:tc>
          <w:tcPr>
            <w:tcW w:w="5311" w:type="dxa"/>
            <w:tcBorders>
              <w:top w:val="nil"/>
              <w:left w:val="single" w:sz="4" w:space="0" w:color="auto"/>
              <w:bottom w:val="nil"/>
              <w:right w:val="single" w:sz="8"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NP71 – Diffuse - Forestry emissions</w:t>
            </w:r>
          </w:p>
        </w:tc>
      </w:tr>
      <w:tr w:rsidR="00BF0382" w:rsidTr="00BB474C">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2.4 – Diffuse - Transport</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NP72 – Diffuse - Transport emissions</w:t>
            </w:r>
          </w:p>
        </w:tc>
      </w:tr>
      <w:tr w:rsidR="00BF0382" w:rsidRPr="00D95552" w:rsidTr="00BB474C">
        <w:trPr>
          <w:cantSplit/>
          <w:trHeight w:val="612"/>
        </w:trPr>
        <w:tc>
          <w:tcPr>
            <w:tcW w:w="4460" w:type="dxa"/>
            <w:tcBorders>
              <w:top w:val="nil"/>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2.5 – Diffuse - Contaminated sites or abandoned industrial sites</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with WISE SoE Emissions sources. This type of emissions are reported under "O1 – Point - Contaminated sites or abandoned industrial sites" (or, if disaggregated values are not available, under "O – Point - Other").</w:t>
            </w:r>
          </w:p>
        </w:tc>
      </w:tr>
      <w:tr w:rsidR="00BF0382" w:rsidTr="00BB474C">
        <w:trPr>
          <w:cantSplit/>
          <w:trHeight w:val="288"/>
        </w:trPr>
        <w:tc>
          <w:tcPr>
            <w:tcW w:w="4460" w:type="dxa"/>
            <w:tcBorders>
              <w:top w:val="nil"/>
              <w:left w:val="single" w:sz="8"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2.6 – Diffuse - Discharges not connected to sewerage network</w:t>
            </w:r>
          </w:p>
        </w:tc>
        <w:tc>
          <w:tcPr>
            <w:tcW w:w="5311" w:type="dxa"/>
            <w:tcBorders>
              <w:top w:val="nil"/>
              <w:left w:val="single" w:sz="4" w:space="0" w:color="auto"/>
              <w:bottom w:val="nil"/>
              <w:right w:val="single" w:sz="8"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NP3 – Diffuse - Un-connected dwellings emissions</w:t>
            </w:r>
          </w:p>
        </w:tc>
      </w:tr>
      <w:tr w:rsidR="00BF0382" w:rsidTr="00BB474C">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2.8 – Diffuse - Mining</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NP73 – Diffuse - Mining emissions</w:t>
            </w:r>
          </w:p>
        </w:tc>
      </w:tr>
      <w:tr w:rsidR="00BF0382" w:rsidTr="00BB474C">
        <w:trPr>
          <w:cantSplit/>
          <w:trHeight w:val="288"/>
        </w:trPr>
        <w:tc>
          <w:tcPr>
            <w:tcW w:w="4460" w:type="dxa"/>
            <w:tcBorders>
              <w:top w:val="nil"/>
              <w:left w:val="single" w:sz="8"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2.7 – Diffuse - Atmospheric deposition </w:t>
            </w:r>
          </w:p>
        </w:tc>
        <w:tc>
          <w:tcPr>
            <w:tcW w:w="5311" w:type="dxa"/>
            <w:tcBorders>
              <w:top w:val="nil"/>
              <w:left w:val="single" w:sz="4" w:space="0" w:color="auto"/>
              <w:bottom w:val="nil"/>
              <w:right w:val="single" w:sz="8"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NP2 – Diffuse - Atmospheric deposition</w:t>
            </w:r>
          </w:p>
        </w:tc>
      </w:tr>
      <w:tr w:rsidR="00BF0382" w:rsidTr="00BB474C">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2.9 – Diffuse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NP74 – Diffuse - Aquaculture emissions</w:t>
            </w:r>
          </w:p>
        </w:tc>
      </w:tr>
      <w:tr w:rsidR="00BF0382" w:rsidRPr="00D95552" w:rsidTr="00BB474C">
        <w:trPr>
          <w:cantSplit/>
          <w:trHeight w:val="525"/>
        </w:trPr>
        <w:tc>
          <w:tcPr>
            <w:tcW w:w="4460" w:type="dxa"/>
            <w:tcBorders>
              <w:top w:val="nil"/>
              <w:left w:val="single" w:sz="8" w:space="0" w:color="auto"/>
              <w:bottom w:val="single" w:sz="4" w:space="0" w:color="auto"/>
              <w:right w:val="nil"/>
            </w:tcBorders>
            <w:shd w:val="clear" w:color="auto" w:fill="auto"/>
            <w:vAlign w:val="center"/>
            <w:hideMark/>
          </w:tcPr>
          <w:p w:rsidR="00BF0382" w:rsidRDefault="00BF0382" w:rsidP="00BB474C">
            <w:pPr>
              <w:spacing w:after="0"/>
              <w:rPr>
                <w:color w:val="000000"/>
                <w:sz w:val="16"/>
                <w:szCs w:val="16"/>
                <w:lang w:eastAsia="en-GB"/>
              </w:rPr>
            </w:pPr>
            <w:r>
              <w:rPr>
                <w:color w:val="000000"/>
                <w:sz w:val="16"/>
                <w:szCs w:val="16"/>
                <w:lang w:eastAsia="en-GB"/>
              </w:rPr>
              <w:t>2.10 – Diffuse - Other</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rsidR="00BF0382" w:rsidRDefault="00BF0382" w:rsidP="00BB474C">
            <w:pPr>
              <w:spacing w:after="0"/>
              <w:rPr>
                <w:color w:val="000000"/>
                <w:sz w:val="16"/>
                <w:szCs w:val="16"/>
                <w:lang w:val="fr-BE" w:eastAsia="en-GB"/>
              </w:rPr>
            </w:pPr>
            <w:r>
              <w:rPr>
                <w:color w:val="000000"/>
                <w:sz w:val="16"/>
                <w:szCs w:val="16"/>
                <w:lang w:val="fr-BE" w:eastAsia="en-GB"/>
              </w:rPr>
              <w:t>NP7 – Diffuse - Other diffuse emissions</w:t>
            </w:r>
            <w:r>
              <w:rPr>
                <w:color w:val="000000"/>
                <w:sz w:val="16"/>
                <w:szCs w:val="16"/>
                <w:lang w:val="fr-BE" w:eastAsia="en-GB"/>
              </w:rPr>
              <w:br/>
            </w:r>
            <w:r>
              <w:rPr>
                <w:i/>
                <w:iCs/>
                <w:color w:val="000000"/>
                <w:sz w:val="16"/>
                <w:szCs w:val="16"/>
                <w:lang w:val="fr-BE" w:eastAsia="en-GB"/>
              </w:rPr>
              <w:t>Partial correspondence: NP7-(NP71+NP72+NP73+NP74)+NP8</w:t>
            </w:r>
          </w:p>
        </w:tc>
      </w:tr>
      <w:tr w:rsidR="00BF0382" w:rsidTr="00BB474C">
        <w:trPr>
          <w:cantSplit/>
          <w:trHeight w:val="300"/>
        </w:trPr>
        <w:tc>
          <w:tcPr>
            <w:tcW w:w="4460" w:type="dxa"/>
            <w:tcBorders>
              <w:top w:val="nil"/>
              <w:left w:val="single" w:sz="8" w:space="0" w:color="auto"/>
              <w:bottom w:val="single" w:sz="8" w:space="0" w:color="auto"/>
              <w:right w:val="nil"/>
            </w:tcBorders>
            <w:shd w:val="clear" w:color="auto" w:fill="auto"/>
            <w:noWrap/>
            <w:vAlign w:val="center"/>
            <w:hideMark/>
          </w:tcPr>
          <w:p w:rsidR="00BF0382" w:rsidRDefault="00BF0382" w:rsidP="00BB474C">
            <w:pPr>
              <w:spacing w:after="0"/>
              <w:rPr>
                <w:i/>
                <w:iCs/>
                <w:color w:val="000000"/>
                <w:sz w:val="16"/>
                <w:szCs w:val="16"/>
                <w:lang w:eastAsia="en-GB"/>
              </w:rPr>
            </w:pPr>
            <w:r>
              <w:rPr>
                <w:i/>
                <w:iCs/>
                <w:color w:val="000000"/>
                <w:sz w:val="16"/>
                <w:szCs w:val="16"/>
                <w:lang w:eastAsia="en-GB"/>
              </w:rPr>
              <w:t>No correspondence</w:t>
            </w:r>
          </w:p>
        </w:tc>
        <w:tc>
          <w:tcPr>
            <w:tcW w:w="5311" w:type="dxa"/>
            <w:tcBorders>
              <w:top w:val="nil"/>
              <w:left w:val="single" w:sz="4" w:space="0" w:color="auto"/>
              <w:bottom w:val="single" w:sz="8" w:space="0" w:color="auto"/>
              <w:right w:val="single" w:sz="8"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NP8 – Diffuse - Background emissions</w:t>
            </w:r>
          </w:p>
        </w:tc>
      </w:tr>
    </w:tbl>
    <w:p w:rsidR="00BF0382" w:rsidRDefault="00BF0382" w:rsidP="00BF0382">
      <w:pPr>
        <w:rPr>
          <w:szCs w:val="24"/>
        </w:rPr>
      </w:pPr>
    </w:p>
    <w:p w:rsidR="00BF0382" w:rsidRPr="008D6A99" w:rsidRDefault="00BF0382" w:rsidP="00BF0382">
      <w:pPr>
        <w:rPr>
          <w:b/>
          <w:szCs w:val="24"/>
          <w:lang w:val="en-GB"/>
        </w:rPr>
      </w:pPr>
      <w:r w:rsidRPr="008D6A99">
        <w:rPr>
          <w:b/>
          <w:lang w:val="en-GB"/>
        </w:rPr>
        <w:t xml:space="preserve">Table 2ii: Relationship between WISE SoE emissions source categories to </w:t>
      </w:r>
      <w:r w:rsidRPr="008D6A99">
        <w:rPr>
          <w:b/>
          <w:szCs w:val="24"/>
          <w:lang w:val="en-GB"/>
        </w:rPr>
        <w:t xml:space="preserve">WFD pressures </w:t>
      </w:r>
    </w:p>
    <w:tbl>
      <w:tblPr>
        <w:tblW w:w="9776" w:type="dxa"/>
        <w:tblLook w:val="04A0" w:firstRow="1" w:lastRow="0" w:firstColumn="1" w:lastColumn="0" w:noHBand="0" w:noVBand="1"/>
      </w:tblPr>
      <w:tblGrid>
        <w:gridCol w:w="5382"/>
        <w:gridCol w:w="4394"/>
      </w:tblGrid>
      <w:tr w:rsidR="00BF0382" w:rsidTr="00BB474C">
        <w:trPr>
          <w:trHeight w:val="288"/>
          <w:tblHeader/>
        </w:trPr>
        <w:tc>
          <w:tcPr>
            <w:tcW w:w="5382" w:type="dxa"/>
            <w:tcBorders>
              <w:top w:val="single" w:sz="4" w:space="0" w:color="auto"/>
              <w:left w:val="single" w:sz="4" w:space="0" w:color="auto"/>
              <w:bottom w:val="single" w:sz="4" w:space="0" w:color="auto"/>
              <w:right w:val="nil"/>
            </w:tcBorders>
            <w:shd w:val="clear" w:color="000000" w:fill="9CC2CB"/>
            <w:noWrap/>
            <w:vAlign w:val="center"/>
            <w:hideMark/>
          </w:tcPr>
          <w:p w:rsidR="00BF0382" w:rsidRDefault="00BF0382" w:rsidP="00BB474C">
            <w:pPr>
              <w:spacing w:after="0"/>
              <w:jc w:val="center"/>
              <w:rPr>
                <w:b/>
                <w:color w:val="000000"/>
                <w:sz w:val="16"/>
                <w:szCs w:val="16"/>
                <w:lang w:eastAsia="en-GB"/>
              </w:rPr>
            </w:pPr>
            <w:r>
              <w:rPr>
                <w:b/>
                <w:color w:val="000000"/>
                <w:sz w:val="16"/>
                <w:szCs w:val="16"/>
                <w:lang w:eastAsia="en-GB"/>
              </w:rPr>
              <w:t>WISE SoE emissions source</w:t>
            </w:r>
          </w:p>
        </w:tc>
        <w:tc>
          <w:tcPr>
            <w:tcW w:w="4394" w:type="dxa"/>
            <w:tcBorders>
              <w:top w:val="single" w:sz="4" w:space="0" w:color="auto"/>
              <w:left w:val="single" w:sz="4" w:space="0" w:color="auto"/>
              <w:bottom w:val="single" w:sz="4" w:space="0" w:color="auto"/>
              <w:right w:val="single" w:sz="4" w:space="0" w:color="auto"/>
            </w:tcBorders>
            <w:shd w:val="clear" w:color="000000" w:fill="9CC2CB"/>
            <w:noWrap/>
            <w:vAlign w:val="center"/>
            <w:hideMark/>
          </w:tcPr>
          <w:p w:rsidR="00BF0382" w:rsidRDefault="00BF0382" w:rsidP="00BB474C">
            <w:pPr>
              <w:spacing w:after="0"/>
              <w:jc w:val="center"/>
              <w:rPr>
                <w:b/>
                <w:color w:val="000000"/>
                <w:sz w:val="16"/>
                <w:szCs w:val="16"/>
                <w:lang w:eastAsia="en-GB"/>
              </w:rPr>
            </w:pPr>
            <w:r>
              <w:rPr>
                <w:b/>
                <w:color w:val="000000"/>
                <w:sz w:val="16"/>
                <w:szCs w:val="16"/>
                <w:lang w:eastAsia="en-GB"/>
              </w:rPr>
              <w:t>WFD pressure type</w:t>
            </w:r>
          </w:p>
        </w:tc>
      </w:tr>
      <w:tr w:rsidR="00BF0382" w:rsidRPr="00D95552" w:rsidTr="00BB474C">
        <w:trPr>
          <w:cantSplit/>
          <w:trHeight w:val="612"/>
        </w:trPr>
        <w:tc>
          <w:tcPr>
            <w:tcW w:w="5382" w:type="dxa"/>
            <w:tcBorders>
              <w:top w:val="nil"/>
              <w:left w:val="single" w:sz="4"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PT – Point sources</w:t>
            </w:r>
          </w:p>
        </w:tc>
        <w:tc>
          <w:tcPr>
            <w:tcW w:w="4394" w:type="dxa"/>
            <w:tcBorders>
              <w:top w:val="nil"/>
              <w:left w:val="single" w:sz="4" w:space="0" w:color="auto"/>
              <w:bottom w:val="nil"/>
              <w:right w:val="single" w:sz="4"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1 – Point source of pollution</w:t>
            </w:r>
            <w:r w:rsidRPr="008D6A99">
              <w:rPr>
                <w:color w:val="000000"/>
                <w:sz w:val="16"/>
                <w:szCs w:val="16"/>
                <w:lang w:val="en-GB" w:eastAsia="en-GB"/>
              </w:rPr>
              <w:br/>
            </w:r>
            <w:r w:rsidRPr="008D6A99">
              <w:rPr>
                <w:i/>
                <w:iCs/>
                <w:color w:val="000000"/>
                <w:sz w:val="16"/>
                <w:szCs w:val="16"/>
                <w:lang w:val="en-GB" w:eastAsia="en-GB"/>
              </w:rPr>
              <w:t>Note that "1.2 – Point - Storm overflows" are reported as diffuse sources under WISE SoE Emissions.</w:t>
            </w:r>
          </w:p>
        </w:tc>
      </w:tr>
      <w:tr w:rsidR="00BF0382" w:rsidTr="00BB474C">
        <w:trPr>
          <w:cantSplit/>
          <w:trHeight w:val="288"/>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 – Point - Urban waste water</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1.1 – Point - Urban waste water </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U1 – Point - Urban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U11 – Point - Urban waste water - untreated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U12 – Point - Urban waste water - untreated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U13 – Point - Urban waste water - untreated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U14 – Point - Urban waste water - untreated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U2 – Point - Urban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U21 – Point - Urban waste water - 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U22 – Point - Urban waste water - 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U23 – Point - Urban waste water - 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U24 – Point - Urban waste water - 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612"/>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I – Point - Industrial waste water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i/>
                <w:iCs/>
                <w:color w:val="000000"/>
                <w:sz w:val="16"/>
                <w:szCs w:val="16"/>
                <w:lang w:val="en-GB" w:eastAsia="en-GB"/>
              </w:rPr>
              <w:t xml:space="preserve">Sum of: </w:t>
            </w:r>
            <w:r w:rsidRPr="008D6A99">
              <w:rPr>
                <w:color w:val="000000"/>
                <w:sz w:val="16"/>
                <w:szCs w:val="16"/>
                <w:lang w:val="en-GB" w:eastAsia="en-GB"/>
              </w:rPr>
              <w:br/>
              <w:t>1.3 – Point - IED plants</w:t>
            </w:r>
            <w:r w:rsidRPr="008D6A99">
              <w:rPr>
                <w:color w:val="000000"/>
                <w:sz w:val="16"/>
                <w:szCs w:val="16"/>
                <w:lang w:val="en-GB" w:eastAsia="en-GB"/>
              </w:rPr>
              <w:br/>
              <w:t>1.4 – Point - Non IED plants</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I3 – Point - Industrial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I4 – Point - Industrial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i/>
                <w:iCs/>
                <w:color w:val="000000"/>
                <w:sz w:val="16"/>
                <w:szCs w:val="16"/>
                <w:lang w:val="en-GB" w:eastAsia="en-GB"/>
              </w:rPr>
            </w:pPr>
            <w:r w:rsidRPr="008D6A99">
              <w:rPr>
                <w:i/>
                <w:iCs/>
                <w:color w:val="000000"/>
                <w:sz w:val="16"/>
                <w:szCs w:val="16"/>
                <w:lang w:val="en-GB" w:eastAsia="en-GB"/>
              </w:rPr>
              <w:t>No direct correspondence to this WISE SoE subcategory.</w:t>
            </w:r>
          </w:p>
        </w:tc>
      </w:tr>
      <w:tr w:rsidR="00BF0382" w:rsidRPr="00D95552" w:rsidTr="00BB474C">
        <w:trPr>
          <w:cantSplit/>
          <w:trHeight w:val="1224"/>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O – Point - Other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1.9 – Point - Other</w:t>
            </w:r>
            <w:r w:rsidRPr="008D6A99">
              <w:rPr>
                <w:color w:val="000000"/>
                <w:sz w:val="16"/>
                <w:szCs w:val="16"/>
                <w:lang w:val="en-GB" w:eastAsia="en-GB"/>
              </w:rPr>
              <w:br/>
            </w:r>
            <w:r w:rsidRPr="008D6A99">
              <w:rPr>
                <w:i/>
                <w:iCs/>
                <w:color w:val="000000"/>
                <w:sz w:val="16"/>
                <w:szCs w:val="16"/>
                <w:lang w:val="en-GB"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BF0382" w:rsidRPr="00D95552" w:rsidTr="00BB474C">
        <w:trPr>
          <w:cantSplit/>
          <w:trHeight w:val="612"/>
        </w:trPr>
        <w:tc>
          <w:tcPr>
            <w:tcW w:w="5382" w:type="dxa"/>
            <w:tcBorders>
              <w:top w:val="nil"/>
              <w:left w:val="single" w:sz="4" w:space="0" w:color="auto"/>
              <w:bottom w:val="single" w:sz="4" w:space="0" w:color="auto"/>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O1 – Point - Contaminated sites or abandoned industrial sites</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i/>
                <w:iCs/>
                <w:color w:val="000000"/>
                <w:sz w:val="16"/>
                <w:szCs w:val="16"/>
                <w:lang w:val="en-GB" w:eastAsia="en-GB"/>
              </w:rPr>
              <w:t>Sum of:</w:t>
            </w:r>
            <w:r w:rsidRPr="008D6A99">
              <w:rPr>
                <w:color w:val="000000"/>
                <w:sz w:val="16"/>
                <w:szCs w:val="16"/>
                <w:lang w:val="en-GB" w:eastAsia="en-GB"/>
              </w:rPr>
              <w:br/>
              <w:t>1.5 – Point - Contaminated sites or abandoned industrial sites</w:t>
            </w:r>
            <w:r w:rsidRPr="008D6A99">
              <w:rPr>
                <w:color w:val="000000"/>
                <w:sz w:val="16"/>
                <w:szCs w:val="16"/>
                <w:lang w:val="en-GB" w:eastAsia="en-GB"/>
              </w:rPr>
              <w:br/>
              <w:t>2.5 – Diffuse - Contaminated sites or abandoned industrial sites</w:t>
            </w:r>
          </w:p>
        </w:tc>
      </w:tr>
      <w:tr w:rsidR="00BF038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O2 – Point - Waste disposal sites</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1.6 – Point - Waste disposal sites</w:t>
            </w:r>
          </w:p>
        </w:tc>
      </w:tr>
      <w:tr w:rsidR="00BF0382" w:rsidTr="00BB474C">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O3 – Point - Mine waters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1.7 – Point - Mine waters</w:t>
            </w:r>
          </w:p>
        </w:tc>
      </w:tr>
      <w:tr w:rsidR="00BF038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O4 – Point - Aquaculture</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1.8 – Point - Aquaculture</w:t>
            </w:r>
          </w:p>
        </w:tc>
      </w:tr>
      <w:tr w:rsidR="00BF0382" w:rsidRPr="00D95552" w:rsidTr="00BB474C">
        <w:trPr>
          <w:cantSplit/>
          <w:trHeight w:val="612"/>
        </w:trPr>
        <w:tc>
          <w:tcPr>
            <w:tcW w:w="5382" w:type="dxa"/>
            <w:tcBorders>
              <w:top w:val="single" w:sz="4" w:space="0" w:color="auto"/>
              <w:left w:val="single" w:sz="4" w:space="0" w:color="auto"/>
              <w:bottom w:val="single" w:sz="4" w:space="0" w:color="auto"/>
              <w:right w:val="nil"/>
            </w:tcBorders>
            <w:shd w:val="clear" w:color="000000" w:fill="C6DCE1"/>
            <w:noWrap/>
            <w:vAlign w:val="center"/>
            <w:hideMark/>
          </w:tcPr>
          <w:p w:rsidR="00BF0382" w:rsidRDefault="00BF0382" w:rsidP="00BB474C">
            <w:pPr>
              <w:spacing w:after="0"/>
              <w:rPr>
                <w:color w:val="000000"/>
                <w:sz w:val="16"/>
                <w:szCs w:val="16"/>
                <w:lang w:eastAsia="en-GB"/>
              </w:rPr>
            </w:pPr>
            <w:r>
              <w:rPr>
                <w:color w:val="000000"/>
                <w:sz w:val="16"/>
                <w:szCs w:val="16"/>
                <w:lang w:eastAsia="en-GB"/>
              </w:rPr>
              <w:t>NP – Diffuse sources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2 – Diffuse source of pollution</w:t>
            </w:r>
            <w:r w:rsidRPr="008D6A99">
              <w:rPr>
                <w:color w:val="000000"/>
                <w:sz w:val="16"/>
                <w:szCs w:val="16"/>
                <w:lang w:val="en-GB" w:eastAsia="en-GB"/>
              </w:rPr>
              <w:br/>
            </w:r>
            <w:r w:rsidRPr="008D6A99">
              <w:rPr>
                <w:i/>
                <w:iCs/>
                <w:color w:val="000000"/>
                <w:sz w:val="16"/>
                <w:szCs w:val="16"/>
                <w:lang w:val="en-GB" w:eastAsia="en-GB"/>
              </w:rPr>
              <w:t>Partial correspondence. Note that WFD 2.5 is included under point sources in the WISE SoE Emissions.</w:t>
            </w:r>
          </w:p>
        </w:tc>
      </w:tr>
      <w:tr w:rsidR="00BF038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NP1 – Diffuse - Agricultural emissions</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2.2 – Diffuse - Agricultural</w:t>
            </w:r>
          </w:p>
        </w:tc>
      </w:tr>
      <w:tr w:rsidR="00BF0382" w:rsidTr="00BB474C">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NP2 – Diffuse - Atmospheric deposition</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2.7 – Diffuse - Atmospheric deposition </w:t>
            </w:r>
          </w:p>
        </w:tc>
      </w:tr>
      <w:tr w:rsidR="00BF0382" w:rsidRPr="00D9555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NP3 – Diffuse - Un-connected dwellings emissions</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2.6 – Diffuse - Discharges not connected to sewerage network</w:t>
            </w:r>
          </w:p>
        </w:tc>
      </w:tr>
      <w:tr w:rsidR="00BF0382" w:rsidTr="00BB474C">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BF0382" w:rsidRPr="008D6A99" w:rsidRDefault="00BF0382" w:rsidP="00BB474C">
            <w:pPr>
              <w:spacing w:after="0"/>
              <w:rPr>
                <w:color w:val="000000"/>
                <w:sz w:val="16"/>
                <w:szCs w:val="16"/>
                <w:lang w:val="en-GB" w:eastAsia="en-GB"/>
              </w:rPr>
            </w:pPr>
            <w:r w:rsidRPr="008D6A99">
              <w:rPr>
                <w:color w:val="000000"/>
                <w:sz w:val="16"/>
                <w:szCs w:val="16"/>
                <w:lang w:val="en-GB" w:eastAsia="en-GB"/>
              </w:rPr>
              <w:t>NP4 – Diffuse - Urban run-off</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2.1 – Diffuse - Urban run-off</w:t>
            </w:r>
          </w:p>
        </w:tc>
      </w:tr>
      <w:tr w:rsidR="00BF0382" w:rsidTr="00BB474C">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rsidR="00BF0382" w:rsidRPr="00D95552" w:rsidRDefault="00BF0382" w:rsidP="00BB474C">
            <w:pPr>
              <w:spacing w:after="0"/>
              <w:rPr>
                <w:color w:val="000000"/>
                <w:sz w:val="16"/>
                <w:szCs w:val="16"/>
                <w:lang w:val="en-GB" w:eastAsia="en-GB"/>
              </w:rPr>
            </w:pPr>
            <w:r w:rsidRPr="00D95552">
              <w:rPr>
                <w:color w:val="000000"/>
                <w:sz w:val="16"/>
                <w:szCs w:val="16"/>
                <w:lang w:val="en-GB" w:eastAsia="en-GB"/>
              </w:rPr>
              <w:t>NP5 – Diffuse - Storm overflow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1.2 – Point - Storm overflows</w:t>
            </w:r>
          </w:p>
        </w:tc>
      </w:tr>
      <w:tr w:rsidR="00BF0382" w:rsidRPr="00D95552" w:rsidTr="00BB474C">
        <w:trPr>
          <w:cantSplit/>
          <w:trHeight w:val="525"/>
        </w:trPr>
        <w:tc>
          <w:tcPr>
            <w:tcW w:w="5382" w:type="dxa"/>
            <w:tcBorders>
              <w:top w:val="nil"/>
              <w:left w:val="single" w:sz="4" w:space="0" w:color="auto"/>
              <w:bottom w:val="nil"/>
              <w:right w:val="nil"/>
            </w:tcBorders>
            <w:shd w:val="clear" w:color="auto" w:fill="auto"/>
            <w:noWrap/>
            <w:vAlign w:val="center"/>
            <w:hideMark/>
          </w:tcPr>
          <w:p w:rsidR="00BF0382" w:rsidRDefault="00BF0382" w:rsidP="00BB474C">
            <w:pPr>
              <w:spacing w:after="0"/>
              <w:rPr>
                <w:color w:val="000000"/>
                <w:sz w:val="16"/>
                <w:szCs w:val="16"/>
                <w:lang w:val="fr-BE" w:eastAsia="en-GB"/>
              </w:rPr>
            </w:pPr>
            <w:r>
              <w:rPr>
                <w:color w:val="000000"/>
                <w:sz w:val="16"/>
                <w:szCs w:val="16"/>
                <w:lang w:val="fr-BE" w:eastAsia="en-GB"/>
              </w:rPr>
              <w:t>NP7 – Diffuse - Other diffuse emissions</w:t>
            </w:r>
          </w:p>
        </w:tc>
        <w:tc>
          <w:tcPr>
            <w:tcW w:w="4394" w:type="dxa"/>
            <w:tcBorders>
              <w:top w:val="nil"/>
              <w:left w:val="single" w:sz="4" w:space="0" w:color="auto"/>
              <w:bottom w:val="nil"/>
              <w:right w:val="single" w:sz="4" w:space="0" w:color="auto"/>
            </w:tcBorders>
            <w:shd w:val="clear" w:color="auto" w:fill="auto"/>
            <w:vAlign w:val="center"/>
            <w:hideMark/>
          </w:tcPr>
          <w:p w:rsidR="00BF0382" w:rsidRDefault="00BF0382" w:rsidP="00BB474C">
            <w:pPr>
              <w:spacing w:after="0"/>
              <w:rPr>
                <w:color w:val="000000"/>
                <w:sz w:val="16"/>
                <w:szCs w:val="16"/>
                <w:lang w:val="pl-PL" w:eastAsia="en-GB"/>
              </w:rPr>
            </w:pPr>
            <w:r>
              <w:rPr>
                <w:color w:val="000000"/>
                <w:sz w:val="16"/>
                <w:szCs w:val="16"/>
                <w:lang w:val="pl-PL" w:eastAsia="en-GB"/>
              </w:rPr>
              <w:t>2.10 – Diffuse - Other</w:t>
            </w:r>
            <w:r>
              <w:rPr>
                <w:color w:val="000000"/>
                <w:sz w:val="16"/>
                <w:szCs w:val="16"/>
                <w:lang w:val="pl-PL" w:eastAsia="en-GB"/>
              </w:rPr>
              <w:br/>
            </w:r>
            <w:r>
              <w:rPr>
                <w:i/>
                <w:iCs/>
                <w:color w:val="000000"/>
                <w:sz w:val="16"/>
                <w:szCs w:val="16"/>
                <w:lang w:val="pl-PL" w:eastAsia="en-GB"/>
              </w:rPr>
              <w:t>Partial correspondence: NP7-(NP71+NP72+NP73+NP74)+NP8</w:t>
            </w:r>
          </w:p>
        </w:tc>
      </w:tr>
      <w:tr w:rsidR="00BF0382" w:rsidTr="00BB474C">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NP71 – Diffuse - Forestry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2.3 – Diffuse - Forestry</w:t>
            </w:r>
          </w:p>
        </w:tc>
      </w:tr>
      <w:tr w:rsidR="00BF0382" w:rsidTr="00BB474C">
        <w:trPr>
          <w:cantSplit/>
          <w:trHeight w:val="288"/>
        </w:trPr>
        <w:tc>
          <w:tcPr>
            <w:tcW w:w="5382" w:type="dxa"/>
            <w:tcBorders>
              <w:top w:val="nil"/>
              <w:left w:val="single" w:sz="4" w:space="0" w:color="auto"/>
              <w:bottom w:val="nil"/>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NP72 – Diffuse - Transport emissions</w:t>
            </w:r>
          </w:p>
        </w:tc>
        <w:tc>
          <w:tcPr>
            <w:tcW w:w="4394" w:type="dxa"/>
            <w:tcBorders>
              <w:top w:val="nil"/>
              <w:left w:val="single" w:sz="4" w:space="0" w:color="auto"/>
              <w:bottom w:val="nil"/>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2.4 – Diffuse - Transport</w:t>
            </w:r>
          </w:p>
        </w:tc>
      </w:tr>
      <w:tr w:rsidR="00BF0382" w:rsidTr="00BB474C">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NP73 – Diffuse - Mining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2.8 – Diffuse - Mining</w:t>
            </w:r>
          </w:p>
        </w:tc>
      </w:tr>
      <w:tr w:rsidR="00BF0382" w:rsidTr="00BB474C">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NP74 – Diffuse - Aquaculture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2.9 – Diffuse - Aquaculture</w:t>
            </w:r>
          </w:p>
        </w:tc>
      </w:tr>
      <w:tr w:rsidR="00BF0382" w:rsidTr="00BB474C">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rsidR="00BF0382" w:rsidRDefault="00BF0382" w:rsidP="00BB474C">
            <w:pPr>
              <w:spacing w:after="0"/>
              <w:rPr>
                <w:color w:val="000000"/>
                <w:sz w:val="16"/>
                <w:szCs w:val="16"/>
                <w:lang w:eastAsia="en-GB"/>
              </w:rPr>
            </w:pPr>
            <w:r>
              <w:rPr>
                <w:color w:val="000000"/>
                <w:sz w:val="16"/>
                <w:szCs w:val="16"/>
                <w:lang w:eastAsia="en-GB"/>
              </w:rPr>
              <w:t>NP8 – Diffuse - Background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BF0382" w:rsidRDefault="00BF0382" w:rsidP="00BB474C">
            <w:pPr>
              <w:spacing w:after="0"/>
              <w:rPr>
                <w:i/>
                <w:iCs/>
                <w:color w:val="000000"/>
                <w:sz w:val="16"/>
                <w:szCs w:val="16"/>
                <w:lang w:eastAsia="en-GB"/>
              </w:rPr>
            </w:pPr>
            <w:r>
              <w:rPr>
                <w:i/>
                <w:iCs/>
                <w:color w:val="000000"/>
                <w:sz w:val="16"/>
                <w:szCs w:val="16"/>
                <w:lang w:eastAsia="en-GB"/>
              </w:rPr>
              <w:t>No direct correspondence.</w:t>
            </w:r>
          </w:p>
        </w:tc>
      </w:tr>
    </w:tbl>
    <w:p w:rsidR="00BF0382" w:rsidRDefault="00BF0382" w:rsidP="00BF0382">
      <w:pPr>
        <w:rPr>
          <w:szCs w:val="24"/>
        </w:rPr>
      </w:pPr>
    </w:p>
    <w:p w:rsidR="00BF0382" w:rsidRDefault="00BF0382" w:rsidP="00BF0382">
      <w:pPr>
        <w:spacing w:after="0"/>
        <w:rPr>
          <w:b/>
        </w:rPr>
      </w:pPr>
      <w:r>
        <w:rPr>
          <w:b/>
        </w:rPr>
        <w:br w:type="page"/>
      </w:r>
    </w:p>
    <w:p w:rsidR="00BF0382" w:rsidRDefault="00BF0382" w:rsidP="00BF0382">
      <w:pPr>
        <w:jc w:val="both"/>
        <w:outlineLvl w:val="0"/>
        <w:rPr>
          <w:b/>
        </w:rPr>
      </w:pPr>
      <w:bookmarkStart w:id="978" w:name="_Toc432666129"/>
      <w:bookmarkStart w:id="979" w:name="_Toc437520325"/>
      <w:r>
        <w:rPr>
          <w:b/>
        </w:rPr>
        <w:t>Annex 8:</w:t>
      </w:r>
      <w:r>
        <w:rPr>
          <w:b/>
        </w:rPr>
        <w:tab/>
        <w:t>Enumeration Lists</w:t>
      </w:r>
      <w:bookmarkEnd w:id="978"/>
      <w:bookmarkEnd w:id="979"/>
    </w:p>
    <w:p w:rsidR="00BF0382" w:rsidRPr="008D6A99" w:rsidRDefault="00BF0382" w:rsidP="00BF0382">
      <w:pPr>
        <w:jc w:val="both"/>
        <w:outlineLvl w:val="0"/>
        <w:rPr>
          <w:b/>
          <w:lang w:val="en-GB"/>
        </w:rPr>
      </w:pPr>
      <w:bookmarkStart w:id="980" w:name="_Toc432666130"/>
      <w:bookmarkStart w:id="981" w:name="_Toc437520326"/>
      <w:r w:rsidRPr="008D6A99">
        <w:rPr>
          <w:b/>
          <w:lang w:val="en-GB"/>
        </w:rPr>
        <w:t>Annex 8a:</w:t>
      </w:r>
      <w:r w:rsidRPr="008D6A99">
        <w:rPr>
          <w:b/>
          <w:lang w:val="en-GB"/>
        </w:rPr>
        <w:tab/>
        <w:t>List of common intercalibration types (SWIntercalibrationType_Enum)</w:t>
      </w:r>
      <w:bookmarkEnd w:id="980"/>
      <w:bookmarkEnd w:id="981"/>
    </w:p>
    <w:p w:rsidR="00BF0382" w:rsidRPr="008D6A99" w:rsidRDefault="00BF0382" w:rsidP="00BF0382">
      <w:pPr>
        <w:spacing w:after="0"/>
        <w:jc w:val="both"/>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864"/>
      </w:tblGrid>
      <w:tr w:rsidR="00BF0382" w:rsidTr="00BB474C">
        <w:trPr>
          <w:trHeight w:val="300"/>
        </w:trPr>
        <w:tc>
          <w:tcPr>
            <w:tcW w:w="866" w:type="pct"/>
            <w:shd w:val="clear" w:color="000000" w:fill="F2F2F2"/>
            <w:noWrap/>
            <w:hideMark/>
          </w:tcPr>
          <w:p w:rsidR="00BF0382" w:rsidRDefault="00BF0382" w:rsidP="00BB474C">
            <w:pPr>
              <w:spacing w:after="0"/>
              <w:jc w:val="both"/>
              <w:rPr>
                <w:color w:val="000000"/>
                <w:sz w:val="18"/>
                <w:szCs w:val="22"/>
                <w:lang w:eastAsia="en-GB"/>
              </w:rPr>
            </w:pPr>
            <w:r>
              <w:rPr>
                <w:color w:val="000000"/>
                <w:sz w:val="18"/>
                <w:szCs w:val="22"/>
                <w:lang w:eastAsia="en-GB"/>
              </w:rPr>
              <w:t>Code</w:t>
            </w:r>
          </w:p>
        </w:tc>
        <w:tc>
          <w:tcPr>
            <w:tcW w:w="4134" w:type="pct"/>
            <w:shd w:val="clear" w:color="000000" w:fill="F2F2F2"/>
            <w:noWrap/>
            <w:hideMark/>
          </w:tcPr>
          <w:p w:rsidR="00BF0382" w:rsidRDefault="00BF0382" w:rsidP="00BB474C">
            <w:pPr>
              <w:spacing w:after="0"/>
              <w:jc w:val="both"/>
              <w:rPr>
                <w:color w:val="000000"/>
                <w:sz w:val="18"/>
                <w:szCs w:val="22"/>
                <w:lang w:eastAsia="en-GB"/>
              </w:rPr>
            </w:pPr>
            <w:r>
              <w:rPr>
                <w:color w:val="000000"/>
                <w:sz w:val="18"/>
                <w:szCs w:val="22"/>
                <w:lang w:eastAsia="en-GB"/>
              </w:rPr>
              <w:t>Description</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CW-BC1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Baltic Sea, surface water salinity 0.5-6 psu, bottom water salinity 1-6 psu, Exposed, 90-150 ice days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CW-BC3</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Baltic Sea, surface water salinity 3-6 psu, bottom water salinity 3-6 psu, Sheltered, 90-150 ice days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CW-BC4</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Baltic Sea, surface water salinity 5-8 psu, bottom water salinity 5-8 psu, Exposed, &lt; 90 ice days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CW-BC5</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Baltic Sea, surface water salinity 6-8 psu, bottom water salinity 6-12 psu, Exposed, &lt;90 ice days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CW-BC6</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Baltic Sea, surface water salinity 8-12 psu, bottom water salinity 8-12 psu, Sheltered, &lt;90 ice days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CW-BC7</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Baltic Sea, surface water salinity 6-8 psu, bottom water salinity 8-11 psu, Exposed, &lt;90 ice days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CW-BC8</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Baltic Sea, surface water salinity 13-18 psu, bottom water salinity 18-23 psu, Sheltered,&lt;90 ice days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CW-BC9</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Baltic Sea, surface water salinity 3-6 psu, bottom water salinity 3-6 psu, Moderately Exposed to exposed, 90-150 ice days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CW-BL1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Black Sea, mesohaline, microtidal, shallow, moderately exposed, mixed substratum</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CW-NEA10</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Skagerrak Outer Arc Type, polyhaline, microtidal, exposed, deep</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CW-NEA3/4</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 East Atlantic, polyhaline, exposed or moderately exposed (Wadden Sea type)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CW-NEA7</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 East, Atlantic Sea, deep fjordic and sea loch systems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CW-NEA8a</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 East Atlantic, Skagerrak Inner Arc Type, polyhaline (25-30), microtidal, moderately exposed, shallow, fully mixed</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CW-NEA8b</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North East Atlantic, Skagerrak Inner Arc Type, polyhaline (10-30), microtidal, moderately sheltered, shallow, partly stratified</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CW-NEA9</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 East Atlantic, fjord with a shallow sill at the mouth with very deep maximum depth in the central basin with poor deepwater exchange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CW-Type_I</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Mediterranean, highly influenced by freshwater input</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CW-Type_IIA</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Mediterranean, moderately influenced by freshwater input (continent influence)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CW-Type_IIA_Adriatic</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Mediterranean, moderately influenced by freshwater input (continent influence), Adriatic coast</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CW-Type_IIIE</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Mediterranean, not influenced by freshwater input (Eastern Basin)</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CW-Type_IIIW</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Mediterranean, continental coast, not influenced by freshwater input (Western Basin)</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CW-Type_Island-W</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Mediterranean, island coast (Western Basin)</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LW-EC1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Eastern Continental, lowland, very shallow, hard-water</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LW-L-AL3</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Alpine, lowland or mid-altitude, deep, moderate to high alkalinity (alpine influence), large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LW-L-AL4</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Alpine, mid-altitude, shallow, moderate to high alkalinity (alpine influence), large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LW-L-CB1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Central Baltic, lowland, shallow,  calcareous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LW-L-CB2</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Central Baltic, lowland, very shallow, calcareous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LW-L-CB3</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Central Baltic, lowland, shallow, small, siliceous (moderate alkalinity)</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LW-L-M1</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 xml:space="preserve">Mediterranean, lakes calcareous </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LW-L-M5/7</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Mediterranean, reservoirs, deep, large, siliceous, “wet” areas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LW-L-M8</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Mediterranean, reservoirs, deep, large, calcareous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lowland, shallow, moderate alkalinity, clear</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LW-L-N2a</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lowland, shallow, low alkalinity, clear</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LW-L-N2b</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lowland, deep,  low alkalinity, clear</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LW-L-N3a</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lowland, shallow, low alkalinity, meso-humic</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LW-L-N3b</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 xml:space="preserve">Northern, lowland, shallow, low alkalinity, polyhumic  </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LW-L-N5</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mid-altitude, shallow, low alkalinity, clear</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LW-L-N6a</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mid-altitude, shallow, low alkalinity, meso-humic</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LW-L-N6b</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mid-altitude, shallow, low alkalinity, poly-humic</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LW-L-N7</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highland, shallow, siliceous, low alkalinity</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LW-L-N8a</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lowland, shallow, moderate alkalinity, meso-humic</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LW-L-N8b</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lowland, shallow, moderate alkalinity,poli-humic</w:t>
            </w:r>
          </w:p>
        </w:tc>
      </w:tr>
      <w:tr w:rsidR="00BF0382" w:rsidRPr="00D95552" w:rsidTr="00BB474C">
        <w:trPr>
          <w:trHeight w:val="300"/>
        </w:trPr>
        <w:tc>
          <w:tcPr>
            <w:tcW w:w="866"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LW-L-N-BF1</w:t>
            </w:r>
          </w:p>
        </w:tc>
        <w:tc>
          <w:tcPr>
            <w:tcW w:w="4134" w:type="pct"/>
            <w:shd w:val="clear" w:color="auto" w:fill="auto"/>
            <w:noWrap/>
            <w:vAlign w:val="bottom"/>
            <w:hideMark/>
          </w:tcPr>
          <w:p w:rsidR="00BF0382" w:rsidRPr="008D6A99" w:rsidRDefault="00BF0382" w:rsidP="00BB474C">
            <w:pPr>
              <w:spacing w:after="0"/>
              <w:jc w:val="both"/>
              <w:rPr>
                <w:color w:val="000000"/>
                <w:sz w:val="18"/>
                <w:szCs w:val="22"/>
                <w:lang w:val="en-GB" w:eastAsia="en-GB"/>
              </w:rPr>
            </w:pPr>
            <w:r w:rsidRPr="008D6A99">
              <w:rPr>
                <w:color w:val="000000"/>
                <w:sz w:val="18"/>
                <w:szCs w:val="22"/>
                <w:lang w:val="en-GB" w:eastAsia="en-GB"/>
              </w:rPr>
              <w:t>Northern lowland/mid-altitude, low alkalinity, clear</w:t>
            </w:r>
          </w:p>
        </w:tc>
      </w:tr>
      <w:tr w:rsidR="00BF0382" w:rsidRPr="00D95552" w:rsidTr="00BB474C">
        <w:trPr>
          <w:trHeight w:val="300"/>
        </w:trPr>
        <w:tc>
          <w:tcPr>
            <w:tcW w:w="866"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LW-L-N-BF2</w:t>
            </w:r>
          </w:p>
        </w:tc>
        <w:tc>
          <w:tcPr>
            <w:tcW w:w="4134" w:type="pct"/>
            <w:shd w:val="clear" w:color="auto" w:fill="auto"/>
            <w:noWrap/>
            <w:vAlign w:val="bottom"/>
            <w:hideMark/>
          </w:tcPr>
          <w:p w:rsidR="00BF0382" w:rsidRPr="008D6A99" w:rsidRDefault="00BF0382" w:rsidP="00BB474C">
            <w:pPr>
              <w:spacing w:after="0"/>
              <w:jc w:val="both"/>
              <w:rPr>
                <w:color w:val="000000"/>
                <w:sz w:val="18"/>
                <w:szCs w:val="22"/>
                <w:lang w:val="en-GB" w:eastAsia="en-GB"/>
              </w:rPr>
            </w:pPr>
            <w:r w:rsidRPr="008D6A99">
              <w:rPr>
                <w:color w:val="000000"/>
                <w:sz w:val="18"/>
                <w:szCs w:val="22"/>
                <w:lang w:val="en-GB" w:eastAsia="en-GB"/>
              </w:rPr>
              <w:t>Northern ecoregion 22, low alkalinity, clear and humic</w:t>
            </w:r>
          </w:p>
        </w:tc>
      </w:tr>
      <w:tr w:rsidR="00BF0382" w:rsidRPr="00D95552" w:rsidTr="00BB474C">
        <w:trPr>
          <w:trHeight w:val="300"/>
        </w:trPr>
        <w:tc>
          <w:tcPr>
            <w:tcW w:w="866"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LW-L-N-F1</w:t>
            </w:r>
          </w:p>
        </w:tc>
        <w:tc>
          <w:tcPr>
            <w:tcW w:w="4134" w:type="pct"/>
            <w:shd w:val="clear" w:color="auto" w:fill="auto"/>
            <w:noWrap/>
            <w:vAlign w:val="bottom"/>
            <w:hideMark/>
          </w:tcPr>
          <w:p w:rsidR="00BF0382" w:rsidRPr="008D6A99" w:rsidRDefault="00BF0382" w:rsidP="00BB474C">
            <w:pPr>
              <w:spacing w:after="0"/>
              <w:jc w:val="both"/>
              <w:rPr>
                <w:color w:val="000000"/>
                <w:sz w:val="18"/>
                <w:szCs w:val="22"/>
                <w:lang w:val="en-GB" w:eastAsia="en-GB"/>
              </w:rPr>
            </w:pPr>
            <w:r w:rsidRPr="008D6A99">
              <w:rPr>
                <w:color w:val="000000"/>
                <w:sz w:val="18"/>
                <w:szCs w:val="22"/>
                <w:lang w:val="en-GB" w:eastAsia="en-GB"/>
              </w:rPr>
              <w:t>Northern dimictic clear water lakes, low alkalinity</w:t>
            </w:r>
          </w:p>
        </w:tc>
      </w:tr>
      <w:tr w:rsidR="00BF0382" w:rsidRPr="00D95552" w:rsidTr="00BB474C">
        <w:trPr>
          <w:trHeight w:val="300"/>
        </w:trPr>
        <w:tc>
          <w:tcPr>
            <w:tcW w:w="866"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LW-L-N-F2</w:t>
            </w:r>
          </w:p>
        </w:tc>
        <w:tc>
          <w:tcPr>
            <w:tcW w:w="4134" w:type="pct"/>
            <w:shd w:val="clear" w:color="auto" w:fill="auto"/>
            <w:noWrap/>
            <w:vAlign w:val="bottom"/>
            <w:hideMark/>
          </w:tcPr>
          <w:p w:rsidR="00BF0382" w:rsidRPr="008D6A99" w:rsidRDefault="00BF0382" w:rsidP="00BB474C">
            <w:pPr>
              <w:spacing w:after="0"/>
              <w:jc w:val="both"/>
              <w:rPr>
                <w:color w:val="000000"/>
                <w:sz w:val="18"/>
                <w:szCs w:val="22"/>
                <w:lang w:val="en-GB" w:eastAsia="en-GB"/>
              </w:rPr>
            </w:pPr>
            <w:r w:rsidRPr="008D6A99">
              <w:rPr>
                <w:color w:val="000000"/>
                <w:sz w:val="18"/>
                <w:szCs w:val="22"/>
                <w:lang w:val="en-GB" w:eastAsia="en-GB"/>
              </w:rPr>
              <w:t>Northern dimictic (meso)humic water lakes, low alkalinity</w:t>
            </w:r>
          </w:p>
        </w:tc>
      </w:tr>
      <w:tr w:rsidR="00BF0382" w:rsidTr="00BB474C">
        <w:trPr>
          <w:trHeight w:val="300"/>
        </w:trPr>
        <w:tc>
          <w:tcPr>
            <w:tcW w:w="866"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LW-L-N-M 101</w:t>
            </w:r>
          </w:p>
        </w:tc>
        <w:tc>
          <w:tcPr>
            <w:tcW w:w="4134"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Northern low alkalinity, clear</w:t>
            </w:r>
          </w:p>
        </w:tc>
      </w:tr>
      <w:tr w:rsidR="00BF0382" w:rsidTr="00BB474C">
        <w:trPr>
          <w:trHeight w:val="300"/>
        </w:trPr>
        <w:tc>
          <w:tcPr>
            <w:tcW w:w="866"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LW-L-N-M 102</w:t>
            </w:r>
          </w:p>
        </w:tc>
        <w:tc>
          <w:tcPr>
            <w:tcW w:w="4134"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Northern low alkalinity, humic</w:t>
            </w:r>
          </w:p>
        </w:tc>
      </w:tr>
      <w:tr w:rsidR="00BF0382" w:rsidTr="00BB474C">
        <w:trPr>
          <w:trHeight w:val="300"/>
        </w:trPr>
        <w:tc>
          <w:tcPr>
            <w:tcW w:w="866"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LW-L-N-M 201</w:t>
            </w:r>
          </w:p>
        </w:tc>
        <w:tc>
          <w:tcPr>
            <w:tcW w:w="4134"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Northern moderate alkalinity, clear</w:t>
            </w:r>
          </w:p>
        </w:tc>
      </w:tr>
      <w:tr w:rsidR="00BF0382" w:rsidTr="00BB474C">
        <w:trPr>
          <w:trHeight w:val="300"/>
        </w:trPr>
        <w:tc>
          <w:tcPr>
            <w:tcW w:w="866"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LW-L-N-M 202</w:t>
            </w:r>
          </w:p>
        </w:tc>
        <w:tc>
          <w:tcPr>
            <w:tcW w:w="4134" w:type="pct"/>
            <w:shd w:val="clear" w:color="auto" w:fill="auto"/>
            <w:noWrap/>
            <w:vAlign w:val="bottom"/>
            <w:hideMark/>
          </w:tcPr>
          <w:p w:rsidR="00BF0382" w:rsidRDefault="00BF0382" w:rsidP="00BB474C">
            <w:pPr>
              <w:spacing w:after="0"/>
              <w:jc w:val="both"/>
              <w:rPr>
                <w:color w:val="000000"/>
                <w:sz w:val="18"/>
                <w:szCs w:val="22"/>
                <w:lang w:eastAsia="en-GB"/>
              </w:rPr>
            </w:pPr>
            <w:r>
              <w:rPr>
                <w:color w:val="000000"/>
                <w:sz w:val="18"/>
                <w:szCs w:val="22"/>
                <w:lang w:eastAsia="en-GB"/>
              </w:rPr>
              <w:t>Northern moderate alkalinity, humic</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LW-L-N-M 301a</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high alkalinity, clear, atlantic subtype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LW-L-N-M 302a</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high alkalinity, humic, atlantic subtype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RW-R-A1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Pre-alpine, small to medium, high altitude calcareous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RW-R-A2</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Alpine, small to medium, high altitude, siliceous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RW-R-C1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Central/Baltic, small, lowland, siliceous sand</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RW-R-C2</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Central/Baltic, small, lowland, siliceous rock</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RW-R-C3</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Central/Baltic, small, mid-altitude, siliceous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RW-R-C4</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Central/Baltic, medium, lowland, mixed</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RW-R-C5</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Central/Baltic, large, lowland, mixed</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RW-R-C6</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Central/Baltic, small, lowland, calcareous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RW-R-E1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Eastern Continental Carpathians, small to medium, mid-altitude (includes RW-R-E1a and RW-R-1b)</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RW-R-E2</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Eastern Continental Plains, medium-sized, lowland</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RW-R-E3</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Eastern Continental Plains, large, lowland</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RW-R-E4</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Eastern Continental Plains, medium-sized, mid-altitude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RW-R-EX4</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Eastern Continental Large, mid-atitude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RW-R-EX5</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Eastern Continental Plains, small, lowland</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RW-R-EX6</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Eastern Continental Plains, small, mid-altitude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RW-R-EX7</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Eastern Continental Balkan, small, calcareous, mid-altitude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RW-R-EX8</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Eastern Continental Balkan, small to medium-sized, calcareous karst spring</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RW-R-L1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Very large low alkalinity (all GIGs)</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RW-R-L2</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Very large medium to  high alkalinity (all GIGs)</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RW-R-M1</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Mediterranean, small, mid-altitude</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RW-R-M2</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Mediterranean, medium, lowland</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RW-R-M3</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Mediterranean, large, lowland</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RW-R-M4</w:t>
            </w:r>
          </w:p>
        </w:tc>
        <w:tc>
          <w:tcPr>
            <w:tcW w:w="4134" w:type="pct"/>
            <w:shd w:val="clear" w:color="auto" w:fill="auto"/>
            <w:noWrap/>
            <w:hideMark/>
          </w:tcPr>
          <w:p w:rsidR="00BF0382" w:rsidRPr="00D95552" w:rsidRDefault="00BF0382" w:rsidP="00BB474C">
            <w:pPr>
              <w:spacing w:after="0"/>
              <w:jc w:val="both"/>
              <w:rPr>
                <w:sz w:val="18"/>
                <w:szCs w:val="22"/>
                <w:lang w:val="en-GB" w:eastAsia="en-GB"/>
              </w:rPr>
            </w:pPr>
            <w:r w:rsidRPr="00D95552">
              <w:rPr>
                <w:sz w:val="18"/>
                <w:szCs w:val="22"/>
                <w:lang w:val="en-GB" w:eastAsia="en-GB"/>
              </w:rPr>
              <w:t>Mediterranean, small-medium, Mediterranean mountains</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RW-R-M5</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Mediterranean, small, Mediterranean temporary</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RW-R-N1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small, lowland, siliceous, moderate alkalinity</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RW-R-N2</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small-medium, lowland, siliceous, low alkalinity, clear</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RW-R-N3</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small-medium, lowland, organic, low alkalinity</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RW-R-N4</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medium, lowland, siliceous, moderate alkalinity</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RW-R-N5</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small, mid-altitude, siliceous, low alkalinity</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RW-R-N7</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small, highland, siliceous, low alkalinity, clear</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RW-R-N9</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Northern, small, medium, mid-altitude, siliceous, low alkalinity, organic (humic)</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TW- BT1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Baltic Sea, surface water salinity 0-8 psu, bottom water salinity 0-8 psu, very sheltered, no ice days</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TW-CoastalLagoonsMesohaline</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Mediterranean Sea, coastal lagoons, salinity 5-18 psu</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TW-CoastalLagoonsOligohaline</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Mediterranean Sea, coastal lagoons, salinity 0-5 psu</w:t>
            </w:r>
          </w:p>
        </w:tc>
      </w:tr>
      <w:tr w:rsidR="00BF038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TW-CoastalLagoonsPolyeuhaline</w:t>
            </w:r>
          </w:p>
        </w:tc>
        <w:tc>
          <w:tcPr>
            <w:tcW w:w="4134" w:type="pct"/>
            <w:shd w:val="clear" w:color="auto" w:fill="auto"/>
            <w:noWrap/>
            <w:hideMark/>
          </w:tcPr>
          <w:p w:rsidR="00BF0382" w:rsidRDefault="00BF0382" w:rsidP="00BB474C">
            <w:pPr>
              <w:spacing w:after="0"/>
              <w:jc w:val="both"/>
              <w:rPr>
                <w:sz w:val="18"/>
                <w:szCs w:val="22"/>
                <w:lang w:eastAsia="en-GB"/>
              </w:rPr>
            </w:pPr>
            <w:r>
              <w:rPr>
                <w:sz w:val="18"/>
                <w:szCs w:val="22"/>
                <w:lang w:eastAsia="en-GB"/>
              </w:rPr>
              <w:t>Mediterranean Sea, coastal lagoons, Salinity 18-40 psu</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TW-Estuaries</w:t>
            </w:r>
          </w:p>
        </w:tc>
        <w:tc>
          <w:tcPr>
            <w:tcW w:w="4134" w:type="pct"/>
            <w:shd w:val="clear" w:color="auto" w:fill="auto"/>
            <w:noWrap/>
            <w:hideMark/>
          </w:tcPr>
          <w:p w:rsidR="00BF0382" w:rsidRDefault="00BF0382" w:rsidP="00BB474C">
            <w:pPr>
              <w:spacing w:after="0"/>
              <w:jc w:val="both"/>
              <w:rPr>
                <w:sz w:val="18"/>
                <w:szCs w:val="22"/>
                <w:lang w:val="es-ES" w:eastAsia="en-GB"/>
              </w:rPr>
            </w:pPr>
            <w:r>
              <w:rPr>
                <w:sz w:val="18"/>
                <w:szCs w:val="22"/>
                <w:lang w:val="es-ES" w:eastAsia="en-GB"/>
              </w:rPr>
              <w:t>Mediterranean Sea, estuaries, salt wedge type</w:t>
            </w:r>
          </w:p>
        </w:tc>
      </w:tr>
      <w:tr w:rsidR="00BF0382" w:rsidRPr="00D95552" w:rsidTr="00BB474C">
        <w:trPr>
          <w:trHeight w:val="300"/>
        </w:trPr>
        <w:tc>
          <w:tcPr>
            <w:tcW w:w="866" w:type="pct"/>
            <w:shd w:val="clear" w:color="auto" w:fill="auto"/>
            <w:noWrap/>
            <w:hideMark/>
          </w:tcPr>
          <w:p w:rsidR="00BF0382" w:rsidRDefault="00BF0382" w:rsidP="00BB474C">
            <w:pPr>
              <w:spacing w:after="0"/>
              <w:jc w:val="both"/>
              <w:rPr>
                <w:sz w:val="18"/>
                <w:szCs w:val="22"/>
                <w:lang w:eastAsia="en-GB"/>
              </w:rPr>
            </w:pPr>
            <w:r>
              <w:rPr>
                <w:sz w:val="18"/>
                <w:szCs w:val="22"/>
                <w:lang w:eastAsia="en-GB"/>
              </w:rPr>
              <w:t>TW-NEA11</w:t>
            </w:r>
          </w:p>
        </w:tc>
        <w:tc>
          <w:tcPr>
            <w:tcW w:w="4134" w:type="pct"/>
            <w:shd w:val="clear" w:color="auto" w:fill="auto"/>
            <w:noWrap/>
            <w:hideMark/>
          </w:tcPr>
          <w:p w:rsidR="00BF0382" w:rsidRPr="008D6A99" w:rsidRDefault="00BF0382" w:rsidP="00BB474C">
            <w:pPr>
              <w:spacing w:after="0"/>
              <w:jc w:val="both"/>
              <w:rPr>
                <w:sz w:val="18"/>
                <w:szCs w:val="22"/>
                <w:lang w:val="en-GB" w:eastAsia="en-GB"/>
              </w:rPr>
            </w:pPr>
            <w:r w:rsidRPr="008D6A99">
              <w:rPr>
                <w:sz w:val="18"/>
                <w:szCs w:val="22"/>
                <w:lang w:val="en-GB" w:eastAsia="en-GB"/>
              </w:rPr>
              <w:t>North East Atlantic, transitional waters</w:t>
            </w:r>
          </w:p>
        </w:tc>
      </w:tr>
      <w:tr w:rsidR="00BF0382" w:rsidTr="00BB474C">
        <w:trPr>
          <w:trHeight w:val="300"/>
        </w:trPr>
        <w:tc>
          <w:tcPr>
            <w:tcW w:w="866" w:type="pct"/>
            <w:shd w:val="clear" w:color="auto" w:fill="auto"/>
            <w:noWrap/>
          </w:tcPr>
          <w:p w:rsidR="00BF0382" w:rsidRDefault="00BF0382" w:rsidP="00BB474C">
            <w:pPr>
              <w:spacing w:after="0"/>
              <w:jc w:val="both"/>
              <w:rPr>
                <w:sz w:val="18"/>
                <w:szCs w:val="22"/>
                <w:lang w:eastAsia="en-GB"/>
              </w:rPr>
            </w:pPr>
            <w:r>
              <w:rPr>
                <w:sz w:val="18"/>
                <w:szCs w:val="22"/>
                <w:lang w:eastAsia="en-GB"/>
              </w:rPr>
              <w:t>Not applicable</w:t>
            </w:r>
          </w:p>
        </w:tc>
        <w:tc>
          <w:tcPr>
            <w:tcW w:w="4134" w:type="pct"/>
            <w:shd w:val="clear" w:color="auto" w:fill="auto"/>
            <w:noWrap/>
          </w:tcPr>
          <w:p w:rsidR="00BF0382" w:rsidRDefault="00BF0382" w:rsidP="00BB474C">
            <w:pPr>
              <w:spacing w:after="0"/>
              <w:jc w:val="both"/>
              <w:rPr>
                <w:sz w:val="18"/>
                <w:szCs w:val="22"/>
                <w:lang w:eastAsia="en-GB"/>
              </w:rPr>
            </w:pPr>
          </w:p>
        </w:tc>
      </w:tr>
    </w:tbl>
    <w:p w:rsidR="00BF0382" w:rsidRDefault="00BF0382" w:rsidP="00BF0382">
      <w:pPr>
        <w:spacing w:after="0"/>
        <w:ind w:left="1418" w:hanging="1418"/>
        <w:jc w:val="both"/>
        <w:rPr>
          <w:b/>
        </w:rPr>
      </w:pPr>
    </w:p>
    <w:p w:rsidR="00BF0382" w:rsidRPr="008D6A99" w:rsidRDefault="00BF0382" w:rsidP="00BF0382">
      <w:pPr>
        <w:pageBreakBefore/>
        <w:jc w:val="both"/>
        <w:outlineLvl w:val="0"/>
        <w:rPr>
          <w:b/>
          <w:lang w:val="en-GB"/>
        </w:rPr>
      </w:pPr>
      <w:bookmarkStart w:id="982" w:name="OLE_LINK11"/>
      <w:bookmarkStart w:id="983" w:name="OLE_LINK12"/>
      <w:bookmarkStart w:id="984" w:name="_Toc432666131"/>
      <w:bookmarkStart w:id="985" w:name="_Toc437520327"/>
      <w:r w:rsidRPr="008D6A99">
        <w:rPr>
          <w:b/>
          <w:lang w:val="en-GB"/>
        </w:rPr>
        <w:t>Annex 8b:</w:t>
      </w:r>
      <w:r w:rsidRPr="008D6A99">
        <w:rPr>
          <w:b/>
          <w:lang w:val="en-GB"/>
        </w:rPr>
        <w:tab/>
        <w:t xml:space="preserve">List of </w:t>
      </w:r>
      <w:bookmarkEnd w:id="982"/>
      <w:bookmarkEnd w:id="983"/>
      <w:r w:rsidRPr="008D6A99">
        <w:rPr>
          <w:b/>
          <w:lang w:val="en-GB"/>
        </w:rPr>
        <w:t>River Basin Specific Pollutants (RBSP_Enum)</w:t>
      </w:r>
      <w:bookmarkEnd w:id="984"/>
      <w:bookmarkEnd w:id="985"/>
    </w:p>
    <w:p w:rsidR="00BF0382" w:rsidRPr="008D6A99" w:rsidRDefault="00BF0382" w:rsidP="00BF0382">
      <w:pPr>
        <w:jc w:val="both"/>
        <w:rPr>
          <w:lang w:val="en-GB"/>
        </w:rPr>
      </w:pPr>
      <w:r w:rsidRPr="008D6A99">
        <w:rPr>
          <w:lang w:val="en-GB"/>
        </w:rPr>
        <w:t>CAS Number (where relevant) or EEA (SoE) code and name provided</w:t>
      </w:r>
    </w:p>
    <w:tbl>
      <w:tblPr>
        <w:tblW w:w="9920" w:type="dxa"/>
        <w:tblInd w:w="113" w:type="dxa"/>
        <w:tblLook w:val="04A0" w:firstRow="1" w:lastRow="0" w:firstColumn="1" w:lastColumn="0" w:noHBand="0" w:noVBand="1"/>
      </w:tblPr>
      <w:tblGrid>
        <w:gridCol w:w="9920"/>
      </w:tblGrid>
      <w:tr w:rsidR="00BF0382" w:rsidTr="00BB474C">
        <w:trPr>
          <w:cantSplit/>
          <w:tblHeader/>
        </w:trPr>
        <w:tc>
          <w:tcPr>
            <w:tcW w:w="99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Pollutant</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CAS_100-41-4 – Ethylbenzene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CAS_100-42-5 – Styrene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CAS_10028-17-8 – Tritium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CAS_10061-01-5 – c-1,3-dichloropropene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CAS_10061-02-6 – t-1,3-dichloropropene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CAS_1007-28-9 – Desisopropylatrazine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CAS_101-55-3 – 4-bromophenyl phenyl ether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CAS_1014-69-3 – Desmetryn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CAS_1024-57-3 – Heptachlor epoxide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CAS_10265-92-6 – Methamidophos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CAS_103-65-1 – n-propylbenzene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CAS_104-35-8 – 4-nonylphenol mono-ethoxylate (NP1EO)</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CAS_104-51-8 – n-butylbenzene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CAS_105-67-9 – 2,4-dimethyl-phenol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CAS_106-42-3 – P-xylene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CAS_106-43-4 – 4-chlorotoluene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CAS_106-44-4 – 4-methyl-phenol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CAS_106-44-5 – P-cresol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CAS_106-46-7 – 1,4-dichlorobenzene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CAS_106-93-4 – 1,2-dibromoethane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CAS_10605-21-7 – Carbendazim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CAS_1066-51-9 – Aminomethylphosphonic acid (AMPA)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CAS_107-13-1 – Acrylonitrile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CAS_107-46-0 – Hexamethyldisiloxane (HMDS)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CAS_1070-78-6 – 1,1,1,3-tetrachloropropane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CAS_1071-83-6 – Glyphosate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CAS_108-38-3 – M-xylene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CAS_108-67-8 – 1,3,5-trimethylbenzene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CAS_108-70-3 – 1,3,5-trichlorobenzene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CAS_108-86-1 – Bromobenzene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CAS_108-88-3 – Toluene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CAS_108-90-7 – Chlorobenzene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CAS_108-95-2 – 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CAS_1113-02-6 – Omethoate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CAS_112410-23-8 – Tebufenozide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CAS_115-32-2 – Dicofol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CAS_1163-19-5 – Bis(pentabromophenyl) ether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CAS_118-96-7 – 2,4,6-trinitrotoluene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CAS_1194-65-6 – Dichlobenil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CAS_120-36-5 – Dichlorprop (2,4-DP)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CAS_120-82-1 – 1,2,4-trichlorobenzene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CAS_120-83-2 – 2,4-dichlorophenol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CAS_120928-09-8 – Fenazaquin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CAS_121-14-2 – 2,4-dinitrotoluene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CAS_121-75-5 – Malathion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CAS_122-14-5 – Fenitrothion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CAS_123-33-1 – Maleinhydrazid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CAS_1231244-60-2 – Metazachlor OA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CAS_124-48-1 – Dibromochlorometane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CAS_124495-18-7 – Quinoxyfen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CAS_12767-79-2 – Aroclor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CAS_129-00-0 – Pyrene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CAS_13071-79-9 – Terbufos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CAS_131-11-3 – Dimethyl phthalate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CAS_131-16-8 – Dipropyl phthalate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CAS_131-18-0 – Dipentyl phthalate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CAS_1321-64-8 – Pentachloronaphthalene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CAS_1321-65-9 – Trichloronaphthalene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CAS_133-06-2 – Captan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CAS_133-53-9 – 3,5-dimethyl-phenol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CAS_1330-20-7 – Xylene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CAS_1333-82-0 – Chromium VI</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CAS_1335-87-1 – Hexachloronaphthalene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CAS_1335-88-2 – Tetrachloronaphthalene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CAS_13351-73-0 – Tolyltriazole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CAS_13356-08-6 – Fenbutatin oxide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CAS_1336-36-3 – Polychlorinated biphenyls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CAS_133855-98-8 – Epoxiconazole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CAS_134-62-3 – Diethyltoluamide (DEET)</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CAS_135-19-3 – 2-naphthol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CAS_135-98-8 – sec-butylbenzene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CAS_136-85-6 – Methylbenzotriazol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CAS_136426-54-5 – Fluquinconazole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CAS_136677-10-6 – Polychlorinated dibenzofurans (PCDF)</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CAS_13684-56-5 – Desmedipham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CAS_137-26-8 – Thiram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CAS_137-30-4 – Ziram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CAS_139-13-9 – NTA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CAS_139-40-2 – Propazine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CAS_140-57-8 – Aramite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CAS_142-28-9 – 1,3-dichloropropane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CAS_142363-53-9 – Alachlor ESA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CAS_14265-44-2 – Phosphate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CAS_143-50-0 – Chlordecone (Kepone)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CAS_144-49-0 – Fluoroacetic acid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CAS_14797-65-0 – Nitrite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CAS_14798-03-9 – Ammonium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CAS_151-21-3 – Sodium dodecyl sulfate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CAS_15165-67-0 – Dichlorprop-P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CAS_152019-73-3 – Metolachlor OA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CAS_15307-86-5 – Diclofenac</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CAS_15541-45-4 – Bromate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CAS_15545-48-9 – Chlortoluron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CAS_156-59-2 – Cis-1,2-dichloroethene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CAS_156-60-5 – Trans 1,2-dichloroethene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CAS_1563-66-2 – Carbofuran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CAS_15687-27-1 – Ibuprofen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CAS_1570-64-5 – 4-chloro-2-methylphenol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CAS_1570-65-6 – 4,6-dichloro-2-methylphenol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CAS_1610-18-0 – Prometon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CAS_16118-49-3 – Carbetamide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CAS_1634-04-4 – MTBE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CAS_16478-18-5 – Pentachloroiodobenzene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CAS_16484-77-8 – Mecoprop-P (MCPP-P)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CAS_16655-82-6 – 3-hydroxycarbofuran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CAS_16672-87-0 – 2-chloroethylphosphonic acid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CAS_16752-77-5 – Methomyl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CAS_1689-83-4 – Ioxynil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CAS_1689-84-5 – Bromoxynil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CAS_1689-99-2 – Bromoxynil octanoate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CAS_1698-60-8 – Chloridazon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CAS_16984-48-8 – Fluoride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CAS_1702-17-6 – Clopyralid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CAS_17040-19-6 – Demeton-S-methylsulfon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CAS_171118-09-5 – Metolachlor ESA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CAS_171262-17-2 – Alachlor OA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CAS_17254-80-7 – Chloridazon methyl desphenyl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CAS_172960-62-2 – Metazachlor ESA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CAS_1746-01-6 – 2,3,7,8-tetrachlorodibenzo-p-dioxin</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CAS_1763-23-1 – Perfluorooctane sulfonic acid (PFOS) and its derivatives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CAS_1806-26-4 – 4-octylphenol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CAS_18181-70-9 – Iodofenphos</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CAS_182346-21-0 – 2,2’,3,4,4’-pentabromodiphenyl ether (BDE85)</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CAS_1825-21-4 – Pentachloroanisole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CAS_182677-30-1 – 2,2’,3,4,4’,5’-hexabromodiphenyl Ether (BD(E)138)</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CAS_1836-75-5 – Nitrophen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CAS_1861-40-1 – Benfluralin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CAS_187022-11-3 – Acetochlor ESA</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CAS_189084-64-8 – 2,2’,4,4’,6-pentabromodiphenyl Ether (BD(E)100)</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CAS_1912-26-1 – Trietazine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CAS_1918-00-9 – Dicamba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CAS_1918-13-4 – Chlorthiamid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CAS_194992-44-4 – Acetochlor OA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CAS_2008-58-4 – 2,6-dichlorobenzamide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CAS_20427-84-3 – 4-nonylphenol di-ethoxylate (NP2EO)</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CAS_20461-54-5 – Iodide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CAS_2051-24-3 – 5,5’,6,6’-decachlorobiphenyl (CB209)</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CAS_207122-15-4 – 2,2’,4,4’,5,6’-hexabromodiphenyl Ether (BDE154)</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CAS_208-96-8 – Acenaphthylene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CAS_2104-64-5 – Ethyl O-(p-nitrophenyl) phenyl phosphonothionate (EPN)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CAS_21087-64-9 – Metribuzin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CAS_2163-68-0 – Hydroxyatrazine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CAS_2164-08-1 – Lenacil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CAS_21725-46-2 – Cyanazine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CAS_218-01-9 – Chrysene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CAS_22204-53-1 – Naproxen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CAS_2227-13-6 – Tetrasul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CAS_2234-13-1 – Octachloronaphthalene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CAS_2310-17-0 – Phosalone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CAS_23103-98-2 – Pirimicarb</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CAS_23593-75-1 – Clotrimazole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CAS_2385-85-5 – Mirex</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CAS_23950-58-5 – Propyzamide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CAS_2440-02-0 – Heptachloronorbornene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CAS_24959-67-9 – Bromide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CAS_25057-89-0 – Bentazone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CAS_25140-90-3 – 2-(2,6-dichlorophenoxy)propionic acid (2,6-DCPP)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CAS_25154-52-3 – Nonylphenol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CAS_25167-83-3 – Tetrachlorophenols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CAS_2599-11-3 – Hydroxysimazine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CAS_262-12-4 – Dibenzodioxin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CAS_26225-79-6 – Ethofumesate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CAS_26259-45-0 – Secbumeton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CAS_28159-98-0 – Cybutryne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CAS_29122-68-7 – Atenolol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CAS_294-62-2 – Cyclododecane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CAS_297-78-9 – Isobenzane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CAS_298-00-0 – Parathion-methyl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CAS_298-46-4 – Carbamazepin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CAS_30125-63-4 – Desethylterbuthylazine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CAS_3115-49-9 – Nonylphenoxyacetic acid (NPE1C)</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CAS_31218-83-4 – Propetamphos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CAS_314-40-9 – Bromacil</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CAS_31508-00-6 – 2,3’,4,4’,5-pentachlorobiphenyl (CB118)</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CAS_319-84-6 – Alpha-HCH</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CAS_319-85-7 – Beta-HCH</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CAS_319-86-8 – Delta-HCH</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CAS_32241-08-0 – Heptachloronaphthalene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CAS_32536-52-0 – Diphenyl ether/ octabromo deviate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5E1D38" w:rsidRDefault="00BF0382" w:rsidP="00BB474C">
            <w:pPr>
              <w:spacing w:after="0"/>
              <w:jc w:val="both"/>
              <w:rPr>
                <w:rFonts w:ascii="Calibri" w:hAnsi="Calibri" w:cs="Calibri"/>
                <w:color w:val="000000"/>
                <w:sz w:val="22"/>
                <w:szCs w:val="22"/>
                <w:lang w:val="fr-FR" w:eastAsia="en-GB"/>
              </w:rPr>
            </w:pPr>
            <w:r w:rsidRPr="005E1D38">
              <w:rPr>
                <w:rFonts w:ascii="Calibri" w:hAnsi="Calibri" w:cs="Calibri"/>
                <w:color w:val="000000"/>
                <w:sz w:val="22"/>
                <w:szCs w:val="22"/>
                <w:lang w:val="fr-FR" w:eastAsia="en-GB"/>
              </w:rPr>
              <w:t>CAS_32598-13-3 – 3,3’,4,4’-tetrachlorobiphenyl (CB77)</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CAS_32598-14-4 – 2,3,3’,4,4’-pentachlorobiphenyl (CB105)</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5E1D38" w:rsidRDefault="00BF0382" w:rsidP="00BB474C">
            <w:pPr>
              <w:spacing w:after="0"/>
              <w:jc w:val="both"/>
              <w:rPr>
                <w:rFonts w:ascii="Calibri" w:hAnsi="Calibri" w:cs="Calibri"/>
                <w:color w:val="000000"/>
                <w:sz w:val="22"/>
                <w:szCs w:val="22"/>
                <w:lang w:val="fr-FR" w:eastAsia="en-GB"/>
              </w:rPr>
            </w:pPr>
            <w:r w:rsidRPr="005E1D38">
              <w:rPr>
                <w:rFonts w:ascii="Calibri" w:hAnsi="Calibri" w:cs="Calibri"/>
                <w:color w:val="000000"/>
                <w:sz w:val="22"/>
                <w:szCs w:val="22"/>
                <w:lang w:val="fr-FR" w:eastAsia="en-GB"/>
              </w:rPr>
              <w:t>CAS_32774-16-6 – 3,3’,4,4’,5,5’-hexachlorobiphenyl (CB169)</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CAS_330-55-2 – Linuron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CAS_3307-39-9 – 2-(4-chlorophenoxy)propionic acid (4-CPP)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CAS_33213-65-9 – Beta-Endosulfan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CAS_333-41-5 – Diazinon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CAS_335-67-1 – PFOA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CAS_33693-04-8 – Terbumeton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CAS_3397-62-4 – Deisopropyldeethylatrazine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CAS_3424-82-6 – DDE, o,p'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CAS_34256-82-1 – Acetochlor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CAS_35065-27-1 – 2,2’,4,4’,5,5’-hexachlorobiphenyl (CB153)</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CAS_35065-28-2 – 2,2’,3,4,4’,5’-hexachlorobiphenyl (CB138)</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CAS_35065-29-3 – 2,2’,3,4,4’,5,5’-heptachlorobiphenyl (CB180)</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5E1D38" w:rsidRDefault="00BF0382" w:rsidP="00BB474C">
            <w:pPr>
              <w:spacing w:after="0"/>
              <w:jc w:val="both"/>
              <w:rPr>
                <w:rFonts w:ascii="Calibri" w:hAnsi="Calibri" w:cs="Calibri"/>
                <w:color w:val="000000"/>
                <w:sz w:val="22"/>
                <w:szCs w:val="22"/>
                <w:lang w:val="fr-FR" w:eastAsia="en-GB"/>
              </w:rPr>
            </w:pPr>
            <w:r w:rsidRPr="005E1D38">
              <w:rPr>
                <w:rFonts w:ascii="Calibri" w:hAnsi="Calibri" w:cs="Calibri"/>
                <w:color w:val="000000"/>
                <w:sz w:val="22"/>
                <w:szCs w:val="22"/>
                <w:lang w:val="fr-FR" w:eastAsia="en-GB"/>
              </w:rPr>
              <w:t>CAS_35065-30-6 – PCB170 (1,2,3,4-tetrachloro-5-(2,3,4-trichlorophenyl)benzene)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5E1D38" w:rsidRDefault="00BF0382" w:rsidP="00BB474C">
            <w:pPr>
              <w:spacing w:after="0"/>
              <w:jc w:val="both"/>
              <w:rPr>
                <w:rFonts w:ascii="Calibri" w:hAnsi="Calibri" w:cs="Calibri"/>
                <w:color w:val="000000"/>
                <w:sz w:val="22"/>
                <w:szCs w:val="22"/>
                <w:lang w:val="fr-FR" w:eastAsia="en-GB"/>
              </w:rPr>
            </w:pPr>
            <w:r w:rsidRPr="005E1D38">
              <w:rPr>
                <w:rFonts w:ascii="Calibri" w:hAnsi="Calibri" w:cs="Calibri"/>
                <w:color w:val="000000"/>
                <w:sz w:val="22"/>
                <w:szCs w:val="22"/>
                <w:lang w:val="fr-FR" w:eastAsia="en-GB"/>
              </w:rPr>
              <w:t>CAS_35693-99-3 – 2,2’,5,5’-tetrachlorobiphenyl (CB52)</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5E1D38" w:rsidRDefault="00BF0382" w:rsidP="00BB474C">
            <w:pPr>
              <w:spacing w:after="0"/>
              <w:jc w:val="both"/>
              <w:rPr>
                <w:rFonts w:ascii="Calibri" w:hAnsi="Calibri" w:cs="Calibri"/>
                <w:color w:val="000000"/>
                <w:sz w:val="22"/>
                <w:szCs w:val="22"/>
                <w:lang w:val="fr-FR" w:eastAsia="en-GB"/>
              </w:rPr>
            </w:pPr>
            <w:r w:rsidRPr="005E1D38">
              <w:rPr>
                <w:rFonts w:ascii="Calibri" w:hAnsi="Calibri" w:cs="Calibri"/>
                <w:color w:val="000000"/>
                <w:sz w:val="22"/>
                <w:szCs w:val="22"/>
                <w:lang w:val="fr-FR" w:eastAsia="en-GB"/>
              </w:rPr>
              <w:t>CAS_35694-08-7 – PCB194 (1,2,3,4-tetrachloro-5-(2,3,4,5-tetrachlorophenyl)benzene)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CAS_36065-30-2 – 2,4,6-tribromophenyl 2-methyl-2,3-dibromopropy ether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CAS_36355-01-8 – Hexabromobiphenyl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CAS_37350-58-6 – Metoprolol</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CAS_37680-73-2 – 2,2’,4,5,5’-pentachlorobiphenyl (CB101)</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5E1D38" w:rsidRDefault="00BF0382" w:rsidP="00BB474C">
            <w:pPr>
              <w:spacing w:after="0"/>
              <w:jc w:val="both"/>
              <w:rPr>
                <w:rFonts w:ascii="Calibri" w:hAnsi="Calibri" w:cs="Calibri"/>
                <w:color w:val="000000"/>
                <w:sz w:val="22"/>
                <w:szCs w:val="22"/>
                <w:lang w:val="fr-FR" w:eastAsia="en-GB"/>
              </w:rPr>
            </w:pPr>
            <w:r w:rsidRPr="005E1D38">
              <w:rPr>
                <w:rFonts w:ascii="Calibri" w:hAnsi="Calibri" w:cs="Calibri"/>
                <w:color w:val="000000"/>
                <w:sz w:val="22"/>
                <w:szCs w:val="22"/>
                <w:lang w:val="fr-FR" w:eastAsia="en-GB"/>
              </w:rPr>
              <w:t>CAS_38380-08-4 – 2,3,3’,4,4’,5-hexachlorobiphenyl (CB156)</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5E1D38" w:rsidRDefault="00BF0382" w:rsidP="00BB474C">
            <w:pPr>
              <w:spacing w:after="0"/>
              <w:jc w:val="both"/>
              <w:rPr>
                <w:rFonts w:ascii="Calibri" w:hAnsi="Calibri" w:cs="Calibri"/>
                <w:color w:val="000000"/>
                <w:sz w:val="22"/>
                <w:szCs w:val="22"/>
                <w:lang w:val="fr-FR" w:eastAsia="en-GB"/>
              </w:rPr>
            </w:pPr>
            <w:r w:rsidRPr="005E1D38">
              <w:rPr>
                <w:rFonts w:ascii="Calibri" w:hAnsi="Calibri" w:cs="Calibri"/>
                <w:color w:val="000000"/>
                <w:sz w:val="22"/>
                <w:szCs w:val="22"/>
                <w:lang w:val="fr-FR" w:eastAsia="en-GB"/>
              </w:rPr>
              <w:t>CAS_39635-31-9 – PCB189 (1,2,3,4-tetrachloro-5-(3,4,5-trichlorophenyl)benzene)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CAS_39765-80-5 – trans-Nonachlor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CAS_40487-42-1 – Pendimethalin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CAS_41318-75-6 – PBDE28</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CAS_41394-05-2 – Metamitron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CAS_41859-67-0 – Bezafibrate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CAS_4234-79-1 – Kelevan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CAS_42576-02-3 – Bifenox</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CAS_4636-83-3 – Morfamquat</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CAS_4901-51-3 – 2,3,4,5-tetrachlorophenol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CAS_4904-61-4 – 1,5,9-cyclododecatriene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CAS_50-00-0 – Formaldehyde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CAS_50-28-2 – 17beta-estradiol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CAS_50-30-6 – 2,6-dichlorobenzoic acid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CAS_50563-36-5 – Dimethachlor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CAS_51000-52-3 – Vinyl neodecanoate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CAS_512-04-9 – Diosgenin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CAS_51218-45-2 – Metolachlor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CAS_51235-04-2 – Hexazinone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CAS_52236-30-3 – Desamino-diketo-metribuzin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CAS_52315-07-8 – Cypermethrin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CAS_526-75-0 – 2,3-dimethyl-phenol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CAS_52645-53-1 – Permethrin-cis+trans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CAS_52663-72-6 – PCB167 (1,2,3-trichloro-5-(2,4,5-trichlorophenyl)benzene)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CAS_53-19-0 – DDD, o,p'</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pt-PT" w:eastAsia="en-GB"/>
              </w:rPr>
            </w:pPr>
            <w:r>
              <w:rPr>
                <w:rFonts w:ascii="Calibri" w:hAnsi="Calibri" w:cs="Calibri"/>
                <w:color w:val="000000"/>
                <w:sz w:val="22"/>
                <w:szCs w:val="22"/>
                <w:lang w:val="pt-PT" w:eastAsia="en-GB"/>
              </w:rPr>
              <w:t>CAS_53-70-3 – Dibenzo(a,h)anthracene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pt-PT" w:eastAsia="en-GB"/>
              </w:rPr>
            </w:pPr>
            <w:r>
              <w:rPr>
                <w:rFonts w:ascii="Calibri" w:hAnsi="Calibri" w:cs="Calibri"/>
                <w:color w:val="000000"/>
                <w:sz w:val="22"/>
                <w:szCs w:val="22"/>
                <w:lang w:val="pt-PT" w:eastAsia="en-GB"/>
              </w:rPr>
              <w:t>CAS_534-52-1 – Dinitro-o-cresol (DNOC)</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CAS_540-59-0 – 1,2-dichloroethene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CAS_541-73-1 – 1,3-dichlorobenzene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CAS_5436-43-1 – 2,2’,4,4’-tetrabromodiphenyl ether (BDE47)</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CAS_55512-33-9 – Pyridate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CAS_55525-54-7 – 3,3’-(ureylenedimethylene)bis(3,5,5’- trimethylcyclohexyl) diisocyanate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CAS_5598-13-0 – Chlorpyrifos-methyl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CAS_56-38-2 – Parathion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CAS_56-55-3 – Benzo[a]anthracene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CAS_563-58-6 – 1/1-dichloropropene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CAS_56507-37-0 – Diketo-metribuzin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CAS_57-12-5 – Cyanide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CAS_57-63-6 – 17alpha-ethinylestradiol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CAS_57-74-9 – Chlordane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CAS_57465-28-8 – 3,3’,4,4’,5-pentachlorobiphenyl (CB126)</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CAS_576-26-1 – 2,6-dimethyl-phenol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CAS_57837-19-1 – Metalaxyl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CAS_58-08-2 – Caffeine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CAS_58-89-9 – Gamma-HCH (Lindane)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CAS_58-90-2 – 2,3,4,6-tetrachlorophenol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CAS_59-50-7 – 3-methyl-4-chlorophenol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CAS_5915-41-3 – Terbuthylazine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CAS_594-20-7 – 2,2-dichloropropane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CAS_59473-04-0 – AOX</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CAS_60-00-4 – EDTA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CAS_60-51-5 – Dimethoate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CAS_60145-21-3 – PCB103</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CAS_60207-90-1 – Propiconazole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CAS_603-35-0 – Triphenyl phosphine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CAS_60328-60-9 – PBDE99</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CAS_60348-60-9 – 2,2’,4,4’,5-pentabromodiphenyl ether (BDE99)</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CAS_6108-10-7 – Epsilon-HCH</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CAS_6164-98-3 – Chlordimeform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CAS_6190-65-4 – Desethylatrazine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CAS_62-73-7 – Dichlorvos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CAS_630-20-6 – 1,1,1,2-tetrachloroethane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CAS_6339-19-1 – Chloridazon desphenyl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CAS_64743-03-9 – Phenols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CAS_64902-72-3 – Chlorsulfuron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CAS_65510-44-3 – PCB123 (1,2,3-trichloro-5-(2,4-dichlorophenyl)benzene)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CAS_66753-07-9 – Hydroxyterbuthylazine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CAS_67129-08-2 – Metazachlor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CAS_67564-91-4 – Fenpropimorph</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CAS_68631-49-2 – 2,2’,4,4’,5,5’-hexabromodiphenyl ether (BD(E)153)</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CAS_688-73-3 – Tributyltin compounds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CAS_69782-90-7 – 2,3,3’,4,4’,5’-hexachlorobiphenyl (CB157)</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CAS_7012-37-5 – 2,4,4’-trichlorobiphenyl (CB28)</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CAS_70124-77-5 – Flucythrinate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CAS_70362-41-3 – PCB106</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CAS_70362-50-4 – PCB81 (3,4,4',5-tetrachlorobiphenyl)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CAS_70630-17-0 – Metalaxyl-M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CAS_70776-03-3 – Naphthalene, chloro derivatives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CAS_7085-19-0 – Mecoprop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CAS_71-55-6 – 1,1,1-trichloroethane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CAS_72-43-5 – Methoxychlor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CAS_72-54-8 – DDD, p,p'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CAS_72-55-9 – DDE, p,p'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CAS_723-46-6 – Sulfamethoxazol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CAS_7286-69-3 – Sebuthylazine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CAS_7287-19-6 – Prometryn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CAS_732-26-3 – 2,4,6-tri-tert-butylphenol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CAS_738-70-5 – Trimethoprim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CAS_74-83-9 – Bromomethane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CAS_74-90-8 – Hydrogen cyanide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CAS_74-95-3 – Dibromomethane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CAS_74-97-5 – Bromochloromethane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CAS_74070-46-5 – Aclonifen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CAS_74223-64-6 – Metsulfuronmethyl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CAS_7429-90-5 – Aluminium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CAS_7439-89-6 – Iron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CAS_7439-93-2 – Lithium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CAS_7439-95-4 – Magnesium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CAS_7439-96-5 – Manganes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CAS_7439-98-7 – Molybdenum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CAS_7440-09-7 – Potassium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CAS_7440-22-4 – Silver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CAS_7440-23-5 – Sodium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CAS_7440-24-6 – Strontium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CAS_7440-28-0 – Thallium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CAS_7440-31-5 – Tin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CAS_7440-32-6 – Titanium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CAS_7440-33-7 – Tungsten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CAS_7440-36-0 – Antimony</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CAS_7440-38-2 – Arsenic</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CAS_7440-39-3 – Barium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CAS_7440-41-7 – Beryllium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CAS_7440-42-8 – Boron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CAS_7440-47-3 – Chromium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CAS_7440-48-4 – Cobalt</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CAS_7440-50-8 – Copper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CAS_7440-61-1 – Uranium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CAS_7440-62-2 – Vanadium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CAS_7440-66-6 – Zinc</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CAS_7440-70-2 – Calcium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CAS_74472-37-0 – PCB114 (2,3,4,4',5-pentachlorobiphenyl)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CAS_75-01-4 – Chloroethene (vinylchloride)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CAS_75-25-2 – Bromoform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CAS_75-27-4 – Bromodichlorometane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CAS_75-34-3 – 1,1-dichloroethane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CAS_75-35-4 – 1,1-dichloroethene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CAS_75-69-4 – Trichlorofluoromethane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CAS_75-71-8 – Dichlorodifluoromethane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CAS_75-99-0 – Dalapon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CAS_76-03-9 – Trichloroacetic acid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CAS_76-44-8 – Heptachlor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CAS_77-47-4 – Hexachlorocyclopentadiene (HCCP)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CAS_7782-41-4 – Fluorine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CAS_7782-49-2 – Selenium</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CAS_7783-06-4 – Hydrogen sulphide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CAS_78-87-5 – 1,2-dichloropropane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CAS_789-02-6 – DDT, o,p'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CAS_79-00-5 – 1,1,2-trichloroethane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CAS_79-34-5 – 1,1,2,2-tetrachloroethane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es-ES" w:eastAsia="en-GB"/>
              </w:rPr>
            </w:pPr>
            <w:r>
              <w:rPr>
                <w:rFonts w:ascii="Calibri" w:hAnsi="Calibri" w:cs="Calibri"/>
                <w:color w:val="000000"/>
                <w:sz w:val="22"/>
                <w:szCs w:val="22"/>
                <w:lang w:val="es-ES" w:eastAsia="en-GB"/>
              </w:rPr>
              <w:t>CAS_79-94-7 – Tetrabromobisphenol A (TBBP-A)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CAS_793-24-8 – 4-(dimethylbutylamino) diphenylamin (6PPD)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CAS_80-05-7 – Bisphenol 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CAS_8001-35-2 – Toxaphene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CAS_81-15-2 – Musk xylene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CAS_81103-11-9 – Clarithromycin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CAS_82-68-8 – Quintozene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CAS_83-32-9 – Acenaphthene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CAS_834-12-8 – Ametryn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CAS_83905-01-5 – Azitromycin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CAS_84-66-2 – Di-ethyl phthalate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it-IT" w:eastAsia="en-GB"/>
              </w:rPr>
            </w:pPr>
            <w:r>
              <w:rPr>
                <w:rFonts w:ascii="Calibri" w:hAnsi="Calibri" w:cs="Calibri"/>
                <w:color w:val="000000"/>
                <w:sz w:val="22"/>
                <w:szCs w:val="22"/>
                <w:lang w:val="it-IT" w:eastAsia="en-GB"/>
              </w:rPr>
              <w:t>CAS_84-69-5 – Di-iso-butyl phthalate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CAS_84-74-2 – Dibutylphthalate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CAS_84852-15-3 – 4-nonylphenol/ branched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CAS_85-01-8 – Phenanthrene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CAS_85-22-3 – Pentabromoethylbenzene</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CAS_85-68-7 – Butyl benzyl phthalate (BBP)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CAS_85540-50-1 – 6-chloro-2-dimethylphenol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CAS_86-73-7 – Fluorene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CAS_87-61-6 – 1,2,3-trichlorobenzene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CAS_87-65-0 – 2,6-dichlorophenol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CAS_88-06-2 – 2,4,6-trichlorophenol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CAS_88-85-7 – Dinoseb</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CAS_886-50-0 – Terbutryn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CAS_90-12-0 – 1-methylnaphthalene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CAS_9016-45-9 – Nonylphenol ethoxylate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CAS_91-57-6 – 2-methylnaphthalene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CAS_919-86-8 – Demeton-S-methyl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CAS_93-72-1 – Fenoprop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CAS_93-76-5 – 2,4,5-T</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CAS_94-74-6 – MCPA</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CAS_94-75-7 – 2,4-dichlorophenoxyacetic acid, 2-4 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CAS_94-81-5 – MCPB</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CAS_94-82-6 – 2,4-DB</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CAS_95-14-7 – Benzotriazol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CAS_95-47-6 – O-xylene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CAS_95-48-7 – 2-methyl-phenol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CAS_95-49-8 – 2-chlorotoluene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CAS_95-50-1 – 1,2-dichlorobenzene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CAS_95-63-6 – 1,2,4-trimethylbenzene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CAS_95-65-8 – 3,4-dimethyl-phenol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CAS_95-87-4 – 2,5-dimethylphenol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CAS_95-95-4 – 2,4,5-trichlorophenol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CAS_959-98-8 – Alpha-Endosulfan</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CAS_96-12-8 – 1,2-dibromo-3-chloropropane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CAS_96-18-4 – 1,2,3-trichloropropane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CAS_96-45-7 – Ethylenethiourea (ETU)</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CAS_98-06-6 – tert-butylbenzene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CAS_98-51-1 – 4-tert-butyltoluene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CAS_98-82-8 – Isopropylbenzene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CAS_99-87-6 – 4-isopropyltoluene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CAS_994-05-8 – TAME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EEA_00-00-0 – Other chemical parameter</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EEA_33-01-2 – Alkalised 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EEA_33-02-3 – Benzol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EEA_33-03-4 – Brominated diphenylethers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EEA_33-04-5 – Brominated flame retardants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EEA_33-05-6 – BTEX</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EEA_33-06-7 – Chlorinated 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EEA_33-07-8 – Chlorinated 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EEA_33-08-9 – Chromium 3+</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EEA_33-09-0 – Detergents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EEA_33-10-3 – Dichlorobenzene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EEA_33-11-4 – Dichlorophenol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EEA_33-12-5 – Dioxins and dioxin-like compounds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EEA_33-13-6 – DOX</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EEA_33-14-7 – Extractable organically bound chlorine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EEA_33-15-8 – Halogenated organic compounds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EEA_33-16-9 – Hexabromocyclododecanes (HBCDD)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EEA_33-17-0 – Hydrocarbons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eastAsia="en-GB"/>
              </w:rPr>
            </w:pPr>
            <w:r w:rsidRPr="008D6A99">
              <w:rPr>
                <w:rFonts w:ascii="Calibri" w:hAnsi="Calibri" w:cs="Calibri"/>
                <w:color w:val="000000"/>
                <w:sz w:val="22"/>
                <w:szCs w:val="22"/>
                <w:lang w:eastAsia="en-GB"/>
              </w:rPr>
              <w:t>EEA_33-18-1 – Meta xylene + para xylene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EEA_33-19-2 – Mono basic phenols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EEA_33-20-5 – Monochlorophenols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EEA_33-21-6 – Nitrobenzene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EEA_33-22-7 – Oil fractions (C10-40)</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EEA_33-23-8 – Petroleum hydrocarbons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EEA_33-24-9 – Petroleum products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EEA_33-25-0 – Polyaromatic hydrocarbons (PAH)</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EEA_33-26-1 – Polychlorinated dibenzodioxins (PCDD)</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EEA_33-27-2 – Radionuclides</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EEA_33-28-3 – Surfactants (anionic and nonionic)</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EEA_33-29-4 – Surfactants (anionic)</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EEA_33-30-7 – TCDD (dioxins and furans)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EEA_33-31-8 – Total chrysene + triphenylene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EEA_33-32-9 – Total DDD (TDE) (DDD, o,p' + DDD, p,p')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EEA_33-33-0 – Total DDE (DDE, o,p' and DDE, p,p')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EEA_33-35-2 – Total DDT + DDE + DDD (DDT, o,p' + DDT,p,p' + DDE, o,p' + DDE, p,p' + DDD, o,p' + DDD, p,p')</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EEA_33-36-3 – Total hydrocarbons</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EEA_33-37-4 – Total PAH excluding bicycl</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EEA_33-38-5 – Total PCBs (7 congeners: 28, 52, 101,118, 138, 153 and 180)</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EEA_33-39-6 – Total PCBs</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EEA_33-40-9 – Total PCDD + PCDF</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EEA_33-41-0 – Total tri-, tetra- and pentachlorophenol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EEA_33-42-1 – Total trichloroethylene + tetrachloroethylene</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EEA_33-43-2 – Total trihalomethanes</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EEA_33-44-3 – Total highly volatile halogenated hydrocarbons</w:t>
            </w:r>
          </w:p>
        </w:tc>
      </w:tr>
      <w:tr w:rsidR="00BF0382" w:rsidRPr="00D9555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2582C" w:rsidRDefault="00BF0382" w:rsidP="00BB474C">
            <w:pPr>
              <w:spacing w:after="0"/>
              <w:jc w:val="both"/>
              <w:rPr>
                <w:rFonts w:ascii="Calibri" w:hAnsi="Calibri" w:cs="Calibri"/>
                <w:color w:val="000000"/>
                <w:sz w:val="22"/>
                <w:szCs w:val="22"/>
                <w:lang w:val="en-GB" w:eastAsia="en-GB"/>
              </w:rPr>
            </w:pPr>
            <w:r w:rsidRPr="0082582C">
              <w:rPr>
                <w:rFonts w:ascii="Calibri" w:hAnsi="Calibri" w:cs="Calibri"/>
                <w:color w:val="000000"/>
                <w:sz w:val="22"/>
                <w:szCs w:val="22"/>
                <w:lang w:val="en-GB" w:eastAsia="en-GB"/>
              </w:rPr>
              <w:t>EEA_33-45-4 – Volatile halogenated hydrocarbons (VHH)</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EEA_33-46-5 – Volatile organic halogens (VOX)</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CAS_100-02-7 – Nitrophenol</w:t>
            </w:r>
          </w:p>
        </w:tc>
      </w:tr>
      <w:tr w:rsidR="00BF0382" w:rsidTr="00BB474C">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CAS_1002-53-5 – Dibutyltin</w:t>
            </w:r>
          </w:p>
        </w:tc>
      </w:tr>
    </w:tbl>
    <w:p w:rsidR="00BF0382" w:rsidRDefault="00BF0382" w:rsidP="00BF0382">
      <w:pPr>
        <w:jc w:val="both"/>
      </w:pPr>
    </w:p>
    <w:p w:rsidR="00BF0382" w:rsidRPr="008D6A99" w:rsidRDefault="00BF0382" w:rsidP="00BF0382">
      <w:pPr>
        <w:pageBreakBefore/>
        <w:jc w:val="both"/>
        <w:outlineLvl w:val="0"/>
        <w:rPr>
          <w:b/>
          <w:lang w:val="en-GB"/>
        </w:rPr>
      </w:pPr>
      <w:bookmarkStart w:id="986" w:name="_Toc432666132"/>
      <w:bookmarkStart w:id="987" w:name="_Toc437520328"/>
      <w:r w:rsidRPr="008D6A99">
        <w:rPr>
          <w:b/>
          <w:lang w:val="en-GB"/>
        </w:rPr>
        <w:t>Annex 8c:</w:t>
      </w:r>
      <w:r w:rsidRPr="008D6A99">
        <w:rPr>
          <w:b/>
          <w:lang w:val="en-GB"/>
        </w:rPr>
        <w:tab/>
        <w:t>List of additional pollutants and indicators of pollution</w:t>
      </w:r>
      <w:bookmarkEnd w:id="986"/>
      <w:bookmarkEnd w:id="987"/>
    </w:p>
    <w:p w:rsidR="00BF0382" w:rsidRPr="008D6A99" w:rsidRDefault="00BF0382" w:rsidP="00BF0382">
      <w:pPr>
        <w:jc w:val="both"/>
        <w:rPr>
          <w:lang w:val="en-GB"/>
        </w:rPr>
      </w:pPr>
      <w:r w:rsidRPr="008D6A99">
        <w:rPr>
          <w:lang w:val="en-GB"/>
        </w:rPr>
        <w:t>(AdditionalPollutant_Enum)</w:t>
      </w:r>
    </w:p>
    <w:p w:rsidR="00BF0382" w:rsidRPr="008D6A99" w:rsidRDefault="00BF0382" w:rsidP="00BF0382">
      <w:pPr>
        <w:jc w:val="both"/>
        <w:rPr>
          <w:lang w:val="en-GB"/>
        </w:rPr>
      </w:pPr>
      <w:r w:rsidRPr="008D6A99">
        <w:rPr>
          <w:lang w:val="en-GB"/>
        </w:rPr>
        <w:t>CAS Number (where relevant) or EEA (SoE) code and name provided</w:t>
      </w:r>
    </w:p>
    <w:tbl>
      <w:tblPr>
        <w:tblW w:w="0" w:type="auto"/>
        <w:tblInd w:w="113" w:type="dxa"/>
        <w:tblLook w:val="04A0" w:firstRow="1" w:lastRow="0" w:firstColumn="1" w:lastColumn="0" w:noHBand="0" w:noVBand="1"/>
      </w:tblPr>
      <w:tblGrid>
        <w:gridCol w:w="9740"/>
      </w:tblGrid>
      <w:tr w:rsidR="00BF0382" w:rsidRPr="00D95552" w:rsidTr="00BB474C">
        <w:trPr>
          <w:cantSplit/>
          <w:tblHeader/>
        </w:trPr>
        <w:tc>
          <w:tcPr>
            <w:tcW w:w="0" w:type="auto"/>
            <w:tcBorders>
              <w:top w:val="single" w:sz="4" w:space="0" w:color="auto"/>
              <w:left w:val="single" w:sz="4" w:space="0" w:color="auto"/>
              <w:bottom w:val="single" w:sz="4" w:space="0" w:color="auto"/>
              <w:right w:val="single" w:sz="4" w:space="0" w:color="auto"/>
            </w:tcBorders>
            <w:shd w:val="clear" w:color="000000" w:fill="E7E6E6"/>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Pollutant and indicator of pollution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CAS_14797-55-8 – Nitrate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CAS_16887-00-6 – Chloride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CAS_18785-72-3 – Sulphate</w:t>
            </w:r>
          </w:p>
        </w:tc>
      </w:tr>
      <w:tr w:rsidR="00BF0382" w:rsidRPr="00D9555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val="it-IT" w:eastAsia="en-GB"/>
              </w:rPr>
            </w:pPr>
            <w:r>
              <w:rPr>
                <w:rFonts w:ascii="Calibri" w:hAnsi="Calibri" w:cs="Calibri"/>
                <w:color w:val="000000"/>
                <w:sz w:val="22"/>
                <w:szCs w:val="22"/>
                <w:lang w:val="it-IT" w:eastAsia="en-GB"/>
              </w:rPr>
              <w:t>CAS_71-52-3 – Hydrogen carbonate (bicarbonate) HCO3</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CAS_7723-14-0 – Total phosphorus</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EEA_3121-01-5 – Water temperature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EEA_3132-01-2 – Dissolved oxygen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EEA_3133-01-5 – BOD5</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EEA_3133-02-6 – BOD7</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EEA_3133-03-7 – CODCr</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EEA_3133-04-8 – CODMn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EEA_3133-06-0 – Total organic carbon (TOC)</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EEA_3142-01-6 – Electrical conductivity</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EEA_3152-01-0 – pH</w:t>
            </w:r>
          </w:p>
        </w:tc>
      </w:tr>
      <w:tr w:rsidR="00BF0382" w:rsidRPr="00D9555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EEA_3153-01-3 – Acid capacity to pH 4.5</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EEA_31615-01-7 – Total nitrogen</w:t>
            </w:r>
          </w:p>
        </w:tc>
      </w:tr>
      <w:tr w:rsidR="00BF0382" w:rsidRPr="00D9555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EEA_34-01-5 – Pesticides (active substances in pesticides, including their relevant metabolites, degradation and reaction products) - Total</w:t>
            </w:r>
          </w:p>
        </w:tc>
      </w:tr>
    </w:tbl>
    <w:p w:rsidR="00BF0382" w:rsidRPr="008D6A99" w:rsidRDefault="00BF0382" w:rsidP="00BF0382">
      <w:pPr>
        <w:jc w:val="both"/>
        <w:rPr>
          <w:b/>
          <w:lang w:val="en-GB"/>
        </w:rPr>
      </w:pPr>
    </w:p>
    <w:p w:rsidR="00BF0382" w:rsidRPr="008D6A99" w:rsidRDefault="00BF0382" w:rsidP="00BF0382">
      <w:pPr>
        <w:pageBreakBefore/>
        <w:jc w:val="both"/>
        <w:outlineLvl w:val="0"/>
        <w:rPr>
          <w:b/>
          <w:lang w:val="en-GB"/>
        </w:rPr>
      </w:pPr>
      <w:bookmarkStart w:id="988" w:name="_Toc432666133"/>
      <w:bookmarkStart w:id="989" w:name="_Toc437520329"/>
      <w:r w:rsidRPr="008D6A99">
        <w:rPr>
          <w:b/>
          <w:lang w:val="en-GB"/>
        </w:rPr>
        <w:t>Annex 8d:</w:t>
      </w:r>
      <w:r w:rsidRPr="008D6A99">
        <w:rPr>
          <w:b/>
          <w:lang w:val="en-GB"/>
        </w:rPr>
        <w:tab/>
        <w:t>List of Priority Substances (PS_Enum)</w:t>
      </w:r>
      <w:bookmarkEnd w:id="988"/>
      <w:bookmarkEnd w:id="989"/>
    </w:p>
    <w:p w:rsidR="00BF0382" w:rsidRPr="008D6A99" w:rsidRDefault="00BF0382" w:rsidP="00BF0382">
      <w:pPr>
        <w:jc w:val="both"/>
        <w:rPr>
          <w:lang w:val="en-GB"/>
        </w:rPr>
      </w:pPr>
      <w:r w:rsidRPr="008D6A99">
        <w:rPr>
          <w:lang w:val="en-GB"/>
        </w:rPr>
        <w:t>CAS Number (where relevant) or EEA (SoE) code and name provided.</w:t>
      </w:r>
    </w:p>
    <w:tbl>
      <w:tblPr>
        <w:tblW w:w="0" w:type="auto"/>
        <w:tblInd w:w="113" w:type="dxa"/>
        <w:tblLook w:val="04A0" w:firstRow="1" w:lastRow="0" w:firstColumn="1" w:lastColumn="0" w:noHBand="0" w:noVBand="1"/>
      </w:tblPr>
      <w:tblGrid>
        <w:gridCol w:w="9740"/>
      </w:tblGrid>
      <w:tr w:rsidR="00BF0382" w:rsidTr="00BB474C">
        <w:trPr>
          <w:cantSplit/>
          <w:tblHeader/>
        </w:trPr>
        <w:tc>
          <w:tcPr>
            <w:tcW w:w="0" w:type="auto"/>
            <w:tcBorders>
              <w:top w:val="single" w:sz="4" w:space="0" w:color="auto"/>
              <w:left w:val="single" w:sz="4" w:space="0" w:color="auto"/>
              <w:bottom w:val="single" w:sz="4" w:space="0" w:color="auto"/>
              <w:right w:val="single" w:sz="4" w:space="0" w:color="auto"/>
            </w:tcBorders>
            <w:shd w:val="clear" w:color="000000" w:fill="E7E6E6"/>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Priority substance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CAS_104-40-5 – Nonylphenol</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CAS_107-06-2 – 1, 2-dichloroethane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CAS_115-29-7 – Endosulfan</w:t>
            </w:r>
          </w:p>
        </w:tc>
      </w:tr>
      <w:tr w:rsidR="00BF0382" w:rsidRPr="00D9555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Pr="00D95552" w:rsidRDefault="00BF0382" w:rsidP="00BB474C">
            <w:pPr>
              <w:spacing w:after="0"/>
              <w:jc w:val="both"/>
              <w:rPr>
                <w:rFonts w:ascii="Calibri" w:hAnsi="Calibri" w:cs="Calibri"/>
                <w:color w:val="000000"/>
                <w:sz w:val="22"/>
                <w:szCs w:val="22"/>
                <w:lang w:val="fr-FR" w:eastAsia="en-GB"/>
              </w:rPr>
            </w:pPr>
            <w:r w:rsidRPr="00D95552">
              <w:rPr>
                <w:rFonts w:ascii="Calibri" w:hAnsi="Calibri" w:cs="Calibri"/>
                <w:color w:val="000000"/>
                <w:sz w:val="22"/>
                <w:szCs w:val="22"/>
                <w:lang w:val="fr-FR" w:eastAsia="en-GB"/>
              </w:rPr>
              <w:t>CAS_117-81-7 – Di(2-ethylhexyl)phthalate (DEHP)</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CAS_118-74-1 – Hexachlorobenzene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CAS_120-12-7 – Anthracene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CAS_12002-48-1 – Trichlorobenzenes (all isomers)</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CAS_122-34-9 – Simazine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CAS_127-18-4 – Tetrachloroethylene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CAS_140-66-9 – Octylphenol</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CAS_1582-09-8 – Trifluralin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CAS_15972-60-8 – Alachlor</w:t>
            </w:r>
          </w:p>
        </w:tc>
      </w:tr>
      <w:tr w:rsidR="00BF0382" w:rsidRPr="00D9555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Pr="00D95552" w:rsidRDefault="00BF0382" w:rsidP="00BB474C">
            <w:pPr>
              <w:spacing w:after="0"/>
              <w:jc w:val="both"/>
              <w:rPr>
                <w:rFonts w:ascii="Calibri" w:hAnsi="Calibri" w:cs="Calibri"/>
                <w:color w:val="000000"/>
                <w:sz w:val="22"/>
                <w:szCs w:val="22"/>
                <w:lang w:val="pt-PT" w:eastAsia="en-GB"/>
              </w:rPr>
            </w:pPr>
            <w:r w:rsidRPr="00D95552">
              <w:rPr>
                <w:rFonts w:ascii="Calibri" w:hAnsi="Calibri" w:cs="Calibri"/>
                <w:color w:val="000000"/>
                <w:sz w:val="22"/>
                <w:szCs w:val="22"/>
                <w:lang w:val="pt-PT" w:eastAsia="en-GB"/>
              </w:rPr>
              <w:t>CAS_191-24-2 – Benzo(g, h, i)perylene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CAS_1912-24-9 – Atrazine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CAS_193-39-5 – Indeno(1, 2, 3-cd)pyrene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CAS_205-99-2 – Benzo(b)fluoranthene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CAS_206-44-0 – Fluoranthene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CAS_207-08-9 – Benzo(k)fluoranthene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CAS_2921-88-2 – Chlorpyrifos</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CAS_309-00-2 – Aldrin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CAS_32534-81-9 – Diphenyl ether, pentabromo derivative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CAS_330-54-1 – Diuron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CAS_34123-59-6 – Isoproturon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CAS_36643-28-4 – Tributyltin compounds</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CAS_465-73-6 – Isodrin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CAS_470-90-6 – Chlorfenvinphos</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CAS_50-29-3 – DDT, p, p'</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CAS_50-32-8 – Benzo(a)pyrene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CAS_56-23-5 – Carbon tetrachloride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CAS_60-57-1 – Dieldrin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CAS_608-73-1 – Hexachlorocyclohexane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CAS_608-93-5 – Pentachlorobenzene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CAS_67-66-3 – Trichloromethane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CAS_71-43-2 – Benzene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CAS_72-20-8 – Endrin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CAS_7439-92-1 – Lead</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CAS_7439-97-6 – Mercury</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CAS_7440-02-0 – Nickel</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CAS_7440-43-9 – Cadmium</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CAS_75-09-2 – Dichloromethane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CAS_79-01-6 – Trichloroethylene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CAS_85535-84-8 – Chloroalkanes C10-13</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CAS_87-68-3 – Hexachlorobutadiene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CAS_87-86-5 – Pentachlorophenol</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CAS_91-20-3 – Naphthalene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EEA_32-01-9 – Total PAHs (Benzo(a)pyrene, Fluoranthene, Benzo(b)fluoranthene, Benzo(k)fluoranthene, Benzo(ghi)perylene, Indeno(1, 2, 3cd)pyrene)</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EEA_32-02-0 – Total aldrin + dieldrin + endrin + isodrin</w:t>
            </w:r>
          </w:p>
        </w:tc>
      </w:tr>
      <w:tr w:rsidR="00BF0382" w:rsidTr="00BB474C">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EEA_32-03-1 – Total DDT</w:t>
            </w:r>
          </w:p>
        </w:tc>
      </w:tr>
    </w:tbl>
    <w:p w:rsidR="00BF0382" w:rsidRDefault="00BF0382" w:rsidP="00BF0382">
      <w:pPr>
        <w:jc w:val="both"/>
      </w:pPr>
    </w:p>
    <w:p w:rsidR="00BF0382" w:rsidRDefault="00BF0382" w:rsidP="00BF0382">
      <w:pPr>
        <w:jc w:val="both"/>
      </w:pPr>
    </w:p>
    <w:p w:rsidR="00BF0382" w:rsidRDefault="00BF0382" w:rsidP="00BF0382">
      <w:pPr>
        <w:jc w:val="both"/>
        <w:sectPr w:rsidR="00BF0382">
          <w:headerReference w:type="default" r:id="rId59"/>
          <w:type w:val="continuous"/>
          <w:pgSz w:w="11906" w:h="16838"/>
          <w:pgMar w:top="1021" w:right="851" w:bottom="1021" w:left="1418" w:header="601" w:footer="1077" w:gutter="0"/>
          <w:cols w:space="720"/>
          <w:docGrid w:linePitch="326"/>
        </w:sectPr>
      </w:pPr>
    </w:p>
    <w:p w:rsidR="00BF0382" w:rsidRDefault="00BF0382" w:rsidP="00BF0382">
      <w:pPr>
        <w:jc w:val="both"/>
        <w:rPr>
          <w:color w:val="000000"/>
          <w:sz w:val="20"/>
          <w:lang w:eastAsia="en-GB"/>
        </w:rPr>
      </w:pPr>
    </w:p>
    <w:p w:rsidR="00BF0382" w:rsidRPr="008D6A99" w:rsidRDefault="00BF0382" w:rsidP="00BF0382">
      <w:pPr>
        <w:jc w:val="both"/>
        <w:outlineLvl w:val="0"/>
        <w:rPr>
          <w:b/>
          <w:lang w:val="en-GB"/>
        </w:rPr>
      </w:pPr>
      <w:bookmarkStart w:id="990" w:name="_Toc432666134"/>
      <w:bookmarkStart w:id="991" w:name="_Toc437520330"/>
      <w:r w:rsidRPr="008D6A99">
        <w:rPr>
          <w:b/>
          <w:lang w:val="en-GB"/>
        </w:rPr>
        <w:t>Annex 8e:</w:t>
      </w:r>
      <w:r w:rsidRPr="008D6A99">
        <w:rPr>
          <w:b/>
          <w:lang w:val="en-GB"/>
        </w:rPr>
        <w:tab/>
        <w:t>List of chemical substances (ChemicalSubstances_Union_Enum)</w:t>
      </w:r>
      <w:bookmarkEnd w:id="990"/>
      <w:bookmarkEnd w:id="991"/>
    </w:p>
    <w:p w:rsidR="00BF0382" w:rsidRPr="008D6A99" w:rsidRDefault="00BF0382" w:rsidP="00BF0382">
      <w:pPr>
        <w:jc w:val="both"/>
        <w:rPr>
          <w:lang w:val="en-GB"/>
        </w:rPr>
      </w:pPr>
      <w:r w:rsidRPr="008D6A99">
        <w:rPr>
          <w:lang w:val="en-GB"/>
        </w:rPr>
        <w:t>Built merging List of pollutants and indicators of pollution in groundwater (AdditionalPollutant_Enum, Annex 8c), Priority Substances (PS_Enum, Annex 8d) and River Basin Specific Pollutants (RBSP_Enum: Annex 8b)</w:t>
      </w:r>
    </w:p>
    <w:p w:rsidR="00BF0382" w:rsidRPr="008D6A99" w:rsidRDefault="00BF0382" w:rsidP="00BF0382">
      <w:pPr>
        <w:jc w:val="both"/>
        <w:rPr>
          <w:b/>
          <w:lang w:val="en-GB"/>
        </w:rPr>
      </w:pPr>
    </w:p>
    <w:p w:rsidR="00BF0382" w:rsidRPr="008D6A99" w:rsidRDefault="00BF0382" w:rsidP="00BF0382">
      <w:pPr>
        <w:jc w:val="both"/>
        <w:outlineLvl w:val="0"/>
        <w:rPr>
          <w:b/>
          <w:lang w:val="en-GB"/>
        </w:rPr>
      </w:pPr>
      <w:bookmarkStart w:id="992" w:name="_Toc432666135"/>
      <w:bookmarkStart w:id="993" w:name="_Toc437520331"/>
      <w:r w:rsidRPr="008D6A99">
        <w:rPr>
          <w:b/>
          <w:lang w:val="en-GB"/>
        </w:rPr>
        <w:t>Annex 8f: List of units of measurement (UnitOfMeasure_Enum)</w:t>
      </w:r>
      <w:bookmarkEnd w:id="992"/>
      <w:bookmarkEnd w:id="993"/>
    </w:p>
    <w:tbl>
      <w:tblPr>
        <w:tblW w:w="6374" w:type="dxa"/>
        <w:tblInd w:w="113" w:type="dxa"/>
        <w:tblLook w:val="04A0" w:firstRow="1" w:lastRow="0" w:firstColumn="1" w:lastColumn="0" w:noHBand="0" w:noVBand="1"/>
      </w:tblPr>
      <w:tblGrid>
        <w:gridCol w:w="1600"/>
        <w:gridCol w:w="4774"/>
      </w:tblGrid>
      <w:tr w:rsidR="00BF0382" w:rsidTr="00BB474C">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Unit of measure</w:t>
            </w:r>
          </w:p>
        </w:tc>
        <w:tc>
          <w:tcPr>
            <w:tcW w:w="4774" w:type="dxa"/>
            <w:tcBorders>
              <w:top w:val="single" w:sz="4" w:space="0" w:color="auto"/>
              <w:left w:val="single" w:sz="4" w:space="0" w:color="auto"/>
              <w:bottom w:val="single" w:sz="4" w:space="0" w:color="auto"/>
              <w:right w:val="single" w:sz="4" w:space="0" w:color="auto"/>
            </w:tcBorders>
            <w:shd w:val="clear" w:color="000000" w:fill="E7E6E6"/>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Description</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ug/L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Micrograms per litre</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per litre</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nitrogen per litre</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mg{NO2}/L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nitrite per litre</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mg{NO3}/L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nitrate per litre</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mg{NH3}/L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NH3 per litre</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mg{NH4}/L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NH4 per litre</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mg{P}/L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phosphorus per litre</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mg{PO4}/L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phosphate per litre</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%{saturation}</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Percentage saturation (dissolved oxygen)</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Meter</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Cel</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Degrees Celsius</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{psu}</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Practical salinity unit</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{other}</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uS/cm</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Microsiemens per centimeter (conductivity)</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t/a</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Tonnes per year</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kg/a</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Kilogrammes per year</w:t>
            </w:r>
          </w:p>
        </w:tc>
      </w:tr>
      <w:tr w:rsidR="00BF0382" w:rsidTr="00BB474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mg/kg</w:t>
            </w:r>
          </w:p>
        </w:tc>
        <w:tc>
          <w:tcPr>
            <w:tcW w:w="4774"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per kilogram</w:t>
            </w:r>
          </w:p>
        </w:tc>
      </w:tr>
    </w:tbl>
    <w:p w:rsidR="00BF0382" w:rsidRDefault="00BF0382" w:rsidP="00BF0382">
      <w:pPr>
        <w:jc w:val="both"/>
        <w:rPr>
          <w:b/>
        </w:rPr>
      </w:pPr>
    </w:p>
    <w:p w:rsidR="00BF0382" w:rsidRDefault="00BF0382" w:rsidP="00BF0382">
      <w:pPr>
        <w:jc w:val="both"/>
        <w:rPr>
          <w:b/>
        </w:rPr>
      </w:pPr>
    </w:p>
    <w:p w:rsidR="00BF0382" w:rsidRPr="008D6A99" w:rsidRDefault="00BF0382" w:rsidP="00BF0382">
      <w:pPr>
        <w:pageBreakBefore/>
        <w:jc w:val="both"/>
        <w:outlineLvl w:val="0"/>
        <w:rPr>
          <w:b/>
          <w:lang w:val="en-GB"/>
        </w:rPr>
      </w:pPr>
      <w:bookmarkStart w:id="994" w:name="_Toc432666136"/>
      <w:bookmarkStart w:id="995" w:name="_Toc437520332"/>
      <w:r w:rsidRPr="008D6A99">
        <w:rPr>
          <w:b/>
          <w:lang w:val="en-GB"/>
        </w:rPr>
        <w:t>Annex 8g:</w:t>
      </w:r>
      <w:r w:rsidRPr="008D6A99">
        <w:rPr>
          <w:b/>
          <w:lang w:val="en-GB"/>
        </w:rPr>
        <w:tab/>
        <w:t>List of exemption types for surface water, groundwater quantitative status and protected areas (ExemptionType_Enum)</w:t>
      </w:r>
      <w:bookmarkEnd w:id="994"/>
      <w:bookmarkEnd w:id="995"/>
    </w:p>
    <w:tbl>
      <w:tblPr>
        <w:tblW w:w="4440" w:type="dxa"/>
        <w:tblInd w:w="113" w:type="dxa"/>
        <w:tblLook w:val="04A0" w:firstRow="1" w:lastRow="0" w:firstColumn="1" w:lastColumn="0" w:noHBand="0" w:noVBand="1"/>
      </w:tblPr>
      <w:tblGrid>
        <w:gridCol w:w="4440"/>
      </w:tblGrid>
      <w:tr w:rsidR="00BF0382" w:rsidTr="00BB474C">
        <w:trPr>
          <w:trHeight w:val="300"/>
        </w:trPr>
        <w:tc>
          <w:tcPr>
            <w:tcW w:w="44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Exemption type</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Article4(4) - Technical feasibility</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Article4(4) - Disproportionate cost</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Article4(4) - Natural conditions</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Article4(5) - Technical feasibility</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Article4(5) - Disproportionate cost</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Article4(6) - Natural causes</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Article4(6) - Force Majeure</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Article4(6) - Accidents</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Article4(7) - New modification</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Article4(7) - Sustainable human development</w:t>
            </w:r>
          </w:p>
        </w:tc>
      </w:tr>
      <w:tr w:rsidR="00BF0382" w:rsidTr="00BB474C">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 exemption</w:t>
            </w:r>
          </w:p>
        </w:tc>
      </w:tr>
    </w:tbl>
    <w:p w:rsidR="00BF0382" w:rsidRDefault="00BF0382" w:rsidP="00BF0382">
      <w:pPr>
        <w:jc w:val="both"/>
      </w:pPr>
    </w:p>
    <w:p w:rsidR="00BF0382" w:rsidRPr="008D6A99" w:rsidRDefault="00BF0382" w:rsidP="00BF0382">
      <w:pPr>
        <w:jc w:val="both"/>
        <w:rPr>
          <w:b/>
          <w:lang w:val="en-GB"/>
        </w:rPr>
      </w:pPr>
      <w:r w:rsidRPr="008D6A99">
        <w:rPr>
          <w:b/>
          <w:lang w:val="en-GB"/>
        </w:rPr>
        <w:t>List of exemption types for groundwater chemical status (GWChemicalExemptionType_Union_Enum)</w:t>
      </w:r>
    </w:p>
    <w:p w:rsidR="00BF0382" w:rsidRPr="008D6A99" w:rsidRDefault="00BF0382" w:rsidP="00BF0382">
      <w:pPr>
        <w:jc w:val="both"/>
        <w:rPr>
          <w:lang w:val="en-GB"/>
        </w:rPr>
      </w:pPr>
      <w:r w:rsidRPr="008D6A99">
        <w:rPr>
          <w:lang w:val="en-GB"/>
        </w:rPr>
        <w:t>Categories in ExemptionType_Enum above plus:</w:t>
      </w:r>
    </w:p>
    <w:tbl>
      <w:tblPr>
        <w:tblW w:w="5480" w:type="dxa"/>
        <w:tblInd w:w="113" w:type="dxa"/>
        <w:tblLook w:val="04A0" w:firstRow="1" w:lastRow="0" w:firstColumn="1" w:lastColumn="0" w:noHBand="0" w:noVBand="1"/>
      </w:tblPr>
      <w:tblGrid>
        <w:gridCol w:w="5480"/>
      </w:tblGrid>
      <w:tr w:rsidR="00BF0382" w:rsidTr="00BB474C">
        <w:trPr>
          <w:trHeight w:val="300"/>
        </w:trPr>
        <w:tc>
          <w:tcPr>
            <w:tcW w:w="54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Groundwater chemical exemption type</w:t>
            </w:r>
          </w:p>
        </w:tc>
      </w:tr>
      <w:tr w:rsidR="00BF0382" w:rsidTr="00BB474C">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Accidents / exceptional circumstances</w:t>
            </w:r>
          </w:p>
        </w:tc>
      </w:tr>
      <w:tr w:rsidR="00BF0382" w:rsidRPr="00D95552" w:rsidTr="00BB474C">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GWD Article 6(3) - Artificial recharge / augmentation</w:t>
            </w:r>
          </w:p>
        </w:tc>
      </w:tr>
      <w:tr w:rsidR="00BF0382" w:rsidTr="00BB474C">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Direct discharges</w:t>
            </w:r>
          </w:p>
        </w:tc>
      </w:tr>
      <w:tr w:rsidR="00BF0382" w:rsidTr="00BB474C">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Interventions in surface waters</w:t>
            </w:r>
          </w:p>
        </w:tc>
      </w:tr>
      <w:tr w:rsidR="00BF0382" w:rsidRPr="00D95552" w:rsidTr="00BB474C">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GWD Article 6(3) - Measures: disproportionate cost</w:t>
            </w:r>
          </w:p>
        </w:tc>
      </w:tr>
      <w:tr w:rsidR="00BF0382" w:rsidRPr="00D95552" w:rsidTr="00BB474C">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GWD Article 6(3) - Measures: increased risk</w:t>
            </w:r>
          </w:p>
        </w:tc>
      </w:tr>
      <w:tr w:rsidR="00BF0382" w:rsidTr="00BB474C">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Small discharges</w:t>
            </w:r>
          </w:p>
        </w:tc>
      </w:tr>
    </w:tbl>
    <w:p w:rsidR="00BF0382" w:rsidRDefault="00BF0382" w:rsidP="00BF0382">
      <w:pPr>
        <w:jc w:val="both"/>
      </w:pPr>
    </w:p>
    <w:p w:rsidR="00BF0382" w:rsidRDefault="00BF0382" w:rsidP="00BF0382">
      <w:pPr>
        <w:jc w:val="both"/>
      </w:pPr>
    </w:p>
    <w:p w:rsidR="00BF0382" w:rsidRDefault="00BF0382" w:rsidP="00BF0382">
      <w:pPr>
        <w:pageBreakBefore/>
        <w:jc w:val="both"/>
        <w:outlineLvl w:val="0"/>
        <w:rPr>
          <w:b/>
        </w:rPr>
      </w:pPr>
      <w:bookmarkStart w:id="996" w:name="_Toc432666137"/>
      <w:bookmarkStart w:id="997" w:name="_Toc437520333"/>
      <w:r>
        <w:rPr>
          <w:b/>
        </w:rPr>
        <w:t>Annex 8h:</w:t>
      </w:r>
      <w:r>
        <w:rPr>
          <w:b/>
        </w:rPr>
        <w:tab/>
        <w:t>Quality elements</w:t>
      </w:r>
      <w:bookmarkEnd w:id="996"/>
      <w:bookmarkEnd w:id="997"/>
    </w:p>
    <w:p w:rsidR="00BF0382" w:rsidRDefault="00BF0382" w:rsidP="00BF0382">
      <w:pPr>
        <w:jc w:val="both"/>
      </w:pPr>
      <w:r>
        <w:t>StatusQE_Enum</w:t>
      </w:r>
    </w:p>
    <w:tbl>
      <w:tblPr>
        <w:tblW w:w="3700" w:type="dxa"/>
        <w:tblInd w:w="113" w:type="dxa"/>
        <w:tblLook w:val="04A0" w:firstRow="1" w:lastRow="0" w:firstColumn="1" w:lastColumn="0" w:noHBand="0" w:noVBand="1"/>
      </w:tblPr>
      <w:tblGrid>
        <w:gridCol w:w="3700"/>
      </w:tblGrid>
      <w:tr w:rsidR="00BF0382" w:rsidTr="00BB474C">
        <w:trPr>
          <w:trHeight w:val="300"/>
        </w:trPr>
        <w:tc>
          <w:tcPr>
            <w:tcW w:w="37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StatusQE element</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QE1-1 – Phytoplankton</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 – Other aquatic flora</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QE1-2-1 – Macroalgae</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QE1-2-2 – Angiosperms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QE1-2-3 – Macrophytes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QE1-2-4 – Phytobenthos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QE1-3 – Benthic invertebrates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QE1-4 – Fish</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QE2-1 – Hydrological or tidal regime</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QE2-2 – River continuity conditions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QE2-3 – Morphological conditions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QE3-1-1 – Transparency conditions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QE3-1-2 – Thermal conditions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QE3-1-3 – Oxygenation conditions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QE3-1-4 – Salinity conditions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QE3-1-5 – Acidification status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 – Nitrogen conditions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QE3-1-6-2 – Phosphorus Conditions</w:t>
            </w:r>
          </w:p>
        </w:tc>
      </w:tr>
      <w:tr w:rsidR="00BF0382" w:rsidTr="00BB474C">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QE3-3 – River Basin Specific Pollutants</w:t>
            </w:r>
          </w:p>
        </w:tc>
      </w:tr>
    </w:tbl>
    <w:p w:rsidR="00BF0382" w:rsidRDefault="00BF0382" w:rsidP="00BF0382">
      <w:pPr>
        <w:jc w:val="both"/>
      </w:pPr>
    </w:p>
    <w:p w:rsidR="00BF0382" w:rsidRDefault="00BF0382" w:rsidP="00BF0382">
      <w:pPr>
        <w:jc w:val="both"/>
      </w:pPr>
      <w:r>
        <w:t>BQE_Enum</w:t>
      </w:r>
    </w:p>
    <w:tbl>
      <w:tblPr>
        <w:tblW w:w="2920" w:type="dxa"/>
        <w:tblInd w:w="113" w:type="dxa"/>
        <w:tblLook w:val="04A0" w:firstRow="1" w:lastRow="0" w:firstColumn="1" w:lastColumn="0" w:noHBand="0" w:noVBand="1"/>
      </w:tblPr>
      <w:tblGrid>
        <w:gridCol w:w="2920"/>
      </w:tblGrid>
      <w:tr w:rsidR="00BF0382" w:rsidTr="00BB474C">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BQE element</w:t>
            </w:r>
          </w:p>
        </w:tc>
      </w:tr>
      <w:tr w:rsidR="00BF0382" w:rsidTr="00BB474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QE1-1 – Phytoplankton</w:t>
            </w:r>
          </w:p>
        </w:tc>
      </w:tr>
      <w:tr w:rsidR="00BF0382" w:rsidTr="00BB474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 – Other aquatic flora</w:t>
            </w:r>
          </w:p>
        </w:tc>
      </w:tr>
      <w:tr w:rsidR="00BF0382" w:rsidTr="00BB474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QE1-2-1 – Macroalgae</w:t>
            </w:r>
          </w:p>
        </w:tc>
      </w:tr>
      <w:tr w:rsidR="00BF0382" w:rsidTr="00BB474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QE1-2-2 – Angiosperms</w:t>
            </w:r>
          </w:p>
        </w:tc>
      </w:tr>
      <w:tr w:rsidR="00BF0382" w:rsidTr="00BB474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QE1-2-3 – Macrophytes</w:t>
            </w:r>
          </w:p>
        </w:tc>
      </w:tr>
      <w:tr w:rsidR="00BF0382" w:rsidTr="00BB474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QE1-2-4 – Phytobenthos</w:t>
            </w:r>
          </w:p>
        </w:tc>
      </w:tr>
      <w:tr w:rsidR="00BF0382" w:rsidTr="00BB474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QE1-3 – Benthic invertebrates</w:t>
            </w:r>
          </w:p>
        </w:tc>
      </w:tr>
      <w:tr w:rsidR="00BF0382" w:rsidTr="00BB474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QE1-4 – Fish</w:t>
            </w:r>
          </w:p>
        </w:tc>
      </w:tr>
      <w:tr w:rsidR="00BF0382" w:rsidTr="00BB474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QE1-5 – Other species</w:t>
            </w:r>
          </w:p>
        </w:tc>
      </w:tr>
    </w:tbl>
    <w:p w:rsidR="00BF0382" w:rsidRDefault="00BF0382" w:rsidP="00BF0382">
      <w:pPr>
        <w:jc w:val="both"/>
      </w:pPr>
    </w:p>
    <w:p w:rsidR="00BF0382" w:rsidRDefault="00BF0382" w:rsidP="00BF0382">
      <w:pPr>
        <w:pageBreakBefore/>
        <w:jc w:val="both"/>
        <w:rPr>
          <w:szCs w:val="24"/>
        </w:rPr>
      </w:pPr>
      <w:r>
        <w:rPr>
          <w:szCs w:val="24"/>
        </w:rPr>
        <w:t>SupportingQE_Enum</w:t>
      </w:r>
    </w:p>
    <w:tbl>
      <w:tblPr>
        <w:tblW w:w="3480" w:type="dxa"/>
        <w:tblInd w:w="108" w:type="dxa"/>
        <w:tblLook w:val="04A0" w:firstRow="1" w:lastRow="0" w:firstColumn="1" w:lastColumn="0" w:noHBand="0" w:noVBand="1"/>
      </w:tblPr>
      <w:tblGrid>
        <w:gridCol w:w="3480"/>
      </w:tblGrid>
      <w:tr w:rsidR="00BF0382" w:rsidTr="00BB474C">
        <w:trPr>
          <w:trHeight w:val="315"/>
        </w:trPr>
        <w:tc>
          <w:tcPr>
            <w:tcW w:w="34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BF0382" w:rsidRDefault="00BF0382" w:rsidP="00BB474C">
            <w:pPr>
              <w:spacing w:after="0"/>
              <w:jc w:val="both"/>
              <w:rPr>
                <w:rFonts w:cs="Calibri"/>
                <w:color w:val="000000"/>
                <w:szCs w:val="24"/>
                <w:lang w:eastAsia="en-GB"/>
              </w:rPr>
            </w:pPr>
            <w:r>
              <w:rPr>
                <w:rFonts w:cs="Calibri"/>
                <w:color w:val="000000"/>
                <w:szCs w:val="24"/>
                <w:lang w:eastAsia="en-GB"/>
              </w:rPr>
              <w:t>Supporting QE element</w:t>
            </w:r>
          </w:p>
        </w:tc>
      </w:tr>
      <w:tr w:rsidR="00BF0382" w:rsidTr="00BB474C">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QE2-1 – Hydrological or tidal regime</w:t>
            </w:r>
          </w:p>
        </w:tc>
      </w:tr>
      <w:tr w:rsidR="00BF0382" w:rsidTr="00BB474C">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QE2-2 – River continuity conditions</w:t>
            </w:r>
          </w:p>
        </w:tc>
      </w:tr>
      <w:tr w:rsidR="00BF0382" w:rsidTr="00BB474C">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QE2-3 – Morphological conditions</w:t>
            </w:r>
          </w:p>
        </w:tc>
      </w:tr>
      <w:tr w:rsidR="00BF0382" w:rsidTr="00BB474C">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QE3-1-1 – Transparency conditions</w:t>
            </w:r>
          </w:p>
        </w:tc>
      </w:tr>
      <w:tr w:rsidR="00BF0382" w:rsidTr="00BB474C">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rsidR="00BF0382" w:rsidRDefault="00BF0382" w:rsidP="00BB474C">
            <w:pPr>
              <w:spacing w:after="0"/>
              <w:jc w:val="both"/>
              <w:rPr>
                <w:rFonts w:ascii="Calibri" w:hAnsi="Calibri" w:cs="Calibri"/>
                <w:color w:val="000000"/>
                <w:sz w:val="22"/>
                <w:szCs w:val="22"/>
                <w:lang w:eastAsia="en-GB"/>
              </w:rPr>
            </w:pPr>
            <w:r>
              <w:rPr>
                <w:color w:val="000000"/>
                <w:sz w:val="22"/>
                <w:szCs w:val="22"/>
                <w:lang w:val="es-ES" w:eastAsia="es-ES"/>
              </w:rPr>
              <w:t>QE3-1-2 – Thermal conditions</w:t>
            </w:r>
          </w:p>
        </w:tc>
      </w:tr>
      <w:tr w:rsidR="00BF0382" w:rsidTr="00BB474C">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QE3-1-3 – Oxygenation conditions</w:t>
            </w:r>
          </w:p>
        </w:tc>
      </w:tr>
      <w:tr w:rsidR="00BF0382" w:rsidTr="00BB474C">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QE3-1-4 – Salinity conditions</w:t>
            </w:r>
          </w:p>
        </w:tc>
      </w:tr>
      <w:tr w:rsidR="00BF0382" w:rsidTr="00BB474C">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QE3-1-5 – Acidification status</w:t>
            </w:r>
          </w:p>
        </w:tc>
      </w:tr>
      <w:tr w:rsidR="00BF0382" w:rsidTr="00BB474C">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 – Nutrient conditions</w:t>
            </w:r>
          </w:p>
        </w:tc>
      </w:tr>
    </w:tbl>
    <w:p w:rsidR="00BF0382" w:rsidRDefault="00BF0382" w:rsidP="00BF0382">
      <w:pPr>
        <w:jc w:val="both"/>
      </w:pPr>
    </w:p>
    <w:p w:rsidR="00BF0382" w:rsidRDefault="00BF0382" w:rsidP="00BF0382">
      <w:pPr>
        <w:jc w:val="both"/>
      </w:pPr>
      <w:r>
        <w:rPr>
          <w:szCs w:val="24"/>
        </w:rPr>
        <w:t>PhysChemQE_Enum</w:t>
      </w:r>
    </w:p>
    <w:tbl>
      <w:tblPr>
        <w:tblW w:w="5680" w:type="dxa"/>
        <w:tblInd w:w="108" w:type="dxa"/>
        <w:tblLook w:val="04A0" w:firstRow="1" w:lastRow="0" w:firstColumn="1" w:lastColumn="0" w:noHBand="0" w:noVBand="1"/>
      </w:tblPr>
      <w:tblGrid>
        <w:gridCol w:w="5680"/>
      </w:tblGrid>
      <w:tr w:rsidR="00BF0382" w:rsidTr="00BB474C">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PhysChem QE element</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QE3-1-1-1 – Secchi disk depth</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QE3-1-1-2 – Other determinand for transparency</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QE3-1-2-1 – Water temperature (Celsius)</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QE3-1-2-2 – Other determinand for thermal conditions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QE3-1-3-1 – Oxygen saturation (%)</w:t>
            </w:r>
          </w:p>
        </w:tc>
      </w:tr>
      <w:tr w:rsidR="00BF0382" w:rsidRPr="00764B64"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764B64" w:rsidRDefault="00BF0382" w:rsidP="00BB474C">
            <w:pPr>
              <w:spacing w:after="0"/>
              <w:jc w:val="both"/>
              <w:rPr>
                <w:rFonts w:ascii="Calibri" w:hAnsi="Calibri" w:cs="Calibri"/>
                <w:color w:val="000000"/>
                <w:sz w:val="22"/>
                <w:szCs w:val="22"/>
                <w:lang w:val="da-DK" w:eastAsia="en-GB"/>
              </w:rPr>
            </w:pPr>
            <w:r w:rsidRPr="00764B64">
              <w:rPr>
                <w:rFonts w:ascii="Calibri" w:hAnsi="Calibri" w:cs="Calibri"/>
                <w:color w:val="000000"/>
                <w:sz w:val="22"/>
                <w:szCs w:val="22"/>
                <w:lang w:val="da-DK" w:eastAsia="en-GB"/>
              </w:rPr>
              <w:t>QE3-1-3-2 – Dissolved oxygen (mg/l)</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QE3-1-3-3 – Other determinand for oxygenation conditions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QE3-1-4-1 – Practical salinity units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QE3-1-4-2 – Other determinand for salinity</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QE3-1-5-1 – Acid neutralising capacity</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QE3-1-5-2 – pH</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QE3-1-5-3 – Other determinand for acidification status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QE3-1-6-1-1 – Nitrate</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QE3-1-6-1-2 – Nitrite</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QE3-1-6-1-3 – Non-ionised Ammonia</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QE3-1-6-1-4 – Ammonium</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QE3-1-6-1-5 – Total Nitrogen</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QE3-1-6-2-1 – Orthophosphate</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QE3-1-6-2-2 – Total Phosphorous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QE3-1-6-3 – Silicate</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QE3-1-6-4 – Other determinand for nutrient conditions</w:t>
            </w:r>
          </w:p>
        </w:tc>
      </w:tr>
    </w:tbl>
    <w:p w:rsidR="00BF0382" w:rsidRPr="008D6A99" w:rsidRDefault="00BF0382" w:rsidP="00BF0382">
      <w:pPr>
        <w:jc w:val="both"/>
        <w:rPr>
          <w:lang w:val="en-GB"/>
        </w:rPr>
      </w:pPr>
    </w:p>
    <w:p w:rsidR="00BF0382" w:rsidRPr="008D6A99" w:rsidRDefault="00BF0382" w:rsidP="00BF0382">
      <w:pPr>
        <w:jc w:val="both"/>
        <w:rPr>
          <w:lang w:val="en-GB"/>
        </w:rPr>
      </w:pPr>
    </w:p>
    <w:p w:rsidR="00BF0382" w:rsidRPr="008D6A99" w:rsidRDefault="00BF0382" w:rsidP="00BF0382">
      <w:pPr>
        <w:pageBreakBefore/>
        <w:jc w:val="both"/>
        <w:outlineLvl w:val="0"/>
        <w:rPr>
          <w:b/>
          <w:lang w:val="en-GB"/>
        </w:rPr>
      </w:pPr>
      <w:bookmarkStart w:id="998" w:name="_Toc432666138"/>
      <w:bookmarkStart w:id="999" w:name="_Toc437520334"/>
      <w:r w:rsidRPr="008D6A99">
        <w:rPr>
          <w:b/>
          <w:lang w:val="en-GB"/>
        </w:rPr>
        <w:t>Annex 8i:</w:t>
      </w:r>
      <w:r w:rsidRPr="008D6A99">
        <w:rPr>
          <w:b/>
          <w:lang w:val="en-GB"/>
        </w:rPr>
        <w:tab/>
        <w:t>List of monitoring purposes (MonitoringPurpose_Enum)</w:t>
      </w:r>
      <w:bookmarkEnd w:id="998"/>
      <w:bookmarkEnd w:id="999"/>
    </w:p>
    <w:tbl>
      <w:tblPr>
        <w:tblW w:w="9840" w:type="dxa"/>
        <w:tblInd w:w="108" w:type="dxa"/>
        <w:tblLook w:val="04A0" w:firstRow="1" w:lastRow="0" w:firstColumn="1" w:lastColumn="0" w:noHBand="0" w:noVBand="1"/>
      </w:tblPr>
      <w:tblGrid>
        <w:gridCol w:w="9840"/>
      </w:tblGrid>
      <w:tr w:rsidR="00BF0382" w:rsidTr="00BB474C">
        <w:trPr>
          <w:trHeight w:val="300"/>
        </w:trPr>
        <w:tc>
          <w:tcPr>
            <w:tcW w:w="98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Monitoring purpose</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AGR – Groundwater abstraction site for irrigation</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BWD – Recreational or bathing water - WFD Annex IV.1.iii</w:t>
            </w:r>
          </w:p>
        </w:tc>
      </w:tr>
      <w:tr w:rsidR="00BF038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CHE – Chemical status</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DRI – Groundwater abstraction site for human consumption</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DWD – Drinking water - WFD Annex IV.1.i</w:t>
            </w:r>
          </w:p>
        </w:tc>
      </w:tr>
      <w:tr w:rsidR="00BF038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ECO – Ecological status</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HAB – Protection of habitats or species depending on water - WFD Annex IV.1.v</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IND – Groundwater abstraction site for industrial supply</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INT – International network of other international convention</w:t>
            </w:r>
          </w:p>
        </w:tc>
      </w:tr>
      <w:tr w:rsidR="00BF038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INV – Investigative monitoring</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MSF – Marine Strategy Framework Directive monitoring network</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NID – Nutrient sensitive area under the Nitrates Directive - WFD Annex IV.1.iv</w:t>
            </w:r>
          </w:p>
        </w:tc>
      </w:tr>
      <w:tr w:rsidR="00BF038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OPE – Operational monitoring</w:t>
            </w:r>
          </w:p>
        </w:tc>
      </w:tr>
      <w:tr w:rsidR="00BF038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QUA – Quantitative status</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REF – Reference network monitoring site</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RIV – International network of a river convention (including bilateral agreements)</w:t>
            </w:r>
          </w:p>
        </w:tc>
      </w:tr>
      <w:tr w:rsidR="00BF038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SEA – International network of a sea convention</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SHE – Shellfish designated waters - WFD Annex IV.1.ii</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SOE – EIONET State of Environment monitoring</w:t>
            </w:r>
          </w:p>
        </w:tc>
      </w:tr>
      <w:tr w:rsidR="00BF038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SUR – Surveillance monitoring</w:t>
            </w:r>
          </w:p>
        </w:tc>
      </w:tr>
      <w:tr w:rsidR="00BF038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TRE – Chemical trend assessment</w:t>
            </w:r>
          </w:p>
        </w:tc>
      </w:tr>
      <w:tr w:rsidR="00BF0382" w:rsidRPr="00D95552" w:rsidTr="00BB474C">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UWW – Nutrient sensitive area under the Urban Waste Water Treatment Directive - WFD Annex IV.1.iv</w:t>
            </w:r>
          </w:p>
        </w:tc>
      </w:tr>
    </w:tbl>
    <w:p w:rsidR="00BF0382" w:rsidRPr="008D6A99" w:rsidRDefault="00BF0382" w:rsidP="00BF0382">
      <w:pPr>
        <w:jc w:val="both"/>
        <w:rPr>
          <w:lang w:val="en-GB"/>
        </w:rPr>
      </w:pPr>
    </w:p>
    <w:p w:rsidR="00BF0382" w:rsidRPr="008D6A99" w:rsidRDefault="00BF0382" w:rsidP="00BF0382">
      <w:pPr>
        <w:pageBreakBefore/>
        <w:jc w:val="both"/>
        <w:outlineLvl w:val="0"/>
        <w:rPr>
          <w:b/>
          <w:lang w:val="en-GB"/>
        </w:rPr>
      </w:pPr>
      <w:bookmarkStart w:id="1000" w:name="_Toc432666139"/>
      <w:bookmarkStart w:id="1001" w:name="_Toc437520335"/>
      <w:r w:rsidRPr="008D6A99">
        <w:rPr>
          <w:b/>
          <w:lang w:val="en-GB"/>
        </w:rPr>
        <w:t>Annex 8j:</w:t>
      </w:r>
      <w:r w:rsidRPr="008D6A99">
        <w:rPr>
          <w:b/>
          <w:lang w:val="en-GB"/>
        </w:rPr>
        <w:tab/>
        <w:t>List of language codes (LanguageCode_Enum)</w:t>
      </w:r>
      <w:bookmarkEnd w:id="1000"/>
      <w:bookmarkEnd w:id="1001"/>
    </w:p>
    <w:p w:rsidR="00BF0382" w:rsidRPr="008D6A99" w:rsidRDefault="00BF0382" w:rsidP="00BF0382">
      <w:pPr>
        <w:tabs>
          <w:tab w:val="left" w:pos="2653"/>
        </w:tabs>
        <w:spacing w:after="0"/>
        <w:jc w:val="both"/>
        <w:rPr>
          <w:color w:val="000000"/>
          <w:sz w:val="22"/>
          <w:szCs w:val="22"/>
          <w:lang w:val="en-GB" w:eastAsia="en-GB"/>
        </w:rPr>
      </w:pPr>
      <w:r w:rsidRPr="008D6A99">
        <w:rPr>
          <w:color w:val="000000"/>
          <w:sz w:val="22"/>
          <w:szCs w:val="22"/>
          <w:lang w:val="en-GB" w:eastAsia="en-GB"/>
        </w:rPr>
        <w:t xml:space="preserve">Taken from </w:t>
      </w:r>
      <w:hyperlink r:id="rId60" w:history="1">
        <w:r w:rsidRPr="008D6A99">
          <w:rPr>
            <w:rStyle w:val="Hyperlnk"/>
            <w:noProof w:val="0"/>
            <w:color w:val="auto"/>
            <w:sz w:val="22"/>
            <w:szCs w:val="22"/>
            <w:lang w:val="en-GB" w:eastAsia="en-GB"/>
          </w:rPr>
          <w:t>http://inspire.ec.europa.eu/documents/Metadata/MD_IR_and_ISO_20131029.pdf</w:t>
        </w:r>
      </w:hyperlink>
      <w:r w:rsidRPr="008D6A99">
        <w:rPr>
          <w:sz w:val="22"/>
          <w:szCs w:val="22"/>
          <w:lang w:val="en-GB" w:eastAsia="en-GB"/>
        </w:rPr>
        <w:t xml:space="preserve"> </w:t>
      </w:r>
    </w:p>
    <w:p w:rsidR="00BF0382" w:rsidRPr="008D6A99" w:rsidRDefault="00BF0382" w:rsidP="00BF0382">
      <w:pPr>
        <w:tabs>
          <w:tab w:val="left" w:pos="2653"/>
        </w:tabs>
        <w:spacing w:after="0"/>
        <w:jc w:val="both"/>
        <w:rPr>
          <w:color w:val="000000"/>
          <w:sz w:val="22"/>
          <w:lang w:val="en-GB"/>
        </w:rPr>
      </w:pPr>
      <w:r w:rsidRPr="008D6A99">
        <w:rPr>
          <w:color w:val="000000"/>
          <w:sz w:val="22"/>
          <w:szCs w:val="22"/>
          <w:lang w:val="en-GB" w:eastAsia="en-GB"/>
        </w:rPr>
        <w:t>Chapter 2.2.7 Resource language, page 26:</w:t>
      </w:r>
      <w:r w:rsidRPr="008D6A99">
        <w:rPr>
          <w:lang w:val="en-GB"/>
        </w:rPr>
        <w:t xml:space="preserve"> </w:t>
      </w:r>
      <w:r w:rsidRPr="008D6A99">
        <w:rPr>
          <w:color w:val="000000"/>
          <w:sz w:val="22"/>
          <w:szCs w:val="22"/>
          <w:lang w:val="en-GB" w:eastAsia="en-GB"/>
        </w:rPr>
        <w:t>Codelist (See ISO/TS 19139) based on alpha-3 codes of ISO 639-2. Use only three-letter codes from in ISO 639-2/B (bibliographic codes)</w:t>
      </w:r>
    </w:p>
    <w:p w:rsidR="00BF0382" w:rsidRPr="008D6A99" w:rsidRDefault="00BF0382" w:rsidP="00BF0382">
      <w:pPr>
        <w:tabs>
          <w:tab w:val="left" w:pos="2653"/>
        </w:tabs>
        <w:spacing w:after="0"/>
        <w:jc w:val="both"/>
        <w:rPr>
          <w:lang w:val="en-GB"/>
        </w:rPr>
      </w:pPr>
    </w:p>
    <w:tbl>
      <w:tblPr>
        <w:tblW w:w="4962" w:type="dxa"/>
        <w:tblInd w:w="108" w:type="dxa"/>
        <w:tblLook w:val="04A0" w:firstRow="1" w:lastRow="0" w:firstColumn="1" w:lastColumn="0" w:noHBand="0" w:noVBand="1"/>
      </w:tblPr>
      <w:tblGrid>
        <w:gridCol w:w="2127"/>
        <w:gridCol w:w="2835"/>
      </w:tblGrid>
      <w:tr w:rsidR="00BF0382" w:rsidTr="00BB474C">
        <w:trPr>
          <w:trHeight w:val="300"/>
        </w:trPr>
        <w:tc>
          <w:tcPr>
            <w:tcW w:w="212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Language code</w:t>
            </w:r>
          </w:p>
        </w:tc>
        <w:tc>
          <w:tcPr>
            <w:tcW w:w="2835" w:type="dxa"/>
            <w:tcBorders>
              <w:top w:val="single" w:sz="4" w:space="0" w:color="auto"/>
              <w:left w:val="single" w:sz="4" w:space="0" w:color="auto"/>
              <w:bottom w:val="single" w:sz="4" w:space="0" w:color="auto"/>
              <w:right w:val="single" w:sz="4" w:space="0" w:color="auto"/>
            </w:tcBorders>
            <w:shd w:val="clear" w:color="000000" w:fill="E7E6E6"/>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Language</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bul</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Bulgarian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hrv</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Croatian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cze</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Czech</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dan</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Danish</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dut</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Dutch</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eng</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English</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est</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Estonian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fin</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Finnish</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fre</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French</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ger</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German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gre</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Greek</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hun</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Hungarian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gle</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Irish</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ita</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Italian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lav</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Latvian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lit</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Lithuanian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mlt</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Maltese</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nor</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Norwegian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pol</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Polish</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por</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Portuguese</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rum</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Romanian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Slovak</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slv</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Slovenian</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spa</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Spanish</w:t>
            </w:r>
          </w:p>
        </w:tc>
      </w:tr>
      <w:tr w:rsidR="00BF0382" w:rsidTr="00BB474C">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swe</w:t>
            </w:r>
          </w:p>
        </w:tc>
        <w:tc>
          <w:tcPr>
            <w:tcW w:w="2835" w:type="dxa"/>
            <w:tcBorders>
              <w:top w:val="nil"/>
              <w:left w:val="single" w:sz="4" w:space="0" w:color="auto"/>
              <w:bottom w:val="single" w:sz="4" w:space="0" w:color="auto"/>
              <w:right w:val="single" w:sz="4" w:space="0" w:color="auto"/>
            </w:tcBorders>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Swedish</w:t>
            </w:r>
          </w:p>
        </w:tc>
      </w:tr>
    </w:tbl>
    <w:p w:rsidR="00BF0382" w:rsidRDefault="00BF0382" w:rsidP="00BF0382">
      <w:pPr>
        <w:tabs>
          <w:tab w:val="left" w:pos="2653"/>
        </w:tabs>
        <w:spacing w:after="0"/>
        <w:jc w:val="both"/>
        <w:rPr>
          <w:color w:val="000000"/>
          <w:sz w:val="22"/>
          <w:szCs w:val="22"/>
          <w:lang w:eastAsia="en-GB"/>
        </w:rPr>
      </w:pPr>
    </w:p>
    <w:p w:rsidR="00BF0382" w:rsidRPr="008D6A99" w:rsidRDefault="00BF0382" w:rsidP="00BF0382">
      <w:pPr>
        <w:tabs>
          <w:tab w:val="left" w:pos="2653"/>
        </w:tabs>
        <w:spacing w:after="0"/>
        <w:jc w:val="both"/>
        <w:rPr>
          <w:color w:val="000000"/>
          <w:sz w:val="22"/>
          <w:szCs w:val="22"/>
          <w:lang w:val="en-GB"/>
        </w:rPr>
      </w:pPr>
      <w:r w:rsidRPr="008D6A99">
        <w:rPr>
          <w:color w:val="000000"/>
          <w:sz w:val="22"/>
          <w:szCs w:val="22"/>
          <w:lang w:val="en-GB" w:eastAsia="en-GB"/>
        </w:rPr>
        <w:t xml:space="preserve">The list of all the codes is defined at </w:t>
      </w:r>
      <w:hyperlink r:id="rId61" w:history="1">
        <w:r w:rsidRPr="008D6A99">
          <w:rPr>
            <w:rStyle w:val="Hyperlnk"/>
            <w:noProof w:val="0"/>
            <w:color w:val="auto"/>
            <w:lang w:val="en-GB" w:eastAsia="en-GB"/>
          </w:rPr>
          <w:t>http://www.loc.gov/standards/iso639-2/</w:t>
        </w:r>
      </w:hyperlink>
      <w:r w:rsidRPr="008D6A99">
        <w:rPr>
          <w:sz w:val="22"/>
          <w:szCs w:val="22"/>
          <w:lang w:val="en-GB" w:eastAsia="en-GB"/>
        </w:rPr>
        <w:t xml:space="preserve">. </w:t>
      </w:r>
    </w:p>
    <w:p w:rsidR="00BF0382" w:rsidRPr="008D6A99" w:rsidRDefault="00BF0382" w:rsidP="00BF0382">
      <w:pPr>
        <w:pageBreakBefore/>
        <w:jc w:val="both"/>
        <w:outlineLvl w:val="0"/>
        <w:rPr>
          <w:b/>
          <w:lang w:val="en-GB"/>
        </w:rPr>
      </w:pPr>
      <w:bookmarkStart w:id="1002" w:name="_Toc432666140"/>
      <w:bookmarkStart w:id="1003" w:name="_Toc437520336"/>
      <w:r w:rsidRPr="008D6A99">
        <w:rPr>
          <w:b/>
          <w:lang w:val="en-GB"/>
        </w:rPr>
        <w:t>Annex 8k:</w:t>
      </w:r>
      <w:r w:rsidRPr="008D6A99">
        <w:rPr>
          <w:b/>
          <w:lang w:val="en-GB"/>
        </w:rPr>
        <w:tab/>
        <w:t>List of roles (Roles_Enum)</w:t>
      </w:r>
      <w:bookmarkEnd w:id="1002"/>
      <w:bookmarkEnd w:id="1003"/>
    </w:p>
    <w:tbl>
      <w:tblPr>
        <w:tblW w:w="3820" w:type="dxa"/>
        <w:tblInd w:w="108" w:type="dxa"/>
        <w:tblLook w:val="04A0" w:firstRow="1" w:lastRow="0" w:firstColumn="1" w:lastColumn="0" w:noHBand="0" w:noVBand="1"/>
      </w:tblPr>
      <w:tblGrid>
        <w:gridCol w:w="3820"/>
      </w:tblGrid>
      <w:tr w:rsidR="00BF0382" w:rsidTr="00BB474C">
        <w:trPr>
          <w:trHeight w:val="300"/>
        </w:trPr>
        <w:tc>
          <w:tcPr>
            <w:tcW w:w="38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Role</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Pressure and impact analysis</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Economic analysis</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Monitoring of surface water</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Monitoring of groundwater</w:t>
            </w:r>
          </w:p>
        </w:tc>
      </w:tr>
      <w:tr w:rsidR="00BF0382" w:rsidRPr="00D9555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Assessment of status of surface water</w:t>
            </w:r>
          </w:p>
        </w:tc>
      </w:tr>
      <w:tr w:rsidR="00BF0382" w:rsidRPr="00D9555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Assessment of status of groundwater</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Preparation of RBMP</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Preparation of PoM</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Implementation of measures</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Public participation</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Enforcement of regulations</w:t>
            </w:r>
          </w:p>
        </w:tc>
      </w:tr>
      <w:tr w:rsidR="00BF038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Co-ordination of implementation</w:t>
            </w:r>
          </w:p>
        </w:tc>
      </w:tr>
      <w:tr w:rsidR="00BF0382" w:rsidRPr="00D95552" w:rsidTr="00BB474C">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Reporting to the European Commission</w:t>
            </w:r>
          </w:p>
        </w:tc>
      </w:tr>
    </w:tbl>
    <w:p w:rsidR="00BF0382" w:rsidRPr="008D6A99" w:rsidRDefault="00BF0382" w:rsidP="00BF0382">
      <w:pPr>
        <w:jc w:val="both"/>
        <w:rPr>
          <w:lang w:val="en-GB"/>
        </w:rPr>
      </w:pPr>
    </w:p>
    <w:p w:rsidR="00BF0382" w:rsidRPr="008D6A99" w:rsidRDefault="00BF0382" w:rsidP="00BF0382">
      <w:pPr>
        <w:jc w:val="both"/>
        <w:outlineLvl w:val="0"/>
        <w:rPr>
          <w:b/>
          <w:lang w:val="en-GB"/>
        </w:rPr>
      </w:pPr>
      <w:bookmarkStart w:id="1004" w:name="_Toc432666141"/>
      <w:bookmarkStart w:id="1005" w:name="_Toc437520337"/>
      <w:r w:rsidRPr="008D6A99">
        <w:rPr>
          <w:b/>
          <w:lang w:val="en-GB"/>
        </w:rPr>
        <w:t>Annex 8l:</w:t>
      </w:r>
      <w:r w:rsidRPr="008D6A99">
        <w:rPr>
          <w:b/>
          <w:lang w:val="en-GB"/>
        </w:rPr>
        <w:tab/>
        <w:t>List of geographical scales (GeographicalScale_Enum)</w:t>
      </w:r>
      <w:bookmarkEnd w:id="1004"/>
      <w:bookmarkEnd w:id="1005"/>
    </w:p>
    <w:tbl>
      <w:tblPr>
        <w:tblW w:w="2900" w:type="dxa"/>
        <w:tblInd w:w="108" w:type="dxa"/>
        <w:tblLook w:val="04A0" w:firstRow="1" w:lastRow="0" w:firstColumn="1" w:lastColumn="0" w:noHBand="0" w:noVBand="1"/>
      </w:tblPr>
      <w:tblGrid>
        <w:gridCol w:w="2900"/>
      </w:tblGrid>
      <w:tr w:rsidR="00BF0382" w:rsidTr="00BB474C">
        <w:trPr>
          <w:trHeight w:val="300"/>
        </w:trPr>
        <w:tc>
          <w:tcPr>
            <w:tcW w:w="29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Geographical scale</w:t>
            </w:r>
          </w:p>
        </w:tc>
      </w:tr>
      <w:tr w:rsidR="00BF0382" w:rsidTr="00BB474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NAT – National scale</w:t>
            </w:r>
          </w:p>
        </w:tc>
      </w:tr>
      <w:tr w:rsidR="00BF0382" w:rsidTr="00BB474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REG – Regional (sub-national)</w:t>
            </w:r>
          </w:p>
        </w:tc>
      </w:tr>
      <w:tr w:rsidR="00BF0382" w:rsidTr="00BB474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LOC – Local/municipality</w:t>
            </w:r>
          </w:p>
        </w:tc>
      </w:tr>
      <w:tr w:rsidR="00BF0382" w:rsidTr="00BB474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INT – International RBD</w:t>
            </w:r>
          </w:p>
        </w:tc>
      </w:tr>
      <w:tr w:rsidR="00BF0382" w:rsidTr="00BB474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RBD – RBD</w:t>
            </w:r>
          </w:p>
        </w:tc>
      </w:tr>
      <w:tr w:rsidR="00BF0382" w:rsidTr="00BB474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SU – Sub-unit</w:t>
            </w:r>
          </w:p>
        </w:tc>
      </w:tr>
      <w:tr w:rsidR="00BF0382" w:rsidTr="00BB474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WB – Water body</w:t>
            </w:r>
          </w:p>
        </w:tc>
      </w:tr>
      <w:tr w:rsidR="00BF0382" w:rsidTr="00BB474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OTH – Other</w:t>
            </w:r>
          </w:p>
        </w:tc>
      </w:tr>
    </w:tbl>
    <w:p w:rsidR="00BF0382" w:rsidRDefault="00BF0382" w:rsidP="00BF0382">
      <w:pPr>
        <w:jc w:val="both"/>
        <w:rPr>
          <w:b/>
        </w:rPr>
      </w:pPr>
    </w:p>
    <w:p w:rsidR="00BF0382" w:rsidRPr="008D6A99" w:rsidRDefault="00BF0382" w:rsidP="00BF0382">
      <w:pPr>
        <w:pageBreakBefore/>
        <w:jc w:val="both"/>
        <w:outlineLvl w:val="0"/>
        <w:rPr>
          <w:lang w:val="en-GB"/>
        </w:rPr>
      </w:pPr>
      <w:bookmarkStart w:id="1006" w:name="_Toc432666142"/>
      <w:bookmarkStart w:id="1007" w:name="_Toc437520338"/>
      <w:r w:rsidRPr="008D6A99">
        <w:rPr>
          <w:b/>
          <w:lang w:val="en-GB"/>
        </w:rPr>
        <w:t>Annex 8m:</w:t>
      </w:r>
      <w:r w:rsidRPr="008D6A99">
        <w:rPr>
          <w:b/>
          <w:lang w:val="en-GB"/>
        </w:rPr>
        <w:tab/>
        <w:t>List of mitigation measures (MitigationMeasure_Enum)</w:t>
      </w:r>
      <w:bookmarkEnd w:id="1006"/>
      <w:bookmarkEnd w:id="1007"/>
    </w:p>
    <w:tbl>
      <w:tblPr>
        <w:tblW w:w="5680" w:type="dxa"/>
        <w:tblInd w:w="108" w:type="dxa"/>
        <w:tblLook w:val="04A0" w:firstRow="1" w:lastRow="0" w:firstColumn="1" w:lastColumn="0" w:noHBand="0" w:noVBand="1"/>
      </w:tblPr>
      <w:tblGrid>
        <w:gridCol w:w="5680"/>
      </w:tblGrid>
      <w:tr w:rsidR="00BF0382" w:rsidTr="00BB474C">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Mitigation measure</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Fish ladders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Bypass channels</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Habitat restoration, building spawning and breeding areas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Sediment / debris management</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Removal of structures: weirs, barriers, bank reinforcement</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Reconnection of meander bends or side arms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Lowering of river banks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Restoration of bank structure</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Channel narrowing</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Setting of ecological flows</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Inundation of flood plains</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Operational modifications for hydro-peaking</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Dredging minimisation and/or modification</w:t>
            </w:r>
          </w:p>
        </w:tc>
      </w:tr>
      <w:tr w:rsidR="00BF0382" w:rsidRPr="00D9555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Restoration of modified bed structure</w:t>
            </w:r>
          </w:p>
        </w:tc>
      </w:tr>
      <w:tr w:rsidR="00BF0382" w:rsidTr="00BB474C">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Retention basins</w:t>
            </w:r>
          </w:p>
        </w:tc>
      </w:tr>
    </w:tbl>
    <w:p w:rsidR="00BF0382" w:rsidRDefault="00BF0382" w:rsidP="00BF0382">
      <w:pPr>
        <w:jc w:val="both"/>
      </w:pPr>
    </w:p>
    <w:p w:rsidR="00BF0382" w:rsidRPr="008D6A99" w:rsidRDefault="00BF0382" w:rsidP="00BF0382">
      <w:pPr>
        <w:pageBreakBefore/>
        <w:jc w:val="both"/>
        <w:outlineLvl w:val="0"/>
        <w:rPr>
          <w:b/>
          <w:lang w:val="en-GB"/>
        </w:rPr>
      </w:pPr>
      <w:bookmarkStart w:id="1008" w:name="_Toc432666143"/>
      <w:bookmarkStart w:id="1009" w:name="_Toc437520339"/>
      <w:r w:rsidRPr="008D6A99">
        <w:rPr>
          <w:b/>
          <w:lang w:val="en-GB"/>
        </w:rPr>
        <w:t>Annex 8n:</w:t>
      </w:r>
      <w:r w:rsidRPr="008D6A99">
        <w:rPr>
          <w:b/>
          <w:lang w:val="en-GB"/>
        </w:rPr>
        <w:tab/>
        <w:t>List of input pollutant categories (InputCategory_Union_Enum)</w:t>
      </w:r>
      <w:bookmarkEnd w:id="1008"/>
      <w:bookmarkEnd w:id="1009"/>
    </w:p>
    <w:p w:rsidR="00BF0382" w:rsidRPr="008D6A99" w:rsidRDefault="00BF0382" w:rsidP="00BF0382">
      <w:pPr>
        <w:jc w:val="both"/>
        <w:rPr>
          <w:lang w:val="en-GB"/>
        </w:rPr>
      </w:pPr>
      <w:r w:rsidRPr="008D6A99">
        <w:rPr>
          <w:lang w:val="en-GB"/>
        </w:rPr>
        <w:t>Union of the list of WFD pressure inventory categories (WFDPressureCategory_Enum), SoE emissions inventory categories (SoEEmissionsCategory_Enum) and CIS inventory guidance categories (CISInventoryGuidanceCategory_Enum).</w:t>
      </w:r>
    </w:p>
    <w:p w:rsidR="00BF0382" w:rsidRDefault="00BF0382" w:rsidP="00BF0382">
      <w:pPr>
        <w:jc w:val="both"/>
        <w:rPr>
          <w:szCs w:val="24"/>
        </w:rPr>
      </w:pPr>
      <w:r>
        <w:rPr>
          <w:szCs w:val="24"/>
        </w:rPr>
        <w:t>WFDPressureCategory_Enum</w:t>
      </w:r>
    </w:p>
    <w:tbl>
      <w:tblPr>
        <w:tblW w:w="6120" w:type="dxa"/>
        <w:tblInd w:w="108" w:type="dxa"/>
        <w:tblLook w:val="04A0" w:firstRow="1" w:lastRow="0" w:firstColumn="1" w:lastColumn="0" w:noHBand="0" w:noVBand="1"/>
      </w:tblPr>
      <w:tblGrid>
        <w:gridCol w:w="6120"/>
      </w:tblGrid>
      <w:tr w:rsidR="00BF0382" w:rsidTr="00BB474C">
        <w:trPr>
          <w:trHeight w:val="300"/>
        </w:trPr>
        <w:tc>
          <w:tcPr>
            <w:tcW w:w="61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WFD pressure inventory category</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1.1 – Point - Urban waste water</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1.2 – Point - Storm overflows</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1.3 – Point - IED plants</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1.4 – Point - Non IED plants</w:t>
            </w:r>
          </w:p>
        </w:tc>
      </w:tr>
      <w:tr w:rsidR="00BF0382" w:rsidRPr="00D9555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1.5 – Point - Contaminated sites or abandoned industrial sites</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1.6 – Point - Waste disposal sites</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1.7 – Point - Mine waters</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1.8 – Point - Aquaculture</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1.9 – Point - Other</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2.1 – Diffuse - Urban run-off</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2.10 – Diffuse - Other</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2.2 – Diffuse - Agricultural</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2.3 – Diffuse - Forestry</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2.4 – Diffuse - Transport</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2.5 – Diffuse - Contaminated sites or abandoned industrial sites</w:t>
            </w:r>
          </w:p>
        </w:tc>
      </w:tr>
      <w:tr w:rsidR="00BF0382" w:rsidRPr="00D9555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2.6 – Diffuse - Discharges not connected to sewerage network</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2.7 – Diffuse - Atmospheric deposition</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2.8 – Diffuse - Mining</w:t>
            </w:r>
          </w:p>
        </w:tc>
      </w:tr>
      <w:tr w:rsidR="00BF0382" w:rsidTr="00BB474C">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2.9 – Diffuse - Aquaculture</w:t>
            </w:r>
          </w:p>
        </w:tc>
      </w:tr>
    </w:tbl>
    <w:p w:rsidR="00BF0382" w:rsidRDefault="00BF0382" w:rsidP="00BF0382">
      <w:pPr>
        <w:jc w:val="both"/>
      </w:pPr>
    </w:p>
    <w:p w:rsidR="00BF0382" w:rsidRDefault="00BF0382" w:rsidP="00BF0382">
      <w:pPr>
        <w:jc w:val="both"/>
        <w:rPr>
          <w:szCs w:val="24"/>
        </w:rPr>
      </w:pPr>
      <w:r>
        <w:rPr>
          <w:szCs w:val="24"/>
        </w:rPr>
        <w:t>SoEEmissionsCategory_Enum</w:t>
      </w:r>
    </w:p>
    <w:tbl>
      <w:tblPr>
        <w:tblW w:w="7400" w:type="dxa"/>
        <w:tblInd w:w="108" w:type="dxa"/>
        <w:tblLook w:val="04A0" w:firstRow="1" w:lastRow="0" w:firstColumn="1" w:lastColumn="0" w:noHBand="0" w:noVBand="1"/>
      </w:tblPr>
      <w:tblGrid>
        <w:gridCol w:w="7400"/>
      </w:tblGrid>
      <w:tr w:rsidR="00BF0382" w:rsidTr="00BB474C">
        <w:trPr>
          <w:trHeight w:val="300"/>
        </w:trPr>
        <w:tc>
          <w:tcPr>
            <w:tcW w:w="74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SoE emissions inventory category</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D0 – Point - Direct emissions to coastal and transitional waters</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I – Point - Industrial waste water</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I3 – Point - Industrial waste water - treated</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I4 – Point - Industrial waste water - untreated</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 – Diffuse sources</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NP0 – Diffuse - Direct emissions to coastal and transitional waters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NP1 – Diffuse - Agricultural emissions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NP10 – Diffuse - Transport emissions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NP11 – Diffuse - Mining emissions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NP12 – Diffuse - Aquaculture emissions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NP2 – Diffuse - Atmospheric deposition</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NP3 – Diffuse - Un-connected dwellings emissions</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D95552" w:rsidRDefault="00BF0382" w:rsidP="00BB474C">
            <w:pPr>
              <w:spacing w:after="0"/>
              <w:jc w:val="both"/>
              <w:rPr>
                <w:rFonts w:ascii="Calibri" w:hAnsi="Calibri" w:cs="Calibri"/>
                <w:color w:val="000000"/>
                <w:sz w:val="22"/>
                <w:szCs w:val="22"/>
                <w:lang w:val="en-GB" w:eastAsia="en-GB"/>
              </w:rPr>
            </w:pPr>
            <w:r w:rsidRPr="00D95552">
              <w:rPr>
                <w:rFonts w:ascii="Calibri" w:hAnsi="Calibri" w:cs="Calibri"/>
                <w:color w:val="000000"/>
                <w:sz w:val="22"/>
                <w:szCs w:val="22"/>
                <w:lang w:val="en-GB" w:eastAsia="en-GB"/>
              </w:rPr>
              <w:t>NP5 – Diffuse - Storm overflow emissions</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NP7 – Diffuse - Other diffuse emissions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NP8 – Diffuse - Background emissions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NP9 – Diffuse - Forestry emissions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 – Point - Other</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O1 – Point - Contaminated sites or abandoned industrial sites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O2 – Point - Waste disposal sites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O3 – Point - Mine waters</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O4 – Point - Aquaculture</w:t>
            </w:r>
          </w:p>
        </w:tc>
      </w:tr>
      <w:tr w:rsidR="00BF038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PT – Point sources</w:t>
            </w:r>
          </w:p>
        </w:tc>
      </w:tr>
      <w:tr w:rsidR="00BF0382" w:rsidRPr="003F7836"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 – Point - Urban waste water</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U1 – Point - Urban waste water - untreated</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U11 – Point - Urban waste water - untreated - less than 2000 p.e.</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U12 – Point - Urban waste water - untreated - between 2000 and 10000 p.e.</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U13 – Point - Urban waste water - untreated - between 10000 and 100000 p.e.</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U14 – Point - Urban waste water - untreated - more than 100000 p.e.</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U2 – Point - Urban waste water - treated</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U21 – Point - Urban waste water - treated - less than 2000 p.e.</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U22 – Point - Urban waste water - treated - between 2000 and 10000 p.e.</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U23 – Point - Urban waste water - treated - between 10000 and 100000 p.e.</w:t>
            </w:r>
          </w:p>
        </w:tc>
      </w:tr>
      <w:tr w:rsidR="00BF0382" w:rsidRPr="00D95552" w:rsidTr="00BB474C">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U24 – Point - Urban waste water - treated - more than 100000 p.e.</w:t>
            </w:r>
          </w:p>
        </w:tc>
      </w:tr>
    </w:tbl>
    <w:p w:rsidR="00BF0382" w:rsidRPr="008D6A99" w:rsidRDefault="00BF0382" w:rsidP="00BF0382">
      <w:pPr>
        <w:jc w:val="both"/>
        <w:rPr>
          <w:lang w:val="en-GB"/>
        </w:rPr>
      </w:pPr>
    </w:p>
    <w:p w:rsidR="00BF0382" w:rsidRDefault="00BF0382" w:rsidP="00BF0382">
      <w:pPr>
        <w:jc w:val="both"/>
        <w:rPr>
          <w:szCs w:val="24"/>
        </w:rPr>
      </w:pPr>
      <w:r>
        <w:rPr>
          <w:szCs w:val="24"/>
        </w:rPr>
        <w:t>CISInventoryGuidanceCategory_Enum</w:t>
      </w:r>
    </w:p>
    <w:tbl>
      <w:tblPr>
        <w:tblW w:w="9060" w:type="dxa"/>
        <w:tblInd w:w="108" w:type="dxa"/>
        <w:tblLook w:val="04A0" w:firstRow="1" w:lastRow="0" w:firstColumn="1" w:lastColumn="0" w:noHBand="0" w:noVBand="1"/>
      </w:tblPr>
      <w:tblGrid>
        <w:gridCol w:w="9060"/>
      </w:tblGrid>
      <w:tr w:rsidR="00BF0382" w:rsidTr="00BB474C">
        <w:trPr>
          <w:trHeight w:val="300"/>
        </w:trPr>
        <w:tc>
          <w:tcPr>
            <w:tcW w:w="90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CIS inventory category</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P1 – Air emissions - atmospheric deposition to surface waters</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P10 – Industrial waste water - treated</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P11 – Mining areas - direct discharges</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P12 – Inland navigation - direct discharge</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P13 – Natural background</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P2 – Soil - erosion to surface waters</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P3 – Soil - surface run off from unsealed areas to surface waters</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P4 – Soil - interflow, tile drainage and groundwater flow to surface waters</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P5 – Agriculture - discharges and drifting directly to surface waters</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P6 – Impermeable surfaces - surface run off from sealed areas directly to surface waters</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P7 – Sewer system - storm water outlets, combined sewer overflows and unconnected sewers</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P8 – Urban waste water - treated</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P9 – Households - Individual discharges treated and untreated</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RLin – Riverine load out of RBD or SU</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RLout – Riverine load into RBD or SU</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 – Air emissions</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S10 – Inland navigation</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S11 – Natural background</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S12 – Impermeable surfaces</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S13 – Sewer system</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S14 – Urban waste water treatment plants</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S15 – Industrial waste treatment plants</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S2 – Soil</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S3 – Groundwater</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S4 – Agriculture</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S5 – Transportation and infrastructure</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S6 – Construction material</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S7 – Households</w:t>
            </w:r>
          </w:p>
        </w:tc>
      </w:tr>
      <w:tr w:rsidR="00BF038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S8 – Industry</w:t>
            </w:r>
          </w:p>
        </w:tc>
      </w:tr>
      <w:tr w:rsidR="00BF0382" w:rsidRPr="00D95552" w:rsidTr="00BB474C">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S9 – Abandoned mines and historic mines</w:t>
            </w:r>
          </w:p>
        </w:tc>
      </w:tr>
    </w:tbl>
    <w:p w:rsidR="00BF0382" w:rsidRPr="008D6A99" w:rsidRDefault="00BF0382" w:rsidP="00BF0382">
      <w:pPr>
        <w:jc w:val="both"/>
        <w:rPr>
          <w:lang w:val="en-GB"/>
        </w:rPr>
      </w:pPr>
    </w:p>
    <w:p w:rsidR="00BF0382" w:rsidRPr="008D6A99" w:rsidRDefault="00BF0382" w:rsidP="00BF0382">
      <w:pPr>
        <w:pageBreakBefore/>
        <w:jc w:val="both"/>
        <w:outlineLvl w:val="0"/>
        <w:rPr>
          <w:b/>
          <w:lang w:val="en-GB"/>
        </w:rPr>
      </w:pPr>
      <w:bookmarkStart w:id="1010" w:name="_Toc432666144"/>
      <w:bookmarkStart w:id="1011" w:name="_Toc437520340"/>
      <w:r w:rsidRPr="008D6A99">
        <w:rPr>
          <w:b/>
          <w:lang w:val="en-GB"/>
        </w:rPr>
        <w:t xml:space="preserve">Annex 8o: </w:t>
      </w:r>
      <w:r w:rsidRPr="008D6A99">
        <w:rPr>
          <w:b/>
          <w:lang w:val="en-GB"/>
        </w:rPr>
        <w:tab/>
        <w:t>List of calculation methods for water quantity (WQCalculationMethod_Enum)</w:t>
      </w:r>
      <w:bookmarkEnd w:id="1010"/>
      <w:bookmarkEnd w:id="1011"/>
    </w:p>
    <w:tbl>
      <w:tblPr>
        <w:tblW w:w="7840" w:type="dxa"/>
        <w:tblInd w:w="108" w:type="dxa"/>
        <w:tblLook w:val="04A0" w:firstRow="1" w:lastRow="0" w:firstColumn="1" w:lastColumn="0" w:noHBand="0" w:noVBand="1"/>
      </w:tblPr>
      <w:tblGrid>
        <w:gridCol w:w="7840"/>
      </w:tblGrid>
      <w:tr w:rsidR="00BF0382" w:rsidRPr="00D95552" w:rsidTr="00BB474C">
        <w:trPr>
          <w:trHeight w:val="300"/>
        </w:trPr>
        <w:tc>
          <w:tcPr>
            <w:tcW w:w="784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Calculation method for water quantity</w:t>
            </w:r>
          </w:p>
        </w:tc>
      </w:tr>
      <w:tr w:rsidR="00BF0382" w:rsidRPr="00D95552" w:rsidTr="00BB474C">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Water quantity use data not available</w:t>
            </w:r>
          </w:p>
        </w:tc>
      </w:tr>
      <w:tr w:rsidR="00BF0382" w:rsidRPr="00D95552" w:rsidTr="00BB474C">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Water quantity use not relevant or not significant</w:t>
            </w:r>
          </w:p>
        </w:tc>
      </w:tr>
      <w:tr w:rsidR="00BF0382" w:rsidRPr="00D95552" w:rsidTr="00BB474C">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Based on direct measurements / monitoring</w:t>
            </w:r>
          </w:p>
        </w:tc>
      </w:tr>
      <w:tr w:rsidR="00BF0382" w:rsidRPr="00D95552" w:rsidTr="00BB474C">
        <w:trPr>
          <w:trHeight w:val="6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Assimilation and processing (e.g. aggregation, extrapolation, clipping, etc.) from statistical data at different spatial scale (e.g. NUTS, Country level).</w:t>
            </w:r>
          </w:p>
        </w:tc>
      </w:tr>
      <w:tr w:rsidR="00BF0382" w:rsidRPr="00D95552" w:rsidTr="00BB474C">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Based on local surveys and statistical sampling</w:t>
            </w:r>
          </w:p>
        </w:tc>
      </w:tr>
      <w:tr w:rsidR="00BF0382" w:rsidRPr="00D95552" w:rsidTr="00BB474C">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Based on process-based deterministic hydrological and water balance modelling</w:t>
            </w:r>
          </w:p>
        </w:tc>
      </w:tr>
      <w:tr w:rsidR="00BF0382" w:rsidRPr="00D95552" w:rsidTr="00BB474C">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Based on stochastic hydrological and water balance modelling</w:t>
            </w:r>
          </w:p>
        </w:tc>
      </w:tr>
      <w:tr w:rsidR="00BF0382" w:rsidRPr="00D95552" w:rsidTr="00BB474C">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Empirical modelling and/or proxy values (e.g. based on water-rights allocation and permits, average water production, water supply deliveries, data from wastewater treatment plans, etc)</w:t>
            </w:r>
          </w:p>
        </w:tc>
      </w:tr>
      <w:tr w:rsidR="00BF0382" w:rsidRPr="00D95552" w:rsidTr="00BB474C">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Calculated based on theoretical water needs and theoretical consumption values</w:t>
            </w:r>
          </w:p>
        </w:tc>
      </w:tr>
      <w:tr w:rsidR="00BF0382" w:rsidRPr="00D95552" w:rsidTr="00BB474C">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Estimated based on established water-use coefficients and ancillary data</w:t>
            </w:r>
          </w:p>
        </w:tc>
      </w:tr>
      <w:tr w:rsidR="00BF0382" w:rsidRPr="00D95552" w:rsidTr="00BB474C">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Estimated based on representative indicators (e.g. % deviation from the theoretical streamflow regime as an indicator of water balance, water demand as an indicator of water abstraction, etc)</w:t>
            </w:r>
          </w:p>
        </w:tc>
      </w:tr>
      <w:tr w:rsidR="00BF0382" w:rsidRPr="00D95552" w:rsidTr="00BB474C">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For WEI+ which method has been used for estimation of renewable water resources: Option 1. RWR = ExIn + P - Eta - Snat Option 2. RWR = Outflow + (Abstraction - Return) - Sart</w:t>
            </w:r>
          </w:p>
        </w:tc>
      </w:tr>
      <w:tr w:rsidR="00BF0382" w:rsidRPr="00D95552" w:rsidTr="00BB474C">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Other method, not included in the list</w:t>
            </w:r>
          </w:p>
        </w:tc>
      </w:tr>
    </w:tbl>
    <w:p w:rsidR="00BF0382" w:rsidRPr="008D6A99" w:rsidRDefault="00BF0382" w:rsidP="00BF0382">
      <w:pPr>
        <w:tabs>
          <w:tab w:val="left" w:pos="2653"/>
        </w:tabs>
        <w:spacing w:after="0"/>
        <w:jc w:val="both"/>
        <w:rPr>
          <w:color w:val="000000"/>
          <w:sz w:val="22"/>
          <w:szCs w:val="22"/>
          <w:lang w:val="en-GB" w:eastAsia="en-GB"/>
        </w:rPr>
      </w:pPr>
    </w:p>
    <w:p w:rsidR="00BF0382" w:rsidRPr="008D6A99" w:rsidRDefault="00BF0382" w:rsidP="00BF0382">
      <w:pPr>
        <w:jc w:val="both"/>
        <w:rPr>
          <w:lang w:val="en-GB" w:eastAsia="en-GB"/>
        </w:rPr>
      </w:pPr>
    </w:p>
    <w:p w:rsidR="00BF0382" w:rsidRPr="008D6A99" w:rsidRDefault="00BF0382" w:rsidP="00BF0382">
      <w:pPr>
        <w:jc w:val="both"/>
        <w:outlineLvl w:val="0"/>
        <w:rPr>
          <w:b/>
          <w:lang w:val="en-GB"/>
        </w:rPr>
      </w:pPr>
      <w:bookmarkStart w:id="1012" w:name="_Toc432666145"/>
      <w:bookmarkStart w:id="1013" w:name="_Toc437520341"/>
      <w:r w:rsidRPr="008D6A99">
        <w:rPr>
          <w:b/>
          <w:lang w:val="en-GB"/>
        </w:rPr>
        <w:t xml:space="preserve">Annex 8p: </w:t>
      </w:r>
      <w:r w:rsidRPr="008D6A99">
        <w:rPr>
          <w:b/>
          <w:lang w:val="en-GB"/>
        </w:rPr>
        <w:tab/>
        <w:t>List of Indicators for Pressure (IndicatorPressure_Enum)</w:t>
      </w:r>
      <w:bookmarkEnd w:id="1012"/>
      <w:bookmarkEnd w:id="1013"/>
    </w:p>
    <w:tbl>
      <w:tblPr>
        <w:tblW w:w="9520" w:type="dxa"/>
        <w:tblInd w:w="108" w:type="dxa"/>
        <w:tblLook w:val="04A0" w:firstRow="1" w:lastRow="0" w:firstColumn="1" w:lastColumn="0" w:noHBand="0" w:noVBand="1"/>
      </w:tblPr>
      <w:tblGrid>
        <w:gridCol w:w="9520"/>
      </w:tblGrid>
      <w:tr w:rsidR="00BF0382" w:rsidTr="00BB474C">
        <w:tc>
          <w:tcPr>
            <w:tcW w:w="952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Indicator pressure</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PA01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agricultural land at risk of soil erosion</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PA02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forest land at risk of soil erosion</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PA03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forest land affected by pressures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PA04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groundwater bodies not achieving objectives because of alteration of water levels/volumes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PA05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groundwater bodies not achieving objectives because of groundwater recharges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PA06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diffuse urban run off is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PA07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hydromorphological alterations for agricultural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PA08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hydromorphological alterations for aquaculture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PA09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hydromorphological alterations for hydropower production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PA10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hydromorphological alterations for other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PA11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hydromorphological alterations for public water supply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PA12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hydromorphological alterations for transport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PA13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other anthropogenic pressures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PA14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physical loss of habitats is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PA15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the exploitation/removal of animals/plants is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PA16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where unknown pressures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PE01 – Load (tonne per year) of BOD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PE02 – Load (tonne per year) of nitrogen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PE03 – Load (tonne per year) of phosphorus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PE04 – Load (tonne per year) of sediment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PE05 – Load (tonne per year) of priority substances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PL01 – Length (km) of water bodies where diffuse urban run off is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PL02 – Length (km) of water bodies where hydromorphological alterations for agricultural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PL03 – Length (km) of water bodies where hydromorphological alterations for aquaculture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PL04 – Length (km) of water bodies where hydromorphological alterations for flood protection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PL05 – Length (km) of water bodies where hydromorphological alterations for hydropower production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PL06 – Length (km) of water bodies where hydromorphological alterations for other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PL07 – Length (km) of water bodies where hydromorphological alterations for public water supply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PL08 – Length (km) of water bodies where hydromorphological alterations for transport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PL09 – Length (km) of water bodies where hydromorphological alterations for unknown purposes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PL10 – Length (km) of water bodies where litter or fly tipping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PL11 – Length (km) of water bodies where other anthropogenic pressures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PL12 – Length (km) of water bodies where physical loss of habitats is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PL13 – Length (km) of water bodies where the exploitation/removal of animals/plants is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PL14 – Length (km) of water bodies where unknown pressures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PN01 – Number of contaminated sites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PN02 – Number of dams/ weirs/ barriers and locks associated with drinking water that have conditions not compatible with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PN03 – Number of dams/ weirs/ barriers and locks associated with flood protection that have conditions not compatible with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PN04 – Number of dams/ weirs/ barriers and locks associated with hydropower that have conditions not compatible with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PN05 – Number of dams/ weirs/ barriers and locks associated with industry that have conditions not compatible with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PN06 – Number of dams/ weirs/ barriers and locks associated with irrigation that have conditions not compatible with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PN07 – Number of dams/ weirs/ barriers and locks associated with navigation that have conditions not compatible with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PN08 – Number of dams/ weirs/ barriers and locks associated with other uses that have conditions not compatible with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PN09 – Number of dams/ weirs/ barriers and locks associated with recreation that have conditions not compatible with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PN10 – Number of discharges not connected to sewerage network that are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PN11 – Number of farms not covered by advisory services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PN12 – Number of introduced diseases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PN13 – Number of introduced species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PN14 – Number of mine water discharges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PN15 – Number of permits not compatible with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PN16 – Number of point sources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PN17 – Number of urban areas with excessive overflows that are causing or contributing to failure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PN18 – Number of waste disposal sites preventing the achievement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PN19 – Number of water bodies affected by emissions/ discharges or losses of priority and priority hazardous substances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PN20 – Number of water bodies failing EQS for pesticides originating from diffuse agricultural sources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 xml:space="preserve">PN21 – Number of water bodies failing EQS </w:t>
            </w:r>
          </w:p>
        </w:tc>
      </w:tr>
      <w:tr w:rsidR="00BF038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PO99 – Other indicator</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PV01 – Volume (million m</w:t>
            </w:r>
            <w:r w:rsidRPr="008D6A99">
              <w:rPr>
                <w:rFonts w:ascii="Calibri" w:hAnsi="Calibri" w:cs="Calibri"/>
                <w:color w:val="000000"/>
                <w:sz w:val="22"/>
                <w:szCs w:val="22"/>
                <w:vertAlign w:val="superscript"/>
                <w:lang w:val="en-GB" w:eastAsia="en-GB"/>
              </w:rPr>
              <w:t>3</w:t>
            </w:r>
            <w:r w:rsidRPr="008D6A99">
              <w:rPr>
                <w:rFonts w:ascii="Calibri" w:hAnsi="Calibri" w:cs="Calibri"/>
                <w:color w:val="000000"/>
                <w:sz w:val="22"/>
                <w:szCs w:val="22"/>
                <w:lang w:val="en-GB" w:eastAsia="en-GB"/>
              </w:rPr>
              <w:t xml:space="preserve"> per year) of storm water that is causing or contributing to failure of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PV02 – Volume (million m</w:t>
            </w:r>
            <w:r w:rsidRPr="008D6A99">
              <w:rPr>
                <w:rFonts w:ascii="Calibri" w:hAnsi="Calibri" w:cs="Calibri"/>
                <w:color w:val="000000"/>
                <w:sz w:val="22"/>
                <w:szCs w:val="22"/>
                <w:vertAlign w:val="superscript"/>
                <w:lang w:val="en-GB" w:eastAsia="en-GB"/>
              </w:rPr>
              <w:t>3</w:t>
            </w:r>
            <w:r w:rsidRPr="008D6A99">
              <w:rPr>
                <w:rFonts w:ascii="Calibri" w:hAnsi="Calibri" w:cs="Calibri"/>
                <w:color w:val="000000"/>
                <w:sz w:val="22"/>
                <w:szCs w:val="22"/>
                <w:lang w:val="en-GB" w:eastAsia="en-GB"/>
              </w:rPr>
              <w:t xml:space="preserve"> per year) of water abstracted/diverted for agriculture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PV03 – Volume (million m</w:t>
            </w:r>
            <w:r w:rsidRPr="008D6A99">
              <w:rPr>
                <w:rFonts w:ascii="Calibri" w:hAnsi="Calibri" w:cs="Calibri"/>
                <w:color w:val="000000"/>
                <w:sz w:val="22"/>
                <w:szCs w:val="22"/>
                <w:vertAlign w:val="superscript"/>
                <w:lang w:val="en-GB" w:eastAsia="en-GB"/>
              </w:rPr>
              <w:t>3</w:t>
            </w:r>
            <w:r w:rsidRPr="008D6A99">
              <w:rPr>
                <w:rFonts w:ascii="Calibri" w:hAnsi="Calibri" w:cs="Calibri"/>
                <w:color w:val="000000"/>
                <w:sz w:val="22"/>
                <w:szCs w:val="22"/>
                <w:lang w:val="en-GB" w:eastAsia="en-GB"/>
              </w:rPr>
              <w:t xml:space="preserve"> per year) of water abstracted/diverted for aquaculture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PV04 – Volume (million m</w:t>
            </w:r>
            <w:r w:rsidRPr="008D6A99">
              <w:rPr>
                <w:rFonts w:ascii="Calibri" w:hAnsi="Calibri" w:cs="Calibri"/>
                <w:color w:val="000000"/>
                <w:sz w:val="22"/>
                <w:szCs w:val="22"/>
                <w:vertAlign w:val="superscript"/>
                <w:lang w:val="en-GB" w:eastAsia="en-GB"/>
              </w:rPr>
              <w:t>3</w:t>
            </w:r>
            <w:r w:rsidRPr="008D6A99">
              <w:rPr>
                <w:rFonts w:ascii="Calibri" w:hAnsi="Calibri" w:cs="Calibri"/>
                <w:color w:val="000000"/>
                <w:sz w:val="22"/>
                <w:szCs w:val="22"/>
                <w:lang w:val="en-GB" w:eastAsia="en-GB"/>
              </w:rPr>
              <w:t xml:space="preserve">  per year) of water abstracted/diverted for cooling water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PV05 – Volume (million m</w:t>
            </w:r>
            <w:r w:rsidRPr="008D6A99">
              <w:rPr>
                <w:rFonts w:ascii="Calibri" w:hAnsi="Calibri" w:cs="Calibri"/>
                <w:color w:val="000000"/>
                <w:sz w:val="22"/>
                <w:szCs w:val="22"/>
                <w:vertAlign w:val="superscript"/>
                <w:lang w:val="en-GB" w:eastAsia="en-GB"/>
              </w:rPr>
              <w:t>3</w:t>
            </w:r>
            <w:r w:rsidRPr="008D6A99">
              <w:rPr>
                <w:rFonts w:ascii="Calibri" w:hAnsi="Calibri" w:cs="Calibri"/>
                <w:color w:val="000000"/>
                <w:sz w:val="22"/>
                <w:szCs w:val="22"/>
                <w:lang w:val="en-GB" w:eastAsia="en-GB"/>
              </w:rPr>
              <w:t xml:space="preserve"> per year) of water abstracted/diverted for industry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PV06 – Volume (million m</w:t>
            </w:r>
            <w:r w:rsidRPr="008D6A99">
              <w:rPr>
                <w:rFonts w:ascii="Calibri" w:hAnsi="Calibri" w:cs="Calibri"/>
                <w:color w:val="000000"/>
                <w:sz w:val="22"/>
                <w:szCs w:val="22"/>
                <w:vertAlign w:val="superscript"/>
                <w:lang w:val="en-GB" w:eastAsia="en-GB"/>
              </w:rPr>
              <w:t>3</w:t>
            </w:r>
            <w:r w:rsidRPr="008D6A99">
              <w:rPr>
                <w:rFonts w:ascii="Calibri" w:hAnsi="Calibri" w:cs="Calibri"/>
                <w:color w:val="000000"/>
                <w:sz w:val="22"/>
                <w:szCs w:val="22"/>
                <w:lang w:val="en-GB" w:eastAsia="en-GB"/>
              </w:rPr>
              <w:t xml:space="preserve"> per year) of water abstracted/diverted for other purposes (such as recreation) to be reduced to achieve objectives</w:t>
            </w:r>
          </w:p>
        </w:tc>
      </w:tr>
      <w:tr w:rsidR="00BF0382" w:rsidRPr="00D95552" w:rsidTr="00BB474C">
        <w:tc>
          <w:tcPr>
            <w:tcW w:w="95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PV07 – Volume (million m</w:t>
            </w:r>
            <w:r w:rsidRPr="008D6A99">
              <w:rPr>
                <w:rFonts w:ascii="Calibri" w:hAnsi="Calibri" w:cs="Calibri"/>
                <w:color w:val="000000"/>
                <w:sz w:val="22"/>
                <w:szCs w:val="22"/>
                <w:vertAlign w:val="superscript"/>
                <w:lang w:val="en-GB" w:eastAsia="en-GB"/>
              </w:rPr>
              <w:t>3</w:t>
            </w:r>
            <w:r w:rsidRPr="008D6A99">
              <w:rPr>
                <w:rFonts w:ascii="Calibri" w:hAnsi="Calibri" w:cs="Calibri"/>
                <w:color w:val="000000"/>
                <w:sz w:val="22"/>
                <w:szCs w:val="22"/>
                <w:lang w:val="en-GB" w:eastAsia="en-GB"/>
              </w:rPr>
              <w:t xml:space="preserve"> per year) of water abstracted/diverted for public water supply to be reduced to achieve objectives</w:t>
            </w:r>
          </w:p>
        </w:tc>
      </w:tr>
    </w:tbl>
    <w:p w:rsidR="00BF0382" w:rsidRPr="008D6A99" w:rsidRDefault="00BF0382" w:rsidP="00BF0382">
      <w:pPr>
        <w:spacing w:after="120"/>
        <w:jc w:val="both"/>
        <w:rPr>
          <w:b/>
          <w:szCs w:val="24"/>
          <w:lang w:val="en-GB" w:eastAsia="en-GB"/>
        </w:rPr>
      </w:pPr>
    </w:p>
    <w:p w:rsidR="00BF0382" w:rsidRPr="008D6A99" w:rsidRDefault="00BF0382" w:rsidP="00BF0382">
      <w:pPr>
        <w:spacing w:after="0"/>
        <w:jc w:val="both"/>
        <w:rPr>
          <w:b/>
          <w:szCs w:val="24"/>
          <w:lang w:val="en-GB" w:eastAsia="en-GB"/>
        </w:rPr>
      </w:pPr>
      <w:r w:rsidRPr="008D6A99">
        <w:rPr>
          <w:b/>
          <w:szCs w:val="24"/>
          <w:lang w:val="en-GB" w:eastAsia="en-GB"/>
        </w:rPr>
        <w:br w:type="page"/>
      </w:r>
    </w:p>
    <w:p w:rsidR="00BF0382" w:rsidRPr="008D6A99" w:rsidRDefault="00BF0382" w:rsidP="00BF0382">
      <w:pPr>
        <w:jc w:val="both"/>
        <w:outlineLvl w:val="0"/>
        <w:rPr>
          <w:b/>
          <w:lang w:val="en-GB"/>
        </w:rPr>
      </w:pPr>
      <w:bookmarkStart w:id="1014" w:name="_Toc432666146"/>
      <w:bookmarkStart w:id="1015" w:name="_Toc437520342"/>
      <w:r w:rsidRPr="008D6A99">
        <w:rPr>
          <w:b/>
          <w:lang w:val="en-GB"/>
        </w:rPr>
        <w:t xml:space="preserve">Annex 8q: </w:t>
      </w:r>
      <w:r w:rsidRPr="008D6A99">
        <w:rPr>
          <w:b/>
          <w:lang w:val="en-GB"/>
        </w:rPr>
        <w:tab/>
        <w:t>List of Relevant KTM (KTM_Enum)</w:t>
      </w:r>
      <w:bookmarkEnd w:id="1014"/>
      <w:bookmarkEnd w:id="1015"/>
    </w:p>
    <w:tbl>
      <w:tblPr>
        <w:tblW w:w="9720" w:type="dxa"/>
        <w:tblInd w:w="108" w:type="dxa"/>
        <w:tblLook w:val="04A0" w:firstRow="1" w:lastRow="0" w:firstColumn="1" w:lastColumn="0" w:noHBand="0" w:noVBand="1"/>
      </w:tblPr>
      <w:tblGrid>
        <w:gridCol w:w="9720"/>
      </w:tblGrid>
      <w:tr w:rsidR="00BF0382" w:rsidTr="00BB474C">
        <w:tc>
          <w:tcPr>
            <w:tcW w:w="972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 elmement</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 – Construction or upgrades of wastewater treatment plants</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KTM10 – Water pricing policy measures for the implementation of the recovery of cost of water services from industry</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KTM11 – Water pricing policy measures for the implementation of the recovery of cost of water services from agriculture</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KTM12 – Advisory services for agriculture</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KTM13 – Drinking water protection measures (e.g. establishment of safeguard zones, buffer zones etc)</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KTM14 – Research, improvement of knowledge base reducing uncertainty</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KTM15 – Measures for the phasing-out of emissions, discharges and losses of Priority Hazardous Substances or for the reduction of emissions, discharges and losses of Priority Substances</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KTM16 – Upgrades or improvements of industrial wastewater treatment plants (including farms).</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KTM17 – Measures to reduce sediment from soil erosion and surface run-off</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KTM18 – Measures to prevent or control the adverse impacts of invasive alien species and introduced diseases</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KTM19 – Measures to prevent or control the adverse impacts of recreation including angling</w:t>
            </w:r>
          </w:p>
        </w:tc>
      </w:tr>
      <w:tr w:rsidR="00BF038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KTM2 – Reduce nutrient pollution from agriculture</w:t>
            </w:r>
          </w:p>
        </w:tc>
      </w:tr>
      <w:tr w:rsidR="00BF038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KTM3 – Reduce pesticides pollution from agriculture.</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KTM4 – Remediation of contaminated sites (historical pollution including sediments, groundwater, soil)</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KTM5 – Improving longitudinal continuity (e.g. establishing fish passes, demolishing old dams)</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KTM6 – Improving hydromorphological conditions of water bodies other than longitudinal continuity</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KTM7 – Improvements in flow regime and/or establishment of ecological flows</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KTM8 – Water efficiency, technical measures for irrigation, industry, energy and households</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KTM9 – Water pricing policy measures for the implementation of the recovery of cost of water services from households</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KTM20 – Measures to prevent or control the adverse impacts of fishing and other exploitation/removal of animal and plants</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KTM21 – Measures to prevent or control the input of pollution from urban areas, transport and built infrastructure</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KTM22 – Measures to prevent or control the input of pollution from forestry</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KTM23 – Natural water retention measures</w:t>
            </w:r>
          </w:p>
        </w:tc>
      </w:tr>
      <w:tr w:rsidR="00BF038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KTM24 – Adaptation to climate change</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KTM25 – Measures to counteract acidification</w:t>
            </w:r>
          </w:p>
        </w:tc>
      </w:tr>
      <w:tr w:rsidR="00BF0382" w:rsidRPr="00D95552" w:rsidTr="00BB474C">
        <w:tc>
          <w:tcPr>
            <w:tcW w:w="97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KTM99 – Other key type measure reported under PoM</w:t>
            </w:r>
          </w:p>
        </w:tc>
      </w:tr>
    </w:tbl>
    <w:p w:rsidR="00BF0382" w:rsidRPr="008D6A99" w:rsidRDefault="00BF0382" w:rsidP="00BF0382">
      <w:pPr>
        <w:tabs>
          <w:tab w:val="left" w:pos="2653"/>
        </w:tabs>
        <w:spacing w:after="0"/>
        <w:jc w:val="both"/>
        <w:rPr>
          <w:color w:val="000000"/>
          <w:sz w:val="22"/>
          <w:szCs w:val="22"/>
          <w:lang w:val="en-GB" w:eastAsia="en-GB"/>
        </w:rPr>
      </w:pPr>
    </w:p>
    <w:p w:rsidR="00BF0382" w:rsidRPr="008D6A99" w:rsidRDefault="00BF0382" w:rsidP="00BF0382">
      <w:pPr>
        <w:spacing w:after="0"/>
        <w:jc w:val="both"/>
        <w:rPr>
          <w:b/>
          <w:color w:val="000000"/>
          <w:sz w:val="22"/>
          <w:szCs w:val="22"/>
          <w:lang w:val="en-GB" w:eastAsia="en-GB"/>
        </w:rPr>
      </w:pPr>
      <w:r w:rsidRPr="008D6A99">
        <w:rPr>
          <w:b/>
          <w:color w:val="000000"/>
          <w:sz w:val="22"/>
          <w:szCs w:val="22"/>
          <w:lang w:val="en-GB" w:eastAsia="en-GB"/>
        </w:rPr>
        <w:br w:type="page"/>
      </w:r>
    </w:p>
    <w:p w:rsidR="00BF0382" w:rsidRPr="008D6A99" w:rsidRDefault="00BF0382" w:rsidP="00BF0382">
      <w:pPr>
        <w:jc w:val="both"/>
        <w:outlineLvl w:val="0"/>
        <w:rPr>
          <w:b/>
          <w:lang w:val="en-GB"/>
        </w:rPr>
      </w:pPr>
      <w:bookmarkStart w:id="1016" w:name="_Toc432666147"/>
      <w:bookmarkStart w:id="1017" w:name="_Toc437520343"/>
      <w:r w:rsidRPr="008D6A99">
        <w:rPr>
          <w:b/>
          <w:lang w:val="en-GB"/>
        </w:rPr>
        <w:t xml:space="preserve">Annex 8r: </w:t>
      </w:r>
      <w:r w:rsidRPr="008D6A99">
        <w:rPr>
          <w:b/>
          <w:lang w:val="en-GB"/>
        </w:rPr>
        <w:tab/>
        <w:t>List of Indicators for KTM (IndicatorKTM_Enum)</w:t>
      </w:r>
      <w:bookmarkEnd w:id="1016"/>
      <w:bookmarkEnd w:id="1017"/>
    </w:p>
    <w:tbl>
      <w:tblPr>
        <w:tblW w:w="10120" w:type="dxa"/>
        <w:tblInd w:w="108" w:type="dxa"/>
        <w:tblLook w:val="04A0" w:firstRow="1" w:lastRow="0" w:firstColumn="1" w:lastColumn="0" w:noHBand="0" w:noVBand="1"/>
      </w:tblPr>
      <w:tblGrid>
        <w:gridCol w:w="10120"/>
      </w:tblGrid>
      <w:tr w:rsidR="00BF0382" w:rsidTr="00BB474C">
        <w:tc>
          <w:tcPr>
            <w:tcW w:w="1012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 indicator</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KA01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agricultural land required to be covered by advisory services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KA02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agricultural land required to be covered by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KA03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agricultural land required to be covered by measures to reduce pesticide pollution in agriculture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KA04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agricultural land where water pricing policy measures are required to achieve the objectives of Article 9</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KA05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bank/shore that require rehabilitation and/or restoration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KA06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bank/shore that require removal of hard infrastructure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KA07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buffer zones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KA08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buffer zones required to counteract acidification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KA09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forest land required to be covered by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KA10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forest land requiring measures to reduce nutrient inputs to levels compatible with the achievement of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KA11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irrigated land required to be covered by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KA12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land for which water pricing policy measures are required to achieve the objectives of Article 9</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KA13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land required to be covered by drinking water protection zones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KA14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land required to be covered by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KA15 – Area (km2) of land requiring regulation and/or codes of practice for use and disposal of chemicals in urbanised areas, transport and infrastructure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KA16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required to be covered by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KA17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required to be restored or reconnected to floodplains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KA18 – Area (km</w:t>
            </w:r>
            <w:r w:rsidRPr="008D6A99">
              <w:rPr>
                <w:rFonts w:ascii="Calibri" w:hAnsi="Calibri" w:cs="Calibri"/>
                <w:color w:val="000000"/>
                <w:sz w:val="22"/>
                <w:szCs w:val="22"/>
                <w:vertAlign w:val="superscript"/>
                <w:lang w:val="en-GB" w:eastAsia="en-GB"/>
              </w:rPr>
              <w:t>2</w:t>
            </w:r>
            <w:r w:rsidRPr="008D6A99">
              <w:rPr>
                <w:rFonts w:ascii="Calibri" w:hAnsi="Calibri" w:cs="Calibri"/>
                <w:color w:val="000000"/>
                <w:sz w:val="22"/>
                <w:szCs w:val="22"/>
                <w:lang w:val="en-GB" w:eastAsia="en-GB"/>
              </w:rPr>
              <w:t>) of water bodies requiring buffer zones to intercept or reduce sediment loads to water bodies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KL01 – Length (km) of bank/shore that require rehabilitation and/or restoration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KL02 – Length (km) of bank/shore that require removal of hard infrastructure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KL03 – Length (km) of remeandering of straightened river channels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KL04 – Length (km) of river network requiring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KL05 – Length (km) of river requiring bed restoration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KL06 – Length (km) of river requiring buffer zones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KL07 – Length (km) of river requiring buffer zones to counteract acidification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KL08 – Length (km) of river requiring buffer zones to intercept or reduce sediment loads to rivers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KL09 – Length (km) of transport infrastructure required to be subject to regulation and/or codes of practice for use and disposal of chemicals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KL10 – Length (km) of water bodies required to be restored or reconnected to floodplains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KL11 – Length (km) of water bodies requiring litter removal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KN01 – Number of advisory services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KN02 – Number of aquaculture sites/facilities for which measures are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KN03 – Number of barriers required to be tackled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KN04 – Number of Combined Sewer Overflows required to be upgraded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KN05 – Number of contaminated sites to be remediated or where preventative actions need to be taken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KN06 – Number of discharges required to be connected to sewerage network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KN07 – Number of drinking water protection zones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KN08 – Number of Farm Surveys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KN09 – Number of farms that need to be covered by advisory services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KN10 – Number of fish/continuity passes required to be installed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KN11 – Number of households required to be covered by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KN12 – Number of Individual Species Action Plans required for species identified as presenting particular risk levels for the achievement of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KN13 – Number of installations associated with priority substances requiring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KN14 – Number of installations for which water pricing policy measures are required to achieve the objectives of Article 9</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KN15 – Number of installations where upgrades or improvements are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KN16 – Number of mine discharges requiring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KN17 – Number of new permits required or permits that need to be updated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KN18 – Number of research studies etc that are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KN19 – Number of sites requiring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KN20 – Number of sources of litter that require control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KN21 – Number of species for which codes of practice for reducing the spread of invasive alien species are required to be developed and implemented for the achievement of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KN22 – Number of storm overflows required to be upgraded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KN23 – Number of storm overflows where sediment flow to surface water is required to be intercepted or reduced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KN24 – Number of substances requiring restrictions or bans on uses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KN25 – Number of surface water interceptors and treatment facilities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KN26 – Number of sustainable drainage systems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KN27 – Number of waste disposal sites required to be upgraded or remediated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KN28 – Number of wastewater treatment works requiring to be constructed or upgraded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KN29 – Number of water bodies required to be affected by drinking water protection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KN30 – Number of water bodies required to be covered by measures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KN31 – Number of water bodies required to have eradication or control measures for the achievement of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KN32 – Number of water bodies that are expected to achieve objectives as a result of research etc</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KN33 – Number of water bodies that need to be limed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KN34 – Number of water bodies where ecological flows need to be established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KN35 – Number of water bodies where the operational modification of hydro-peaking is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KP01 – Reduction (%) in water consumption required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KS01 – Population equivalent required to be treated by construction or upgrade of wastewater treatment plants to achieve objectives</w:t>
            </w:r>
          </w:p>
        </w:tc>
      </w:tr>
      <w:tr w:rsidR="00BF0382" w:rsidRPr="00D9555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Pr="008D6A99" w:rsidRDefault="00BF0382" w:rsidP="00BB474C">
            <w:pPr>
              <w:spacing w:after="0"/>
              <w:jc w:val="both"/>
              <w:rPr>
                <w:rFonts w:ascii="Calibri" w:hAnsi="Calibri" w:cs="Calibri"/>
                <w:color w:val="000000"/>
                <w:sz w:val="22"/>
                <w:szCs w:val="22"/>
                <w:lang w:val="en-GB" w:eastAsia="en-GB"/>
              </w:rPr>
            </w:pPr>
            <w:r w:rsidRPr="008D6A99">
              <w:rPr>
                <w:rFonts w:ascii="Calibri" w:hAnsi="Calibri" w:cs="Calibri"/>
                <w:color w:val="000000"/>
                <w:sz w:val="22"/>
                <w:szCs w:val="22"/>
                <w:lang w:val="en-GB" w:eastAsia="en-GB"/>
              </w:rPr>
              <w:t>KS02 – Population size for which water pricing policy measures are required to achieve the objectives of Article 9</w:t>
            </w:r>
          </w:p>
        </w:tc>
      </w:tr>
      <w:tr w:rsidR="00BF0382" w:rsidTr="00BB474C">
        <w:tc>
          <w:tcPr>
            <w:tcW w:w="10120" w:type="dxa"/>
            <w:tcBorders>
              <w:top w:val="nil"/>
              <w:left w:val="single" w:sz="4" w:space="0" w:color="auto"/>
              <w:bottom w:val="single" w:sz="4" w:space="0" w:color="auto"/>
              <w:right w:val="single" w:sz="4" w:space="0" w:color="auto"/>
            </w:tcBorders>
            <w:shd w:val="clear" w:color="auto" w:fill="auto"/>
            <w:vAlign w:val="bottom"/>
            <w:hideMark/>
          </w:tcPr>
          <w:p w:rsidR="00BF0382" w:rsidRDefault="00BF0382" w:rsidP="00BB474C">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KO99 – Other indicator</w:t>
            </w:r>
          </w:p>
        </w:tc>
      </w:tr>
    </w:tbl>
    <w:p w:rsidR="00BF0382" w:rsidRDefault="00BF0382" w:rsidP="00BF0382">
      <w:pPr>
        <w:tabs>
          <w:tab w:val="left" w:pos="2653"/>
        </w:tabs>
        <w:spacing w:after="0"/>
        <w:jc w:val="both"/>
        <w:rPr>
          <w:color w:val="000000"/>
          <w:sz w:val="22"/>
          <w:szCs w:val="22"/>
          <w:lang w:eastAsia="en-GB"/>
        </w:rPr>
      </w:pPr>
    </w:p>
    <w:p w:rsidR="00BF0382" w:rsidRDefault="00BF0382" w:rsidP="00BF0382">
      <w:pPr>
        <w:tabs>
          <w:tab w:val="left" w:pos="1418"/>
          <w:tab w:val="left" w:pos="2653"/>
        </w:tabs>
        <w:spacing w:after="0"/>
        <w:jc w:val="both"/>
        <w:rPr>
          <w:b/>
          <w:color w:val="000000"/>
          <w:sz w:val="22"/>
          <w:szCs w:val="22"/>
          <w:lang w:eastAsia="en-GB"/>
        </w:rPr>
      </w:pPr>
    </w:p>
    <w:p w:rsidR="00BF0382" w:rsidRDefault="00BF0382" w:rsidP="00BF0382">
      <w:pPr>
        <w:tabs>
          <w:tab w:val="left" w:pos="1418"/>
          <w:tab w:val="left" w:pos="2653"/>
        </w:tabs>
        <w:spacing w:after="0"/>
        <w:jc w:val="both"/>
        <w:rPr>
          <w:b/>
          <w:color w:val="000000"/>
          <w:sz w:val="22"/>
          <w:szCs w:val="22"/>
          <w:lang w:eastAsia="en-GB"/>
        </w:rPr>
      </w:pPr>
    </w:p>
    <w:p w:rsidR="00BF0382" w:rsidRDefault="00BF0382" w:rsidP="00BF0382">
      <w:pPr>
        <w:spacing w:after="0"/>
        <w:jc w:val="both"/>
        <w:rPr>
          <w:color w:val="000000"/>
          <w:sz w:val="22"/>
          <w:szCs w:val="22"/>
          <w:lang w:eastAsia="en-GB"/>
        </w:rPr>
      </w:pPr>
      <w:r>
        <w:rPr>
          <w:color w:val="000000"/>
          <w:sz w:val="22"/>
          <w:szCs w:val="22"/>
          <w:lang w:eastAsia="en-GB"/>
        </w:rPr>
        <w:br w:type="page"/>
      </w:r>
    </w:p>
    <w:p w:rsidR="00BF0382" w:rsidRDefault="00BF0382" w:rsidP="00BF0382">
      <w:pPr>
        <w:jc w:val="both"/>
        <w:outlineLvl w:val="0"/>
        <w:rPr>
          <w:b/>
        </w:rPr>
      </w:pPr>
      <w:bookmarkStart w:id="1018" w:name="_Toc432666148"/>
      <w:bookmarkStart w:id="1019" w:name="_Toc437520344"/>
      <w:r>
        <w:rPr>
          <w:b/>
        </w:rPr>
        <w:t>Annex 9:</w:t>
      </w:r>
      <w:r>
        <w:rPr>
          <w:b/>
        </w:rPr>
        <w:tab/>
        <w:t>Reference Structure</w:t>
      </w:r>
      <w:bookmarkEnd w:id="1018"/>
      <w:bookmarkEnd w:id="1019"/>
    </w:p>
    <w:p w:rsidR="00BF0382" w:rsidRPr="008D6A99" w:rsidRDefault="00BF0382" w:rsidP="00BF0382">
      <w:pPr>
        <w:jc w:val="both"/>
        <w:rPr>
          <w:lang w:val="en-GB" w:eastAsia="en-GB"/>
        </w:rPr>
      </w:pPr>
      <w:r w:rsidRPr="008D6A99">
        <w:rPr>
          <w:lang w:val="en-GB" w:eastAsia="en-GB"/>
        </w:rPr>
        <w:t xml:space="preserve">All the references to RBMP sections or background documents will be reported according to the schema structure presented below (named ReferenceType in the model and schemas). </w:t>
      </w:r>
    </w:p>
    <w:p w:rsidR="00BF0382" w:rsidRPr="008D6A99" w:rsidRDefault="00BF0382" w:rsidP="00BF0382">
      <w:pPr>
        <w:jc w:val="both"/>
        <w:rPr>
          <w:lang w:val="en-GB"/>
        </w:rPr>
      </w:pPr>
      <w:r w:rsidRPr="008D6A99">
        <w:rPr>
          <w:lang w:val="en-GB"/>
        </w:rPr>
        <w:t xml:space="preserve">Copies of RBMPs are expected to be uploaded to WISE (to the CDR). As regards background documents, Member States will have two options (see section </w:t>
      </w:r>
      <w:r>
        <w:fldChar w:fldCharType="begin"/>
      </w:r>
      <w:r w:rsidRPr="008D6A99">
        <w:rPr>
          <w:lang w:val="en-GB"/>
        </w:rPr>
        <w:instrText xml:space="preserve"> REF _Ref403029344 \r \h  \* MERGEFORMAT </w:instrText>
      </w:r>
      <w:r>
        <w:fldChar w:fldCharType="separate"/>
      </w:r>
      <w:r w:rsidRPr="008D6A99">
        <w:rPr>
          <w:lang w:val="en-GB"/>
        </w:rPr>
        <w:t>1.7</w:t>
      </w:r>
      <w:r>
        <w:fldChar w:fldCharType="end"/>
      </w:r>
      <w:r w:rsidRPr="008D6A99">
        <w:rPr>
          <w:lang w:val="en-GB"/>
        </w:rPr>
        <w:t>):</w:t>
      </w:r>
    </w:p>
    <w:p w:rsidR="00BF0382" w:rsidRPr="008D6A99" w:rsidRDefault="00BF0382" w:rsidP="00BF0382">
      <w:pPr>
        <w:jc w:val="both"/>
        <w:rPr>
          <w:lang w:val="en-GB"/>
        </w:rPr>
      </w:pPr>
      <w:r w:rsidRPr="008D6A99">
        <w:rPr>
          <w:lang w:val="en-GB"/>
        </w:rPr>
        <w:t>1.</w:t>
      </w:r>
      <w:r w:rsidRPr="008D6A99">
        <w:rPr>
          <w:lang w:val="en-GB"/>
        </w:rPr>
        <w:tab/>
        <w:t>Upload a copy of the document to WISE; or</w:t>
      </w:r>
    </w:p>
    <w:p w:rsidR="00BF0382" w:rsidRPr="008D6A99" w:rsidRDefault="00BF0382" w:rsidP="00BF0382">
      <w:pPr>
        <w:jc w:val="both"/>
        <w:rPr>
          <w:lang w:val="en-GB"/>
        </w:rPr>
      </w:pPr>
      <w:r w:rsidRPr="008D6A99">
        <w:rPr>
          <w:lang w:val="en-GB"/>
        </w:rPr>
        <w:t>2.</w:t>
      </w:r>
      <w:r w:rsidRPr="008D6A99">
        <w:rPr>
          <w:lang w:val="en-GB"/>
        </w:rPr>
        <w:tab/>
        <w:t xml:space="preserve">Provide a hyperlink to the document stored on the Member State’s server. Where this option is selected, the Member State </w:t>
      </w:r>
      <w:r w:rsidRPr="008D6A99">
        <w:rPr>
          <w:b/>
          <w:lang w:val="en-GB"/>
        </w:rPr>
        <w:t>must</w:t>
      </w:r>
      <w:r w:rsidRPr="008D6A99">
        <w:rPr>
          <w:lang w:val="en-GB"/>
        </w:rPr>
        <w:t xml:space="preserve"> guarantee that the hyperlink will remain stable and active for a period of 6 years after reporting, and that the document referred to will not be revised or updated.</w:t>
      </w:r>
    </w:p>
    <w:p w:rsidR="00BF0382" w:rsidRPr="008D6A99" w:rsidRDefault="00BF0382" w:rsidP="00BF0382">
      <w:pPr>
        <w:jc w:val="both"/>
        <w:rPr>
          <w:lang w:val="en-GB" w:eastAsia="en-GB"/>
        </w:rPr>
      </w:pPr>
      <w:r w:rsidRPr="008D6A99">
        <w:rPr>
          <w:lang w:val="en-GB" w:eastAsia="en-GB"/>
        </w:rPr>
        <w:t xml:space="preserve">In any case Member States are expected to report the </w:t>
      </w:r>
      <w:r w:rsidRPr="008D6A99">
        <w:rPr>
          <w:b/>
          <w:lang w:val="en-GB" w:eastAsia="en-GB"/>
        </w:rPr>
        <w:t>precise section or page range</w:t>
      </w:r>
      <w:r w:rsidRPr="008D6A99">
        <w:rPr>
          <w:lang w:val="en-GB" w:eastAsia="en-GB"/>
        </w:rPr>
        <w:t xml:space="preserve"> where the relevant information is to be found in the RBMPs or background documents. The following schema structure allows reporting of the reference to specific sections/page ranges of the RBMPs or background documents, for either of the options above. The elements ' Subject', 'DocumentName' and 'Bookmark' are expected to be reported in all cases. The elements 'FileName' and 'Hyperlink' are alternative, depending on the option chosen. If the file has been uploaded in the CDR (option 1 above) the element 'FileName' will allow a precise identification of the document. If option 2 is chosen the element 'Hyperlink' will allow providing the URL of the document. In all cases more than one reference can be provided.</w:t>
      </w:r>
    </w:p>
    <w:p w:rsidR="00BF0382" w:rsidRPr="008D6A99" w:rsidRDefault="00BF0382" w:rsidP="00BF0382">
      <w:pPr>
        <w:spacing w:after="120"/>
        <w:jc w:val="both"/>
        <w:rPr>
          <w:b/>
          <w:szCs w:val="24"/>
          <w:lang w:val="en-GB"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F0382" w:rsidRPr="00D95552" w:rsidTr="00BB474C">
        <w:tc>
          <w:tcPr>
            <w:tcW w:w="9889" w:type="dxa"/>
            <w:shd w:val="clear" w:color="auto" w:fill="auto"/>
          </w:tcPr>
          <w:p w:rsidR="00BF0382" w:rsidRPr="008D6A99" w:rsidRDefault="00BF0382" w:rsidP="00BB474C">
            <w:pPr>
              <w:spacing w:after="120"/>
              <w:jc w:val="both"/>
              <w:rPr>
                <w:szCs w:val="24"/>
                <w:lang w:val="en-GB"/>
              </w:rPr>
            </w:pPr>
            <w:r w:rsidRPr="008D6A99">
              <w:rPr>
                <w:b/>
                <w:szCs w:val="24"/>
                <w:lang w:val="en-GB"/>
              </w:rPr>
              <w:t>Schema element</w:t>
            </w:r>
            <w:r w:rsidRPr="008D6A99">
              <w:rPr>
                <w:szCs w:val="24"/>
                <w:lang w:val="en-GB"/>
              </w:rPr>
              <w:t>:</w:t>
            </w:r>
            <w:r w:rsidRPr="008D6A99">
              <w:rPr>
                <w:b/>
                <w:szCs w:val="24"/>
                <w:lang w:val="en-GB"/>
              </w:rPr>
              <w:t xml:space="preserve"> </w:t>
            </w:r>
            <w:r w:rsidRPr="008D6A99">
              <w:rPr>
                <w:szCs w:val="24"/>
                <w:lang w:val="en-GB"/>
              </w:rPr>
              <w:t>subject</w:t>
            </w:r>
          </w:p>
          <w:p w:rsidR="00BF0382" w:rsidRPr="008D6A99" w:rsidRDefault="00BF0382" w:rsidP="00BB474C">
            <w:pPr>
              <w:spacing w:after="120"/>
              <w:jc w:val="both"/>
              <w:rPr>
                <w:szCs w:val="24"/>
                <w:lang w:val="en-GB"/>
              </w:rPr>
            </w:pPr>
            <w:r w:rsidRPr="008D6A99">
              <w:rPr>
                <w:b/>
                <w:szCs w:val="24"/>
                <w:lang w:val="en-GB"/>
              </w:rPr>
              <w:t xml:space="preserve">Field type / facets: </w:t>
            </w:r>
            <w:r w:rsidRPr="008D6A99">
              <w:rPr>
                <w:szCs w:val="24"/>
                <w:lang w:val="en-GB"/>
              </w:rPr>
              <w:t>String250Type</w:t>
            </w:r>
          </w:p>
          <w:p w:rsidR="00BF0382" w:rsidRPr="008D6A99" w:rsidRDefault="00BF0382" w:rsidP="00BB474C">
            <w:pPr>
              <w:spacing w:after="120"/>
              <w:jc w:val="both"/>
              <w:rPr>
                <w:szCs w:val="24"/>
                <w:lang w:val="en-GB"/>
              </w:rPr>
            </w:pPr>
            <w:r w:rsidRPr="008D6A99">
              <w:rPr>
                <w:b/>
                <w:szCs w:val="24"/>
                <w:lang w:val="en-GB"/>
              </w:rPr>
              <w:t>Properties</w:t>
            </w:r>
            <w:r w:rsidRPr="008D6A99">
              <w:rPr>
                <w:szCs w:val="24"/>
                <w:lang w:val="en-GB"/>
              </w:rPr>
              <w:t xml:space="preserve">: maxOccur = 1 minOccur = 1  </w:t>
            </w:r>
          </w:p>
          <w:p w:rsidR="00BF0382" w:rsidRPr="008D6A99" w:rsidRDefault="00BF0382" w:rsidP="00BB474C">
            <w:pPr>
              <w:spacing w:after="120"/>
              <w:jc w:val="both"/>
              <w:rPr>
                <w:b/>
                <w:szCs w:val="24"/>
                <w:lang w:val="en-GB"/>
              </w:rPr>
            </w:pPr>
            <w:r w:rsidRPr="008D6A99">
              <w:rPr>
                <w:b/>
                <w:szCs w:val="24"/>
                <w:lang w:val="en-GB"/>
              </w:rPr>
              <w:t>Guidance on completion of schema element</w:t>
            </w:r>
            <w:r w:rsidRPr="008D6A99">
              <w:rPr>
                <w:szCs w:val="24"/>
                <w:lang w:val="en-GB"/>
              </w:rPr>
              <w:t xml:space="preserve">: Required. Describe in a few words the subject matter of the reference provided (e.g. methodology for assessment of ecological potential, methodology for the assessment of upward trends in groundwater, information on basic measures, etc). </w:t>
            </w:r>
          </w:p>
        </w:tc>
      </w:tr>
      <w:tr w:rsidR="00BF0382" w:rsidRPr="00D95552" w:rsidTr="00BB474C">
        <w:tc>
          <w:tcPr>
            <w:tcW w:w="9889" w:type="dxa"/>
            <w:shd w:val="clear" w:color="auto" w:fill="auto"/>
          </w:tcPr>
          <w:p w:rsidR="00BF0382" w:rsidRPr="008D6A99" w:rsidRDefault="00BF0382" w:rsidP="00BB474C">
            <w:pPr>
              <w:spacing w:after="120"/>
              <w:jc w:val="both"/>
              <w:rPr>
                <w:szCs w:val="24"/>
                <w:lang w:val="en-GB"/>
              </w:rPr>
            </w:pPr>
            <w:r w:rsidRPr="008D6A99">
              <w:rPr>
                <w:b/>
                <w:szCs w:val="24"/>
                <w:lang w:val="en-GB"/>
              </w:rPr>
              <w:t>Schema element</w:t>
            </w:r>
            <w:r w:rsidRPr="008D6A99">
              <w:rPr>
                <w:szCs w:val="24"/>
                <w:lang w:val="en-GB"/>
              </w:rPr>
              <w:t>:</w:t>
            </w:r>
            <w:r w:rsidRPr="008D6A99">
              <w:rPr>
                <w:b/>
                <w:szCs w:val="24"/>
                <w:lang w:val="en-GB"/>
              </w:rPr>
              <w:t xml:space="preserve"> </w:t>
            </w:r>
            <w:r w:rsidRPr="008D6A99">
              <w:rPr>
                <w:szCs w:val="24"/>
                <w:lang w:val="en-GB"/>
              </w:rPr>
              <w:t>documentName</w:t>
            </w:r>
          </w:p>
          <w:p w:rsidR="00BF0382" w:rsidRPr="008D6A99" w:rsidRDefault="00BF0382" w:rsidP="00BB474C">
            <w:pPr>
              <w:spacing w:after="120"/>
              <w:jc w:val="both"/>
              <w:rPr>
                <w:szCs w:val="24"/>
                <w:lang w:val="en-GB"/>
              </w:rPr>
            </w:pPr>
            <w:r w:rsidRPr="008D6A99">
              <w:rPr>
                <w:b/>
                <w:szCs w:val="24"/>
                <w:lang w:val="en-GB"/>
              </w:rPr>
              <w:t xml:space="preserve">Field type / facets: </w:t>
            </w:r>
            <w:r w:rsidRPr="008D6A99">
              <w:rPr>
                <w:szCs w:val="24"/>
                <w:lang w:val="en-GB"/>
              </w:rPr>
              <w:t>String250Type</w:t>
            </w:r>
          </w:p>
          <w:p w:rsidR="00BF0382" w:rsidRPr="008D6A99" w:rsidRDefault="00BF0382" w:rsidP="00BB474C">
            <w:pPr>
              <w:spacing w:after="120"/>
              <w:jc w:val="both"/>
              <w:rPr>
                <w:szCs w:val="24"/>
                <w:lang w:val="en-GB"/>
              </w:rPr>
            </w:pPr>
            <w:r w:rsidRPr="008D6A99">
              <w:rPr>
                <w:b/>
                <w:szCs w:val="24"/>
                <w:lang w:val="en-GB"/>
              </w:rPr>
              <w:t>Properties</w:t>
            </w:r>
            <w:r w:rsidRPr="008D6A99">
              <w:rPr>
                <w:szCs w:val="24"/>
                <w:lang w:val="en-GB"/>
              </w:rPr>
              <w:t xml:space="preserve">: maxOccur = 1 minOccur = 1  </w:t>
            </w:r>
          </w:p>
          <w:p w:rsidR="00BF0382" w:rsidRPr="008D6A99" w:rsidRDefault="00BF0382" w:rsidP="00BB474C">
            <w:pPr>
              <w:spacing w:after="120"/>
              <w:jc w:val="both"/>
              <w:rPr>
                <w:b/>
                <w:szCs w:val="24"/>
                <w:lang w:val="en-GB"/>
              </w:rPr>
            </w:pPr>
            <w:r w:rsidRPr="008D6A99">
              <w:rPr>
                <w:b/>
                <w:szCs w:val="24"/>
                <w:lang w:val="en-GB"/>
              </w:rPr>
              <w:t>Guidance on completion of schema element</w:t>
            </w:r>
            <w:r w:rsidRPr="008D6A99">
              <w:rPr>
                <w:szCs w:val="24"/>
                <w:lang w:val="en-GB"/>
              </w:rPr>
              <w:t>: Required. Provide the name of the reference document where other relevant information can be found. The name should identify the document unequivocally. For each document, either upload the document as a file or provide a hyperlink (see elements below)</w:t>
            </w:r>
          </w:p>
        </w:tc>
      </w:tr>
      <w:tr w:rsidR="00BF0382" w:rsidRPr="00D95552" w:rsidTr="00BB474C">
        <w:tc>
          <w:tcPr>
            <w:tcW w:w="9889"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120"/>
              <w:jc w:val="both"/>
              <w:rPr>
                <w:szCs w:val="24"/>
                <w:lang w:val="en-GB"/>
              </w:rPr>
            </w:pPr>
            <w:r w:rsidRPr="008D6A99">
              <w:rPr>
                <w:b/>
                <w:szCs w:val="24"/>
                <w:lang w:val="en-GB"/>
              </w:rPr>
              <w:t xml:space="preserve">Schema element: </w:t>
            </w:r>
            <w:r w:rsidRPr="008D6A99">
              <w:rPr>
                <w:szCs w:val="24"/>
                <w:lang w:val="en-GB"/>
              </w:rPr>
              <w:t>bookmark</w:t>
            </w:r>
          </w:p>
          <w:p w:rsidR="00BF0382" w:rsidRPr="008D6A99" w:rsidRDefault="00BF0382" w:rsidP="00BB474C">
            <w:pPr>
              <w:spacing w:after="120"/>
              <w:jc w:val="both"/>
              <w:rPr>
                <w:szCs w:val="24"/>
                <w:lang w:val="en-GB"/>
              </w:rPr>
            </w:pPr>
            <w:r w:rsidRPr="008D6A99">
              <w:rPr>
                <w:b/>
                <w:szCs w:val="24"/>
                <w:lang w:val="en-GB"/>
              </w:rPr>
              <w:t xml:space="preserve">Field type / facets: </w:t>
            </w:r>
            <w:r w:rsidRPr="008D6A99">
              <w:rPr>
                <w:szCs w:val="24"/>
                <w:lang w:val="en-GB"/>
              </w:rPr>
              <w:t>String50Type</w:t>
            </w:r>
          </w:p>
          <w:p w:rsidR="00BF0382" w:rsidRPr="008D6A99" w:rsidRDefault="00BF0382" w:rsidP="00BB474C">
            <w:pPr>
              <w:spacing w:after="120"/>
              <w:jc w:val="both"/>
              <w:rPr>
                <w:szCs w:val="24"/>
                <w:lang w:val="en-GB"/>
              </w:rPr>
            </w:pPr>
            <w:r w:rsidRPr="008D6A99">
              <w:rPr>
                <w:b/>
                <w:szCs w:val="24"/>
                <w:lang w:val="en-GB"/>
              </w:rPr>
              <w:t>Properties</w:t>
            </w:r>
            <w:r w:rsidRPr="008D6A99">
              <w:rPr>
                <w:szCs w:val="24"/>
                <w:lang w:val="en-GB"/>
              </w:rPr>
              <w:t xml:space="preserve">: maxOccur = 1 minOccur = 1  </w:t>
            </w:r>
          </w:p>
          <w:p w:rsidR="00BF0382" w:rsidRPr="008D6A99" w:rsidRDefault="00BF0382" w:rsidP="00BB474C">
            <w:pPr>
              <w:spacing w:after="120"/>
              <w:jc w:val="both"/>
              <w:rPr>
                <w:b/>
                <w:szCs w:val="24"/>
                <w:lang w:val="en-GB"/>
              </w:rPr>
            </w:pPr>
            <w:r w:rsidRPr="008D6A99">
              <w:rPr>
                <w:b/>
                <w:szCs w:val="24"/>
                <w:lang w:val="en-GB"/>
              </w:rPr>
              <w:t xml:space="preserve">Guidance on completion of schema element: </w:t>
            </w:r>
            <w:r w:rsidRPr="008D6A99">
              <w:rPr>
                <w:szCs w:val="24"/>
                <w:lang w:val="en-GB"/>
              </w:rPr>
              <w:t>Required. For each document provide the chapter/s, sections/s or page range/s where the relevant information can be found.</w:t>
            </w:r>
          </w:p>
        </w:tc>
      </w:tr>
      <w:tr w:rsidR="00BF0382" w:rsidRPr="00D95552" w:rsidTr="00BB474C">
        <w:tc>
          <w:tcPr>
            <w:tcW w:w="9889" w:type="dxa"/>
            <w:tcBorders>
              <w:top w:val="single" w:sz="4" w:space="0" w:color="auto"/>
              <w:left w:val="single" w:sz="4" w:space="0" w:color="auto"/>
              <w:bottom w:val="single" w:sz="4" w:space="0" w:color="auto"/>
              <w:right w:val="single" w:sz="4" w:space="0" w:color="auto"/>
            </w:tcBorders>
            <w:shd w:val="clear" w:color="auto" w:fill="auto"/>
          </w:tcPr>
          <w:p w:rsidR="00BF0382" w:rsidRPr="008D6A99" w:rsidRDefault="00BF0382" w:rsidP="00BB474C">
            <w:pPr>
              <w:spacing w:after="120"/>
              <w:jc w:val="both"/>
              <w:rPr>
                <w:szCs w:val="24"/>
                <w:lang w:val="en-GB"/>
              </w:rPr>
            </w:pPr>
            <w:r w:rsidRPr="008D6A99">
              <w:rPr>
                <w:b/>
                <w:szCs w:val="24"/>
                <w:lang w:val="en-GB"/>
              </w:rPr>
              <w:t xml:space="preserve">Schema element: </w:t>
            </w:r>
            <w:r w:rsidRPr="008D6A99">
              <w:rPr>
                <w:szCs w:val="24"/>
                <w:lang w:val="en-GB"/>
              </w:rPr>
              <w:t>fileName</w:t>
            </w:r>
          </w:p>
          <w:p w:rsidR="00BF0382" w:rsidRPr="008D6A99" w:rsidRDefault="00BF0382" w:rsidP="00BB474C">
            <w:pPr>
              <w:spacing w:after="120"/>
              <w:jc w:val="both"/>
              <w:rPr>
                <w:szCs w:val="24"/>
                <w:lang w:val="en-GB"/>
              </w:rPr>
            </w:pPr>
            <w:r w:rsidRPr="008D6A99">
              <w:rPr>
                <w:b/>
                <w:szCs w:val="24"/>
                <w:lang w:val="en-GB"/>
              </w:rPr>
              <w:t xml:space="preserve">Field type / facets: </w:t>
            </w:r>
            <w:r w:rsidRPr="008D6A99">
              <w:rPr>
                <w:szCs w:val="24"/>
                <w:lang w:val="en-GB"/>
              </w:rPr>
              <w:t>String50Type</w:t>
            </w:r>
          </w:p>
          <w:p w:rsidR="00BF0382" w:rsidRPr="008D6A99" w:rsidRDefault="00BF0382" w:rsidP="00BB474C">
            <w:pPr>
              <w:spacing w:after="120"/>
              <w:jc w:val="both"/>
              <w:rPr>
                <w:szCs w:val="24"/>
                <w:lang w:val="en-GB"/>
              </w:rPr>
            </w:pPr>
            <w:r w:rsidRPr="008D6A99">
              <w:rPr>
                <w:b/>
                <w:szCs w:val="24"/>
                <w:lang w:val="en-GB"/>
              </w:rPr>
              <w:t>Properties</w:t>
            </w:r>
            <w:r w:rsidRPr="008D6A99">
              <w:rPr>
                <w:szCs w:val="24"/>
                <w:lang w:val="en-GB"/>
              </w:rPr>
              <w:t xml:space="preserve">: maxOccur = 1 minOccur = 0  </w:t>
            </w:r>
          </w:p>
          <w:p w:rsidR="00BF0382" w:rsidRPr="008D6A99" w:rsidRDefault="00BF0382" w:rsidP="00BB474C">
            <w:pPr>
              <w:spacing w:after="120"/>
              <w:jc w:val="both"/>
              <w:rPr>
                <w:szCs w:val="24"/>
                <w:lang w:val="en-GB"/>
              </w:rPr>
            </w:pPr>
            <w:r w:rsidRPr="008D6A99">
              <w:rPr>
                <w:b/>
                <w:szCs w:val="24"/>
                <w:lang w:val="en-GB"/>
              </w:rPr>
              <w:t xml:space="preserve">Guidance on completion of schema element: </w:t>
            </w:r>
            <w:r w:rsidRPr="008D6A99">
              <w:rPr>
                <w:szCs w:val="24"/>
                <w:lang w:val="en-GB"/>
              </w:rPr>
              <w:t>Conditional</w:t>
            </w:r>
            <w:r w:rsidRPr="008D6A99">
              <w:rPr>
                <w:b/>
                <w:szCs w:val="24"/>
                <w:lang w:val="en-GB"/>
              </w:rPr>
              <w:t xml:space="preserve">. </w:t>
            </w:r>
            <w:r w:rsidRPr="008D6A99">
              <w:rPr>
                <w:szCs w:val="24"/>
                <w:lang w:val="en-GB"/>
              </w:rPr>
              <w:t xml:space="preserve">If the file containing the reference is uploaded to WISE, provide the file name of the uploaded document. </w:t>
            </w:r>
          </w:p>
          <w:p w:rsidR="00BF0382" w:rsidRPr="008D6A99" w:rsidRDefault="00BF0382" w:rsidP="00BB474C">
            <w:pPr>
              <w:spacing w:after="120"/>
              <w:jc w:val="both"/>
              <w:rPr>
                <w:szCs w:val="24"/>
                <w:lang w:val="en-GB"/>
              </w:rPr>
            </w:pPr>
            <w:r w:rsidRPr="008D6A99">
              <w:rPr>
                <w:szCs w:val="24"/>
                <w:lang w:val="en-GB"/>
              </w:rPr>
              <w:t xml:space="preserve">Guidance on the naming of files and documents to be uploaded to WISE is included in the user manual for reporting to WISE (see Annex 6). </w:t>
            </w:r>
          </w:p>
          <w:p w:rsidR="00BF0382" w:rsidRPr="008D6A99" w:rsidRDefault="00BF0382" w:rsidP="00BB474C">
            <w:pPr>
              <w:spacing w:after="120"/>
              <w:jc w:val="both"/>
              <w:rPr>
                <w:szCs w:val="24"/>
                <w:lang w:val="en-GB"/>
              </w:rPr>
            </w:pPr>
            <w:r w:rsidRPr="008D6A99">
              <w:rPr>
                <w:b/>
                <w:szCs w:val="24"/>
                <w:lang w:val="en-GB"/>
              </w:rPr>
              <w:t xml:space="preserve">Quality checks: </w:t>
            </w:r>
            <w:r w:rsidRPr="008D6A99">
              <w:rPr>
                <w:szCs w:val="24"/>
                <w:lang w:val="en-GB"/>
              </w:rPr>
              <w:t xml:space="preserve">Conditional check: Must be reported if element “Hyperlink” is not reported. Must not be reported if “Hyperlink” is reported. Only one value can be reported for each DocumentName. </w:t>
            </w:r>
          </w:p>
          <w:p w:rsidR="00BF0382" w:rsidRPr="008D6A99" w:rsidRDefault="00BF0382" w:rsidP="00BB474C">
            <w:pPr>
              <w:spacing w:after="120"/>
              <w:jc w:val="both"/>
              <w:rPr>
                <w:szCs w:val="24"/>
                <w:lang w:val="en-GB"/>
              </w:rPr>
            </w:pPr>
            <w:r w:rsidRPr="008D6A99">
              <w:rPr>
                <w:szCs w:val="24"/>
                <w:lang w:val="en-GB"/>
              </w:rPr>
              <w:t>Cross Schema Check: Check FileName is consistent with the names of the files that have been uploaded in the CDR.</w:t>
            </w:r>
          </w:p>
        </w:tc>
      </w:tr>
      <w:tr w:rsidR="00BF0382" w:rsidRPr="00D95552" w:rsidTr="00BB474C">
        <w:tc>
          <w:tcPr>
            <w:tcW w:w="9889" w:type="dxa"/>
            <w:tcBorders>
              <w:top w:val="single" w:sz="4" w:space="0" w:color="auto"/>
              <w:left w:val="single" w:sz="4" w:space="0" w:color="auto"/>
              <w:bottom w:val="single" w:sz="4" w:space="0" w:color="auto"/>
              <w:right w:val="single" w:sz="4" w:space="0" w:color="auto"/>
            </w:tcBorders>
            <w:shd w:val="clear" w:color="auto" w:fill="auto"/>
          </w:tcPr>
          <w:p w:rsidR="00BF0382" w:rsidRPr="0082582C" w:rsidRDefault="00BF0382" w:rsidP="00BB474C">
            <w:pPr>
              <w:spacing w:after="120"/>
              <w:jc w:val="both"/>
              <w:rPr>
                <w:b/>
                <w:szCs w:val="24"/>
                <w:lang w:val="en-GB"/>
              </w:rPr>
            </w:pPr>
            <w:r w:rsidRPr="0082582C">
              <w:rPr>
                <w:b/>
                <w:szCs w:val="24"/>
                <w:lang w:val="en-GB"/>
              </w:rPr>
              <w:t xml:space="preserve">Schema element: </w:t>
            </w:r>
            <w:r w:rsidRPr="0082582C">
              <w:rPr>
                <w:szCs w:val="24"/>
                <w:lang w:val="en-GB"/>
              </w:rPr>
              <w:t>hyperlink</w:t>
            </w:r>
          </w:p>
          <w:p w:rsidR="00BF0382" w:rsidRPr="0082582C" w:rsidRDefault="00BF0382" w:rsidP="00BB474C">
            <w:pPr>
              <w:spacing w:after="120"/>
              <w:jc w:val="both"/>
              <w:rPr>
                <w:szCs w:val="24"/>
                <w:lang w:val="en-GB"/>
              </w:rPr>
            </w:pPr>
            <w:r w:rsidRPr="0082582C">
              <w:rPr>
                <w:b/>
                <w:szCs w:val="24"/>
                <w:lang w:val="en-GB"/>
              </w:rPr>
              <w:t xml:space="preserve">Field type / facets: </w:t>
            </w:r>
            <w:r w:rsidRPr="0082582C">
              <w:rPr>
                <w:szCs w:val="24"/>
                <w:lang w:val="en-GB"/>
              </w:rPr>
              <w:t>String250Type</w:t>
            </w:r>
          </w:p>
          <w:p w:rsidR="00BF0382" w:rsidRPr="0082582C" w:rsidRDefault="00BF0382" w:rsidP="00BB474C">
            <w:pPr>
              <w:spacing w:after="120"/>
              <w:jc w:val="both"/>
              <w:rPr>
                <w:b/>
                <w:szCs w:val="24"/>
                <w:lang w:val="en-GB"/>
              </w:rPr>
            </w:pPr>
            <w:r w:rsidRPr="0082582C">
              <w:rPr>
                <w:b/>
                <w:szCs w:val="24"/>
                <w:lang w:val="en-GB"/>
              </w:rPr>
              <w:t>Properties</w:t>
            </w:r>
            <w:r w:rsidRPr="0082582C">
              <w:rPr>
                <w:szCs w:val="24"/>
                <w:lang w:val="en-GB"/>
              </w:rPr>
              <w:t xml:space="preserve">: maxOccur = 1 minOccur = 0  </w:t>
            </w:r>
          </w:p>
          <w:p w:rsidR="00BF0382" w:rsidRPr="008D6A99" w:rsidRDefault="00BF0382" w:rsidP="00BB474C">
            <w:pPr>
              <w:spacing w:after="120"/>
              <w:jc w:val="both"/>
              <w:rPr>
                <w:szCs w:val="24"/>
                <w:lang w:val="en-GB"/>
              </w:rPr>
            </w:pPr>
            <w:r w:rsidRPr="008D6A99">
              <w:rPr>
                <w:b/>
                <w:szCs w:val="24"/>
                <w:lang w:val="en-GB"/>
              </w:rPr>
              <w:t xml:space="preserve">Guidance on completion of schema element: </w:t>
            </w:r>
            <w:r w:rsidRPr="008D6A99">
              <w:rPr>
                <w:szCs w:val="24"/>
                <w:lang w:val="en-GB"/>
              </w:rPr>
              <w:t>Conditional.</w:t>
            </w:r>
            <w:r w:rsidRPr="008D6A99">
              <w:rPr>
                <w:b/>
                <w:szCs w:val="24"/>
                <w:lang w:val="en-GB"/>
              </w:rPr>
              <w:t xml:space="preserve"> </w:t>
            </w:r>
            <w:r w:rsidRPr="008D6A99">
              <w:rPr>
                <w:szCs w:val="24"/>
                <w:lang w:val="en-GB"/>
              </w:rPr>
              <w:t>If the document has not been uploaded to WISE, provide a hyperlink to the relevant background document. The Member State must guarantee that the hyperlink will remain stable and active for a period of 6 years after reporting, and that the information referred to will not be revised or updated.</w:t>
            </w:r>
          </w:p>
          <w:p w:rsidR="00BF0382" w:rsidRPr="008D6A99" w:rsidRDefault="00BF0382" w:rsidP="00BB474C">
            <w:pPr>
              <w:spacing w:after="120"/>
              <w:jc w:val="both"/>
              <w:rPr>
                <w:b/>
                <w:szCs w:val="24"/>
                <w:lang w:val="en-GB"/>
              </w:rPr>
            </w:pPr>
            <w:r w:rsidRPr="008D6A99">
              <w:rPr>
                <w:b/>
                <w:szCs w:val="24"/>
                <w:lang w:val="en-GB"/>
              </w:rPr>
              <w:t xml:space="preserve">Quality checks: </w:t>
            </w:r>
            <w:r w:rsidRPr="008D6A99">
              <w:rPr>
                <w:szCs w:val="24"/>
                <w:lang w:val="en-GB"/>
              </w:rPr>
              <w:t>Conditional check: Must be reported if element “FileName” is not reported.  Must not be reported if “FileName” is reported. Only one value can be reported for each DocumentName</w:t>
            </w:r>
          </w:p>
        </w:tc>
      </w:tr>
    </w:tbl>
    <w:p w:rsidR="00BF0382" w:rsidRPr="008D6A99" w:rsidRDefault="00BF0382" w:rsidP="00BF0382">
      <w:pPr>
        <w:jc w:val="both"/>
        <w:rPr>
          <w:lang w:val="en-GB"/>
        </w:rPr>
      </w:pPr>
    </w:p>
    <w:p w:rsidR="00BF0382" w:rsidRPr="008D6A99" w:rsidRDefault="00BF0382" w:rsidP="00BF0382">
      <w:pPr>
        <w:spacing w:after="0"/>
        <w:jc w:val="both"/>
        <w:rPr>
          <w:lang w:val="en-GB"/>
        </w:rPr>
      </w:pPr>
      <w:r w:rsidRPr="008D6A99">
        <w:rPr>
          <w:lang w:val="en-GB"/>
        </w:rPr>
        <w:br w:type="page"/>
      </w:r>
    </w:p>
    <w:p w:rsidR="00BF0382" w:rsidRPr="008D6A99" w:rsidRDefault="00BF0382" w:rsidP="00BF0382">
      <w:pPr>
        <w:jc w:val="both"/>
        <w:outlineLvl w:val="0"/>
        <w:rPr>
          <w:b/>
          <w:lang w:val="en-GB"/>
        </w:rPr>
      </w:pPr>
      <w:bookmarkStart w:id="1020" w:name="_Toc432666149"/>
      <w:bookmarkStart w:id="1021" w:name="_Toc437520345"/>
      <w:r w:rsidRPr="008D6A99">
        <w:rPr>
          <w:b/>
          <w:lang w:val="en-GB"/>
        </w:rPr>
        <w:t>Annex 10: UML Diagrams</w:t>
      </w:r>
      <w:bookmarkEnd w:id="1020"/>
      <w:bookmarkEnd w:id="1021"/>
    </w:p>
    <w:p w:rsidR="00BF0382" w:rsidRPr="008D6A99" w:rsidRDefault="00BF0382" w:rsidP="00BF0382">
      <w:pPr>
        <w:spacing w:after="0"/>
        <w:jc w:val="both"/>
        <w:rPr>
          <w:lang w:val="en-GB"/>
        </w:rPr>
      </w:pPr>
    </w:p>
    <w:p w:rsidR="00BF0382" w:rsidRPr="008D6A99" w:rsidRDefault="00BF0382" w:rsidP="00BF0382">
      <w:pPr>
        <w:spacing w:after="0"/>
        <w:jc w:val="both"/>
        <w:rPr>
          <w:lang w:val="en-GB"/>
        </w:rPr>
      </w:pPr>
      <w:r w:rsidRPr="008D6A99">
        <w:rPr>
          <w:lang w:val="en-GB"/>
        </w:rPr>
        <w:t>Diagram 10.1: RBDSUCA schema</w:t>
      </w:r>
    </w:p>
    <w:p w:rsidR="00BF0382" w:rsidRPr="008D6A99" w:rsidRDefault="00FA0245" w:rsidP="00BF0382">
      <w:pPr>
        <w:spacing w:after="0"/>
        <w:jc w:val="both"/>
        <w:rPr>
          <w:lang w:val="en-GB"/>
        </w:rPr>
      </w:pPr>
      <w:hyperlink r:id="rId62" w:history="1">
        <w:r w:rsidR="00BF0382" w:rsidRPr="008D6A99">
          <w:rPr>
            <w:rStyle w:val="Hyperlnk"/>
            <w:noProof w:val="0"/>
            <w:lang w:val="en-GB"/>
          </w:rPr>
          <w:t>http://cdr.eionet.europa.eu/help/WFD/WFD_521_2016/UML/RBDSUCA_2016.png</w:t>
        </w:r>
      </w:hyperlink>
    </w:p>
    <w:p w:rsidR="00BF0382" w:rsidRPr="008D6A99" w:rsidRDefault="00BF0382" w:rsidP="00BF0382">
      <w:pPr>
        <w:spacing w:after="0"/>
        <w:jc w:val="both"/>
        <w:rPr>
          <w:lang w:val="en-GB"/>
        </w:rPr>
      </w:pPr>
    </w:p>
    <w:p w:rsidR="00BF0382" w:rsidRDefault="00BF0382" w:rsidP="00BF0382">
      <w:pPr>
        <w:spacing w:after="0"/>
        <w:jc w:val="both"/>
        <w:rPr>
          <w:lang w:val="pl-PL"/>
        </w:rPr>
      </w:pPr>
      <w:r>
        <w:rPr>
          <w:lang w:val="pl-PL"/>
        </w:rPr>
        <w:t>Diagram 10.2: SWB schema</w:t>
      </w:r>
    </w:p>
    <w:p w:rsidR="00BF0382" w:rsidRDefault="00FA0245" w:rsidP="00BF0382">
      <w:pPr>
        <w:spacing w:after="0"/>
        <w:jc w:val="both"/>
        <w:rPr>
          <w:lang w:val="pl-PL"/>
        </w:rPr>
      </w:pPr>
      <w:hyperlink r:id="rId63" w:history="1">
        <w:r w:rsidR="00BF0382">
          <w:rPr>
            <w:rStyle w:val="Hyperlnk"/>
            <w:noProof w:val="0"/>
            <w:lang w:val="pl-PL"/>
          </w:rPr>
          <w:t>http://cdr.eionet.europa.eu/help/WFD/WFD_521_2016/UML/SWB_2016.png</w:t>
        </w:r>
      </w:hyperlink>
    </w:p>
    <w:p w:rsidR="00BF0382" w:rsidRDefault="00BF0382" w:rsidP="00BF0382">
      <w:pPr>
        <w:spacing w:after="0"/>
        <w:jc w:val="both"/>
        <w:rPr>
          <w:lang w:val="pl-PL"/>
        </w:rPr>
      </w:pPr>
    </w:p>
    <w:p w:rsidR="00BF0382" w:rsidRDefault="00BF0382" w:rsidP="00BF0382">
      <w:pPr>
        <w:spacing w:after="0"/>
        <w:jc w:val="both"/>
        <w:rPr>
          <w:lang w:val="pl-PL"/>
        </w:rPr>
      </w:pPr>
      <w:r>
        <w:rPr>
          <w:lang w:val="pl-PL"/>
        </w:rPr>
        <w:t>Diagram 10.3: GWB schema</w:t>
      </w:r>
    </w:p>
    <w:p w:rsidR="00BF0382" w:rsidRDefault="00FA0245" w:rsidP="00BF0382">
      <w:pPr>
        <w:spacing w:after="0"/>
        <w:jc w:val="both"/>
        <w:rPr>
          <w:lang w:val="pl-PL"/>
        </w:rPr>
      </w:pPr>
      <w:hyperlink r:id="rId64" w:history="1">
        <w:r w:rsidR="00BF0382">
          <w:rPr>
            <w:rStyle w:val="Hyperlnk"/>
            <w:noProof w:val="0"/>
            <w:lang w:val="pl-PL"/>
          </w:rPr>
          <w:t>http://cdr.eionet.europa.eu/help/WFD/WFD_521_2016/UML/GWB_2016.png</w:t>
        </w:r>
      </w:hyperlink>
    </w:p>
    <w:p w:rsidR="00BF0382" w:rsidRDefault="00BF0382" w:rsidP="00BF0382">
      <w:pPr>
        <w:spacing w:after="0"/>
        <w:jc w:val="both"/>
        <w:rPr>
          <w:lang w:val="pl-PL"/>
        </w:rPr>
      </w:pPr>
    </w:p>
    <w:p w:rsidR="00BF0382" w:rsidRDefault="00BF0382" w:rsidP="00BF0382">
      <w:pPr>
        <w:spacing w:after="0"/>
        <w:jc w:val="both"/>
        <w:rPr>
          <w:lang w:val="pl-PL"/>
        </w:rPr>
      </w:pPr>
      <w:r>
        <w:rPr>
          <w:lang w:val="pl-PL"/>
        </w:rPr>
        <w:t>Diagram 10.4: Monitoring schema</w:t>
      </w:r>
    </w:p>
    <w:p w:rsidR="00BF0382" w:rsidRDefault="00FA0245" w:rsidP="00BF0382">
      <w:pPr>
        <w:spacing w:after="0"/>
        <w:jc w:val="both"/>
        <w:rPr>
          <w:lang w:val="pl-PL"/>
        </w:rPr>
      </w:pPr>
      <w:hyperlink r:id="rId65" w:history="1">
        <w:r w:rsidR="00BF0382">
          <w:rPr>
            <w:rStyle w:val="Hyperlnk"/>
            <w:noProof w:val="0"/>
            <w:lang w:val="pl-PL"/>
          </w:rPr>
          <w:t>http://cdr.eionet.europa.eu/help/WFD/WFD_521_2016/UML/SWMonitoring_2016.png</w:t>
        </w:r>
      </w:hyperlink>
    </w:p>
    <w:p w:rsidR="00BF0382" w:rsidRDefault="00BF0382" w:rsidP="00BF0382">
      <w:pPr>
        <w:spacing w:after="0"/>
        <w:jc w:val="both"/>
        <w:rPr>
          <w:lang w:val="pl-PL"/>
        </w:rPr>
      </w:pPr>
    </w:p>
    <w:p w:rsidR="00BF0382" w:rsidRDefault="00BF0382" w:rsidP="00BF0382">
      <w:pPr>
        <w:spacing w:after="0"/>
        <w:jc w:val="both"/>
        <w:rPr>
          <w:lang w:val="nl-NL"/>
        </w:rPr>
      </w:pPr>
      <w:r>
        <w:rPr>
          <w:lang w:val="nl-NL"/>
        </w:rPr>
        <w:t>Diagram 10.5: SWMET schema</w:t>
      </w:r>
    </w:p>
    <w:p w:rsidR="00BF0382" w:rsidRDefault="00FA0245" w:rsidP="00BF0382">
      <w:pPr>
        <w:spacing w:after="0"/>
        <w:jc w:val="both"/>
        <w:rPr>
          <w:lang w:val="nl-NL"/>
        </w:rPr>
      </w:pPr>
      <w:hyperlink r:id="rId66" w:history="1">
        <w:r w:rsidR="00BF0382">
          <w:rPr>
            <w:rStyle w:val="Hyperlnk"/>
            <w:noProof w:val="0"/>
            <w:lang w:val="nl-NL"/>
          </w:rPr>
          <w:t>http://cdr.eionet.europa.eu/help/WFD/WFD_521_2016/UML/SWMET_2016.png</w:t>
        </w:r>
      </w:hyperlink>
    </w:p>
    <w:p w:rsidR="00BF0382" w:rsidRDefault="00BF0382" w:rsidP="00BF0382">
      <w:pPr>
        <w:spacing w:after="0"/>
        <w:jc w:val="both"/>
        <w:rPr>
          <w:lang w:val="nl-NL"/>
        </w:rPr>
      </w:pPr>
    </w:p>
    <w:p w:rsidR="00BF0382" w:rsidRDefault="00BF0382" w:rsidP="00BF0382">
      <w:pPr>
        <w:spacing w:after="0"/>
        <w:jc w:val="both"/>
        <w:rPr>
          <w:lang w:val="nl-NL"/>
        </w:rPr>
      </w:pPr>
      <w:r>
        <w:rPr>
          <w:lang w:val="nl-NL"/>
        </w:rPr>
        <w:t>Diagram 10.6: GWMET schema</w:t>
      </w:r>
    </w:p>
    <w:p w:rsidR="00BF0382" w:rsidRDefault="00FA0245" w:rsidP="00BF0382">
      <w:pPr>
        <w:spacing w:after="0"/>
        <w:jc w:val="both"/>
        <w:rPr>
          <w:lang w:val="nl-NL"/>
        </w:rPr>
      </w:pPr>
      <w:hyperlink r:id="rId67" w:history="1">
        <w:r w:rsidR="00BF0382">
          <w:rPr>
            <w:rStyle w:val="Hyperlnk"/>
            <w:noProof w:val="0"/>
            <w:lang w:val="nl-NL"/>
          </w:rPr>
          <w:t>http://cdr.eionet.europa.eu/help/WFD/WFD_521_2016/UML/GWMET_2016.png</w:t>
        </w:r>
      </w:hyperlink>
    </w:p>
    <w:p w:rsidR="00BF0382" w:rsidRDefault="00BF0382" w:rsidP="00BF0382">
      <w:pPr>
        <w:spacing w:after="0"/>
        <w:jc w:val="both"/>
        <w:rPr>
          <w:lang w:val="nl-NL"/>
        </w:rPr>
      </w:pPr>
    </w:p>
    <w:p w:rsidR="00BF0382" w:rsidRDefault="00BF0382" w:rsidP="00BF0382">
      <w:pPr>
        <w:spacing w:after="0"/>
        <w:jc w:val="both"/>
        <w:rPr>
          <w:lang w:val="pt-PT"/>
        </w:rPr>
      </w:pPr>
      <w:r>
        <w:rPr>
          <w:lang w:val="pt-PT"/>
        </w:rPr>
        <w:t>Diagram 10.7: RBMPPoM schema</w:t>
      </w:r>
    </w:p>
    <w:p w:rsidR="00BF0382" w:rsidRDefault="00FA0245" w:rsidP="00BF0382">
      <w:pPr>
        <w:spacing w:after="0"/>
        <w:jc w:val="both"/>
        <w:rPr>
          <w:lang w:val="pt-PT"/>
        </w:rPr>
      </w:pPr>
      <w:hyperlink r:id="rId68" w:history="1">
        <w:r w:rsidR="00BF0382">
          <w:rPr>
            <w:rStyle w:val="Hyperlnk"/>
            <w:noProof w:val="0"/>
            <w:lang w:val="pt-PT"/>
          </w:rPr>
          <w:t>http://cdr.eionet.europa.eu/help/WFD/WFD_521_2016/UML/RBMPPoM_2016.png</w:t>
        </w:r>
      </w:hyperlink>
    </w:p>
    <w:p w:rsidR="00BF0382" w:rsidRDefault="00BF0382" w:rsidP="00BF0382">
      <w:pPr>
        <w:spacing w:after="0"/>
        <w:jc w:val="both"/>
        <w:rPr>
          <w:lang w:val="pt-PT"/>
        </w:rPr>
      </w:pPr>
    </w:p>
    <w:p w:rsidR="00BF0382" w:rsidRDefault="00BF0382" w:rsidP="00BF0382">
      <w:pPr>
        <w:jc w:val="both"/>
        <w:rPr>
          <w:lang w:val="pt-PT"/>
        </w:rPr>
      </w:pPr>
    </w:p>
    <w:p w:rsidR="000215C5" w:rsidRPr="00BF0382" w:rsidRDefault="000215C5">
      <w:pPr>
        <w:jc w:val="both"/>
        <w:rPr>
          <w:lang w:val="pt-PT"/>
        </w:rPr>
      </w:pPr>
    </w:p>
    <w:sectPr w:rsidR="000215C5" w:rsidRPr="00BF0382" w:rsidSect="00A71B2E">
      <w:type w:val="continuous"/>
      <w:pgSz w:w="11906" w:h="16838"/>
      <w:pgMar w:top="1021" w:right="851" w:bottom="1021" w:left="1418"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836" w:rsidRDefault="003F7836">
      <w:pPr>
        <w:spacing w:after="0"/>
      </w:pPr>
      <w:r>
        <w:separator/>
      </w:r>
    </w:p>
  </w:endnote>
  <w:endnote w:type="continuationSeparator" w:id="0">
    <w:p w:rsidR="003F7836" w:rsidRDefault="003F7836">
      <w:pPr>
        <w:spacing w:after="0"/>
      </w:pPr>
      <w:r>
        <w:continuationSeparator/>
      </w:r>
    </w:p>
  </w:endnote>
  <w:endnote w:type="continuationNotice" w:id="1">
    <w:p w:rsidR="003F7836" w:rsidRDefault="003F78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836" w:rsidRDefault="003F7836">
    <w:pPr>
      <w:pStyle w:val="Index5"/>
      <w:jc w:val="center"/>
    </w:pPr>
    <w:r>
      <w:fldChar w:fldCharType="begin"/>
    </w:r>
    <w:r>
      <w:instrText>PAGE</w:instrText>
    </w:r>
    <w:r>
      <w:fldChar w:fldCharType="separate"/>
    </w:r>
    <w:r w:rsidR="00FA0245">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836" w:rsidRDefault="003F7836">
    <w:pPr>
      <w:pStyle w:val="Index5"/>
      <w:rPr>
        <w:szCs w:val="24"/>
      </w:rPr>
    </w:pPr>
  </w:p>
  <w:p w:rsidR="003F7836" w:rsidRDefault="003F7836">
    <w:pPr>
      <w:pStyle w:val="Index5"/>
    </w:pPr>
    <w:r>
      <w:t>Commission européenne/Europese Commissie, 1049 Bruxelles/Brussel, BELGIQUE/BELGIË – Tfn +32 22991111</w:t>
    </w:r>
    <w:r>
      <w:br/>
      <w:t>Kontor: BU-9 04/153 – Tfn direkt +32 22957193 – Fax +32 22968825</w:t>
    </w:r>
  </w:p>
  <w:p w:rsidR="003F7836" w:rsidRDefault="003F7836">
    <w:pPr>
      <w:pStyle w:val="Index5"/>
    </w:pPr>
  </w:p>
  <w:p w:rsidR="003F7836" w:rsidRDefault="003F7836">
    <w:pPr>
      <w:pStyle w:val="Index5"/>
      <w:rPr>
        <w:sz w:val="12"/>
        <w:szCs w:val="12"/>
      </w:rPr>
    </w:pPr>
    <w:r>
      <w:t>Jorge.Rodriguez-Romero@ec.europa.eu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836" w:rsidRDefault="003F7836">
    <w:pPr>
      <w:pStyle w:val="Index5"/>
      <w:jc w:val="center"/>
    </w:pPr>
    <w:r>
      <w:fldChar w:fldCharType="begin"/>
    </w:r>
    <w:r>
      <w:instrText>PAGE</w:instrText>
    </w:r>
    <w:r>
      <w:fldChar w:fldCharType="separate"/>
    </w:r>
    <w:r w:rsidR="004D0915">
      <w:rPr>
        <w:noProof/>
      </w:rPr>
      <w:t>296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836" w:rsidRDefault="003F7836">
    <w:pPr>
      <w:pStyle w:val="Index5"/>
      <w:rPr>
        <w:szCs w:val="24"/>
      </w:rPr>
    </w:pPr>
  </w:p>
  <w:p w:rsidR="003F7836" w:rsidRPr="008D6A99" w:rsidRDefault="003F7836">
    <w:pPr>
      <w:pStyle w:val="Index5"/>
      <w:rPr>
        <w:lang w:val="en-GB"/>
      </w:rPr>
    </w:pPr>
    <w:r>
      <w:rPr>
        <w:lang w:val="fr-FR"/>
      </w:rPr>
      <w:t xml:space="preserve">Commission européenne/Europese Commissie, 1049 Bruxelles/Brussel, BELGIQUE/BELGIË - Tel. </w:t>
    </w:r>
    <w:r w:rsidRPr="008D6A99">
      <w:rPr>
        <w:lang w:val="en-GB"/>
      </w:rPr>
      <w:t>+32 22991111</w:t>
    </w:r>
    <w:r w:rsidRPr="008D6A99">
      <w:rPr>
        <w:noProof/>
        <w:lang w:val="en-GB"/>
      </w:rPr>
      <w:br/>
      <w:t>Office: BU-9 04/153 - Tel. direct line +32 229-57193 - Fax +32 229-68825</w:t>
    </w:r>
  </w:p>
  <w:p w:rsidR="003F7836" w:rsidRPr="008D6A99" w:rsidRDefault="003F7836">
    <w:pPr>
      <w:pStyle w:val="Index5"/>
      <w:rPr>
        <w:lang w:val="en-GB"/>
      </w:rPr>
    </w:pPr>
  </w:p>
  <w:p w:rsidR="003F7836" w:rsidRPr="008D6A99" w:rsidRDefault="003F7836">
    <w:pPr>
      <w:pStyle w:val="Index5"/>
      <w:rPr>
        <w:sz w:val="12"/>
        <w:szCs w:val="12"/>
        <w:lang w:val="en-GB"/>
      </w:rPr>
    </w:pPr>
    <w:r w:rsidRPr="008D6A99">
      <w:rPr>
        <w:lang w:val="en-GB"/>
      </w:rPr>
      <w:t>Jorge.Rodriguez-Romero@ec.europa.eu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836" w:rsidRDefault="003F7836">
      <w:pPr>
        <w:spacing w:after="0"/>
      </w:pPr>
      <w:r>
        <w:separator/>
      </w:r>
    </w:p>
  </w:footnote>
  <w:footnote w:type="continuationSeparator" w:id="0">
    <w:p w:rsidR="003F7836" w:rsidRDefault="003F7836">
      <w:pPr>
        <w:spacing w:after="0"/>
      </w:pPr>
      <w:r>
        <w:continuationSeparator/>
      </w:r>
    </w:p>
  </w:footnote>
  <w:footnote w:type="continuationNotice" w:id="1">
    <w:p w:rsidR="003F7836" w:rsidRDefault="003F7836">
      <w:pPr>
        <w:spacing w:after="0"/>
      </w:pPr>
    </w:p>
  </w:footnote>
  <w:footnote w:id="2">
    <w:p w:rsidR="003F7836" w:rsidRDefault="003F7836">
      <w:pPr>
        <w:pStyle w:val="Fotnotstext"/>
      </w:pPr>
      <w:r>
        <w:rPr>
          <w:rStyle w:val="Fotnotsreferens"/>
        </w:rPr>
        <w:footnoteRef/>
      </w:r>
      <w:r>
        <w:t xml:space="preserve"> </w:t>
      </w:r>
      <w:r>
        <w:tab/>
      </w:r>
      <w:r>
        <w:rPr>
          <w:rStyle w:val="Stark"/>
          <w:b w:val="0"/>
          <w:bdr w:val="none" w:sz="0" w:space="0" w:color="auto" w:frame="1"/>
        </w:rPr>
        <w:t xml:space="preserve">Europaparlamentets och rådets direktiv 2006/118/EG av den 12 december 2006 om skydd för grundvatten mot föroreningar och försämring. </w:t>
      </w:r>
      <w:hyperlink r:id="rId1">
        <w:r>
          <w:rPr>
            <w:rStyle w:val="Hyperlnk"/>
            <w:noProof w:val="0"/>
            <w:color w:val="auto"/>
          </w:rPr>
          <w:t>http://eur-lex.europa.eu/legal-content/SV/TXT/?qid=1410784650720&amp;uri=CELEX:32006L0118</w:t>
        </w:r>
      </w:hyperlink>
    </w:p>
  </w:footnote>
  <w:footnote w:id="3">
    <w:p w:rsidR="003F7836" w:rsidRDefault="003F7836">
      <w:pPr>
        <w:pStyle w:val="Fotnotstext"/>
      </w:pPr>
      <w:r>
        <w:rPr>
          <w:rStyle w:val="Fotnotsreferens"/>
        </w:rPr>
        <w:footnoteRef/>
      </w:r>
      <w:r>
        <w:t xml:space="preserve"> </w:t>
      </w:r>
      <w:r>
        <w:tab/>
      </w:r>
      <w:r>
        <w:rPr>
          <w:rStyle w:val="Stark"/>
          <w:b w:val="0"/>
          <w:bdr w:val="none" w:sz="0" w:space="0" w:color="auto" w:frame="1"/>
        </w:rPr>
        <w:t xml:space="preserve">Europaparlamentets och rådets direktiv 2008/105/EG av den 16 december 2008 om miljökvalitetsnormer inom vattenpolitikens område och ändring och senare upphävande av rådets direktiv 82/176/EEG, 83/513/EEG, 84/156/EEG, 84/491/EEG och 86/280/EEG, samt om ändring av Europaparlamentets och rådets direktiv 2000/60/EG. </w:t>
      </w:r>
      <w:hyperlink r:id="rId2">
        <w:r>
          <w:rPr>
            <w:rStyle w:val="Hyperlnk"/>
            <w:noProof w:val="0"/>
            <w:color w:val="auto"/>
          </w:rPr>
          <w:t>http://eur-lex.europa.eu/legal-content/SV/TXT/?qid=1410784732488&amp;uri=CELEX:02008L0105-20130913</w:t>
        </w:r>
      </w:hyperlink>
    </w:p>
  </w:footnote>
  <w:footnote w:id="4">
    <w:p w:rsidR="003F7836" w:rsidRDefault="003F7836">
      <w:pPr>
        <w:pStyle w:val="Fotnotstext"/>
      </w:pPr>
      <w:r>
        <w:rPr>
          <w:rStyle w:val="Fotnotsreferens"/>
        </w:rPr>
        <w:footnoteRef/>
      </w:r>
      <w:r>
        <w:t xml:space="preserve"> </w:t>
      </w:r>
      <w:r>
        <w:tab/>
      </w:r>
      <w:r>
        <w:rPr>
          <w:rStyle w:val="Stark"/>
          <w:b w:val="0"/>
          <w:bdr w:val="none" w:sz="0" w:space="0" w:color="auto" w:frame="1"/>
        </w:rPr>
        <w:t xml:space="preserve">Europaparlamentets och rådets direktiv 2013/39/EU av den 12 augusti 2013 om ändring av direktiven 2000/60/EG och 2008/105/EG vad gäller prioriterade ämnen på vattenpolitikens område. </w:t>
      </w:r>
      <w:hyperlink r:id="rId3">
        <w:r>
          <w:rPr>
            <w:rStyle w:val="Hyperlnk"/>
            <w:noProof w:val="0"/>
            <w:color w:val="auto"/>
          </w:rPr>
          <w:t>http://eur-lex.europa.eu/legal-content/SV/TXT/?qid=1410784774193&amp;uri=CELEX:32013L0039</w:t>
        </w:r>
      </w:hyperlink>
    </w:p>
  </w:footnote>
  <w:footnote w:id="5">
    <w:p w:rsidR="003F7836" w:rsidRDefault="003F7836">
      <w:pPr>
        <w:pStyle w:val="Fotnotstext"/>
      </w:pPr>
      <w:r>
        <w:rPr>
          <w:rStyle w:val="Fotnotsreferens"/>
        </w:rPr>
        <w:footnoteRef/>
      </w:r>
      <w:r>
        <w:t xml:space="preserve"> </w:t>
      </w:r>
      <w:r>
        <w:tab/>
      </w:r>
      <w:r>
        <w:rPr>
          <w:rStyle w:val="Stark"/>
          <w:b w:val="0"/>
        </w:rPr>
        <w:t xml:space="preserve">Europaparlamentets och rådets direktiv 2000/60/EG av den 23 oktober 2000 om upprättande av en ram för gemenskapens åtgärder på vattenpolitikens område. </w:t>
      </w:r>
      <w:hyperlink r:id="rId4">
        <w:r>
          <w:rPr>
            <w:rStyle w:val="Hyperlnk"/>
            <w:noProof w:val="0"/>
            <w:color w:val="auto"/>
          </w:rPr>
          <w:t>http://eur-lex.europa.eu/legal-content/SV/TXT/?qid=1410784832288&amp;uri=CELEX:02000L0060-20140101</w:t>
        </w:r>
      </w:hyperlink>
    </w:p>
  </w:footnote>
  <w:footnote w:id="6">
    <w:p w:rsidR="003F7836" w:rsidRDefault="003F7836">
      <w:pPr>
        <w:pStyle w:val="Fotnotstext"/>
      </w:pPr>
      <w:r>
        <w:rPr>
          <w:rStyle w:val="Fotnotsreferens"/>
        </w:rPr>
        <w:footnoteRef/>
      </w:r>
      <w:r>
        <w:t xml:space="preserve"> </w:t>
      </w:r>
      <w:r>
        <w:tab/>
        <w:t xml:space="preserve">Delavrinningsdistrikten utformades av CIS-arbetsgruppen om rapportering 2008 som en mellanliggande rapporteringsnivå mellan vattenförekomster och avrinningsdistrikt när avrinningsdistrikten är mycket stora. Syftet med delavrinningsdistrikt är att presentera aggregerad information på EU-nivå på ett meningsfullt sätt. Det är helt frivilligt att lämna information om delavrinningsdistrikt och de kan antingen baseras på hydrologiska eller administrativa gränser, beroende på vad som är enklast för medlemsstaten.    </w:t>
      </w:r>
    </w:p>
  </w:footnote>
  <w:footnote w:id="7">
    <w:p w:rsidR="003F7836" w:rsidRDefault="003F7836">
      <w:pPr>
        <w:pStyle w:val="Fotnotstext"/>
      </w:pPr>
      <w:r>
        <w:rPr>
          <w:rStyle w:val="Fotnotsreferens"/>
        </w:rPr>
        <w:footnoteRef/>
      </w:r>
      <w:r>
        <w:t xml:space="preserve"> </w:t>
      </w:r>
      <w:r>
        <w:tab/>
        <w:t>Se bilaga VII B.2 i ramdirektivet för vatten.</w:t>
      </w:r>
    </w:p>
  </w:footnote>
  <w:footnote w:id="8">
    <w:p w:rsidR="003F7836" w:rsidRDefault="003F7836">
      <w:pPr>
        <w:pStyle w:val="Fotnotstext"/>
      </w:pPr>
      <w:r>
        <w:rPr>
          <w:rStyle w:val="Fotnotsreferens"/>
        </w:rPr>
        <w:footnoteRef/>
      </w:r>
      <w:r>
        <w:t xml:space="preserve"> </w:t>
      </w:r>
      <w:r>
        <w:tab/>
      </w:r>
      <w:r>
        <w:rPr>
          <w:rStyle w:val="Stark"/>
          <w:b w:val="0"/>
        </w:rPr>
        <w:t xml:space="preserve">Kommissionens direktiv 2009/90/EG av den 31 juli 2009 om bestämmelser, i enlighet med Europaparlamentets och rådets direktiv 2000/60/EG, om tekniska specifikationer och standardmetoder för kemisk analys och övervakning av vattenstatus </w:t>
      </w:r>
      <w:hyperlink r:id="rId5">
        <w:r>
          <w:rPr>
            <w:rStyle w:val="Hyperlnk"/>
            <w:noProof w:val="0"/>
            <w:color w:val="auto"/>
          </w:rPr>
          <w:t>http://eur-lex.europa.eu/legal-content/SV/TXT/?qid=1410785085516&amp;uri=CELEX:32009L0090</w:t>
        </w:r>
      </w:hyperlink>
    </w:p>
  </w:footnote>
  <w:footnote w:id="9">
    <w:p w:rsidR="003F7836" w:rsidRDefault="003F7836">
      <w:pPr>
        <w:pStyle w:val="Fotnotstext"/>
      </w:pPr>
      <w:r>
        <w:rPr>
          <w:rStyle w:val="Fotnotsreferens"/>
        </w:rPr>
        <w:footnoteRef/>
      </w:r>
      <w:r>
        <w:t xml:space="preserve"> </w:t>
      </w:r>
      <w:r>
        <w:tab/>
        <w:t xml:space="preserve">Rådets direktiv 91/271/EEG av den 21 maj 1991 om behandling av avloppsvatten från tätbebyggelse </w:t>
      </w:r>
      <w:hyperlink r:id="rId6">
        <w:r>
          <w:rPr>
            <w:rStyle w:val="Hyperlnk"/>
            <w:noProof w:val="0"/>
            <w:color w:val="auto"/>
          </w:rPr>
          <w:t>http://eur-lex.europa.eu/legal-content/SV/TXT/PDF/?uri=CELEX:31991L0271&amp;qid=1439549071803&amp;from=EN</w:t>
        </w:r>
      </w:hyperlink>
    </w:p>
  </w:footnote>
  <w:footnote w:id="10">
    <w:p w:rsidR="003F7836" w:rsidRDefault="003F7836">
      <w:pPr>
        <w:pStyle w:val="Fotnotstext"/>
      </w:pPr>
      <w:r>
        <w:rPr>
          <w:rStyle w:val="Fotnotsreferens"/>
        </w:rPr>
        <w:footnoteRef/>
      </w:r>
      <w:r>
        <w:t xml:space="preserve"> </w:t>
      </w:r>
      <w:r>
        <w:tab/>
        <w:t xml:space="preserve">Rådets direktiv 91/676/EEG av den 12 december 1991 om skydd mot att vatten förorenas av nitrater från jordbruket </w:t>
      </w:r>
      <w:hyperlink r:id="rId7">
        <w:r>
          <w:rPr>
            <w:rStyle w:val="Hyperlnk"/>
            <w:noProof w:val="0"/>
            <w:color w:val="auto"/>
          </w:rPr>
          <w:t>http://eur-lex.europa.eu/legal-content/SV/TXT/PDF/?uri=CELEX:31991L0676&amp;from=EN</w:t>
        </w:r>
      </w:hyperlink>
    </w:p>
  </w:footnote>
  <w:footnote w:id="11">
    <w:p w:rsidR="003F7836" w:rsidRDefault="003F7836">
      <w:pPr>
        <w:pStyle w:val="Fotnotstext"/>
      </w:pPr>
      <w:r>
        <w:rPr>
          <w:rStyle w:val="Fotnotsreferens"/>
        </w:rPr>
        <w:footnoteRef/>
      </w:r>
      <w:r>
        <w:t xml:space="preserve"> </w:t>
      </w:r>
      <w:r>
        <w:tab/>
        <w:t xml:space="preserve">Rådets direktiv 98/83/EG av den 3 november 1998 om kvaliteten på dricksvatten </w:t>
      </w:r>
      <w:hyperlink r:id="rId8">
        <w:r>
          <w:rPr>
            <w:rStyle w:val="Hyperlnk"/>
            <w:noProof w:val="0"/>
            <w:color w:val="auto"/>
          </w:rPr>
          <w:t>http://eur-lex.europa.eu/legal-content/SV/TXT/PDF/?uri=CELEX:31998L0083&amp;from=en</w:t>
        </w:r>
      </w:hyperlink>
    </w:p>
  </w:footnote>
  <w:footnote w:id="12">
    <w:p w:rsidR="003F7836" w:rsidRDefault="003F7836">
      <w:pPr>
        <w:pStyle w:val="Fotnotstext"/>
      </w:pPr>
      <w:r>
        <w:rPr>
          <w:rStyle w:val="Fotnotsreferens"/>
        </w:rPr>
        <w:footnoteRef/>
      </w:r>
      <w:r>
        <w:t xml:space="preserve"> </w:t>
      </w:r>
      <w:r>
        <w:tab/>
        <w:t xml:space="preserve">Europaparlamentets och rådets direktiv 2006/7/EG av den 15 februari 2006 om förvaltning av badvattenkvaliteten och om upphävande av direktiv 76/160/EEG </w:t>
      </w:r>
      <w:hyperlink r:id="rId9">
        <w:r>
          <w:rPr>
            <w:rStyle w:val="Hyperlnk"/>
            <w:noProof w:val="0"/>
            <w:color w:val="auto"/>
          </w:rPr>
          <w:t>http://eur-lex.europa.eu/legal-content/SV/TXT/PDF/?uri=CELEX:32006L0007&amp;qid=1439550272397&amp;from=EN</w:t>
        </w:r>
      </w:hyperlink>
    </w:p>
  </w:footnote>
  <w:footnote w:id="13">
    <w:p w:rsidR="003F7836" w:rsidRDefault="003F7836">
      <w:pPr>
        <w:pStyle w:val="Fotnotstext"/>
      </w:pPr>
      <w:r>
        <w:rPr>
          <w:rStyle w:val="Fotnotsreferens"/>
        </w:rPr>
        <w:footnoteRef/>
      </w:r>
      <w:r>
        <w:t xml:space="preserve"> </w:t>
      </w:r>
      <w:r>
        <w:tab/>
        <w:t xml:space="preserve">Europaparlamentets och rådets direktiv 2008/56/EG av den 17 juni 2008 om upprättande av en ram för gemenskapens åtgärder på havsmiljöpolitikens område (Ramdirektiv om en marin strategi) </w:t>
      </w:r>
      <w:hyperlink r:id="rId10">
        <w:r>
          <w:rPr>
            <w:rStyle w:val="Hyperlnk"/>
            <w:noProof w:val="0"/>
            <w:color w:val="auto"/>
          </w:rPr>
          <w:t>http://eur-lex.europa.eu/legal-content/SV/TXT/PDF/?uri=CELEX:32008L0056&amp;qid=1439550339839&amp;from=EN</w:t>
        </w:r>
      </w:hyperlink>
    </w:p>
  </w:footnote>
  <w:footnote w:id="14">
    <w:p w:rsidR="003F7836" w:rsidRDefault="003F7836">
      <w:pPr>
        <w:pStyle w:val="Fotnotstext"/>
      </w:pPr>
      <w:r>
        <w:rPr>
          <w:rStyle w:val="Fotnotsreferens"/>
        </w:rPr>
        <w:footnoteRef/>
      </w:r>
      <w:r>
        <w:t xml:space="preserve"> </w:t>
      </w:r>
      <w:r>
        <w:tab/>
        <w:t xml:space="preserve">Europaparlamentets och rådets förordning (EG) nr 401/2009 av den 23 april 2009 om Europeiska miljöbyrån och Europeiska nätverket för miljöinformation och miljöövervakning (kodifierad version) </w:t>
      </w:r>
      <w:hyperlink r:id="rId11">
        <w:r>
          <w:rPr>
            <w:rStyle w:val="Hyperlnk"/>
            <w:noProof w:val="0"/>
            <w:color w:val="auto"/>
          </w:rPr>
          <w:t>http://eur-lex.europa.eu/legal-content/SV/TXT/PDF/?uri=CELEX:32009R0401&amp;qid=1439550465427&amp;from=EN</w:t>
        </w:r>
      </w:hyperlink>
    </w:p>
  </w:footnote>
  <w:footnote w:id="15">
    <w:p w:rsidR="003F7836" w:rsidRDefault="003F7836">
      <w:pPr>
        <w:pStyle w:val="Fotnotstext"/>
      </w:pPr>
      <w:r>
        <w:rPr>
          <w:rStyle w:val="Fotnotsreferens"/>
        </w:rPr>
        <w:footnoteRef/>
      </w:r>
      <w:r>
        <w:t xml:space="preserve"> </w:t>
      </w:r>
      <w:r>
        <w:tab/>
        <w:t xml:space="preserve">Se dokument WMD/2014-1/4 och slutsatserna från vatten- och havsförvaltningarnas möte i Grekland (juni 2014).  </w:t>
      </w:r>
    </w:p>
  </w:footnote>
  <w:footnote w:id="16">
    <w:p w:rsidR="003F7836" w:rsidRDefault="003F7836">
      <w:pPr>
        <w:pStyle w:val="Fotnotstext"/>
      </w:pPr>
      <w:r>
        <w:rPr>
          <w:rStyle w:val="Fotnotsreferens"/>
        </w:rPr>
        <w:footnoteRef/>
      </w:r>
      <w:r>
        <w:t xml:space="preserve"> </w:t>
      </w:r>
      <w:r>
        <w:tab/>
        <w:t xml:space="preserve">Här avser ordnivån 2010 års rapportering av kvalitetsfaktorer. Nivå 2 är t.ex. QE1-4 Fish och nivå 3 t.ex. QE3-1-4 Salinity. </w:t>
      </w:r>
    </w:p>
  </w:footnote>
  <w:footnote w:id="17">
    <w:p w:rsidR="003F7836" w:rsidRDefault="003F7836">
      <w:pPr>
        <w:pStyle w:val="Fotnotstext"/>
      </w:pPr>
      <w:r>
        <w:rPr>
          <w:rStyle w:val="Fotnotsreferens"/>
        </w:rPr>
        <w:footnoteRef/>
      </w:r>
      <w:r>
        <w:t xml:space="preserve"> </w:t>
      </w:r>
      <w:r>
        <w:tab/>
        <w:t xml:space="preserve">Tredje rapporten om genomförandet av vattendirektivet – bedömning av förvaltningsplaner för avrinningsdistrikt (2012): </w:t>
      </w:r>
      <w:hyperlink r:id="rId12" w:anchor="third">
        <w:r>
          <w:rPr>
            <w:rStyle w:val="Hyperlnk"/>
            <w:noProof w:val="0"/>
            <w:color w:val="auto"/>
          </w:rPr>
          <w:t>http://ec.europa.eu/environment/archives/water/implrep2007/index_en.htm#third</w:t>
        </w:r>
      </w:hyperlink>
    </w:p>
  </w:footnote>
  <w:footnote w:id="18">
    <w:p w:rsidR="003F7836" w:rsidRDefault="003F7836">
      <w:pPr>
        <w:pStyle w:val="Fotnotstext"/>
      </w:pPr>
      <w:r>
        <w:rPr>
          <w:rStyle w:val="Fotnotsreferens"/>
        </w:rPr>
        <w:footnoteRef/>
      </w:r>
      <w:r>
        <w:t xml:space="preserve"> </w:t>
      </w:r>
      <w:r>
        <w:tab/>
        <w:t xml:space="preserve">Medlemsstatens ISO-landskod med två bokstäver: </w:t>
      </w:r>
      <w:hyperlink r:id="rId13">
        <w:r>
          <w:rPr>
            <w:rStyle w:val="Hyperlnk"/>
            <w:noProof w:val="0"/>
            <w:color w:val="auto"/>
          </w:rPr>
          <w:t>http://publications.europa.eu/code/sv/sv-370100.htm</w:t>
        </w:r>
      </w:hyperlink>
      <w:r>
        <w:t xml:space="preserve"> (Obs: Använd ”EL” för Grekland och ”UK” för Storbritannien).</w:t>
      </w:r>
    </w:p>
  </w:footnote>
  <w:footnote w:id="19">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r w:rsidRPr="008D6A99">
        <w:rPr>
          <w:rStyle w:val="KommentarerChar"/>
          <w:lang w:val="en-GB"/>
        </w:rPr>
        <w:t>CIS-vägledningsdokument nr 2</w:t>
      </w:r>
      <w:r w:rsidRPr="008D6A99">
        <w:rPr>
          <w:rStyle w:val="Kommentarsreferens"/>
          <w:sz w:val="20"/>
          <w:lang w:val="en-GB"/>
        </w:rPr>
        <w:t xml:space="preserve">: </w:t>
      </w:r>
      <w:r w:rsidRPr="008D6A99">
        <w:rPr>
          <w:rStyle w:val="Kommentarsreferens"/>
          <w:i/>
          <w:sz w:val="20"/>
          <w:lang w:val="en-GB"/>
        </w:rPr>
        <w:t>Identification of Water Bodies</w:t>
      </w:r>
      <w:r w:rsidRPr="008D6A99">
        <w:rPr>
          <w:rStyle w:val="Kommentarsreferens"/>
          <w:sz w:val="20"/>
          <w:lang w:val="en-GB"/>
        </w:rPr>
        <w:t xml:space="preserve">: </w:t>
      </w:r>
      <w:hyperlink r:id="rId14">
        <w:r w:rsidRPr="008D6A99">
          <w:rPr>
            <w:rStyle w:val="Hyperlnk"/>
            <w:noProof w:val="0"/>
            <w:color w:val="auto"/>
            <w:lang w:val="en-GB"/>
          </w:rPr>
          <w:t>https://circabc.europa.eu/sd/a/655e3e31-3b5d-4053-be19-15bd22b15ba9/Guidance%20No%202%20-%20Identification%20of%20water%20bodies.pdf</w:t>
        </w:r>
      </w:hyperlink>
    </w:p>
  </w:footnote>
  <w:footnote w:id="20">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15">
        <w:r w:rsidRPr="008D6A99">
          <w:rPr>
            <w:rStyle w:val="KommentarerChar"/>
            <w:lang w:val="en-GB"/>
          </w:rPr>
          <w:t>CIS-vägledningsdokument nr 3</w:t>
        </w:r>
      </w:hyperlink>
      <w:r w:rsidRPr="008D6A99">
        <w:rPr>
          <w:rStyle w:val="KommentarerChar"/>
          <w:lang w:val="en-GB"/>
        </w:rPr>
        <w:t xml:space="preserve">: </w:t>
      </w:r>
      <w:r w:rsidRPr="008D6A99">
        <w:rPr>
          <w:rStyle w:val="KommentarerChar"/>
          <w:i/>
          <w:lang w:val="en-GB"/>
        </w:rPr>
        <w:t>Analysis of Pressures and Impacts</w:t>
      </w:r>
      <w:r w:rsidRPr="008D6A99">
        <w:rPr>
          <w:rStyle w:val="KommentarerChar"/>
          <w:lang w:val="en-GB"/>
        </w:rPr>
        <w:t xml:space="preserve">: </w:t>
      </w:r>
      <w:hyperlink r:id="rId16">
        <w:r w:rsidRPr="008D6A99">
          <w:rPr>
            <w:rStyle w:val="Hyperlnk"/>
            <w:noProof w:val="0"/>
            <w:color w:val="auto"/>
            <w:lang w:val="en-GB"/>
          </w:rPr>
          <w:t>https://circabc.europa.eu/sd/a/7e01a7e0-9ccb-4f3d-8cec-aeef1335c2f7/Guidance%20No%203%20-%20pressures%20and%20impacts%20-%20IMPRESS%20(WG%202.1).pdf</w:t>
        </w:r>
      </w:hyperlink>
    </w:p>
  </w:footnote>
  <w:footnote w:id="21">
    <w:p w:rsidR="003F7836" w:rsidRDefault="003F7836">
      <w:pPr>
        <w:pStyle w:val="Fotnotstext"/>
      </w:pPr>
      <w:r>
        <w:rPr>
          <w:rStyle w:val="Fotnotsreferens"/>
        </w:rPr>
        <w:footnoteRef/>
      </w:r>
      <w:r>
        <w:t xml:space="preserve"> </w:t>
      </w:r>
      <w:r>
        <w:tab/>
        <w:t xml:space="preserve">Kommissionen är medveten om att det i vissa fall kan vara svårt att göra en detaljerad kvantifiering av påverkan och att det därför kanske inte alltid är möjligt. </w:t>
      </w:r>
    </w:p>
  </w:footnote>
  <w:footnote w:id="22">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t xml:space="preserve">CIS-vägledningsdokument nr 10: </w:t>
      </w:r>
      <w:r w:rsidRPr="008D6A99">
        <w:rPr>
          <w:i/>
          <w:lang w:val="en-GB"/>
        </w:rPr>
        <w:t>River and Lakes – Typology, Reference Conditions and Classification Systems</w:t>
      </w:r>
      <w:r w:rsidRPr="008D6A99">
        <w:rPr>
          <w:lang w:val="en-GB"/>
        </w:rPr>
        <w:t xml:space="preserve">: </w:t>
      </w:r>
      <w:hyperlink r:id="rId17">
        <w:r w:rsidRPr="008D6A99">
          <w:rPr>
            <w:rStyle w:val="Hyperlnk"/>
            <w:noProof w:val="0"/>
            <w:color w:val="auto"/>
            <w:lang w:val="en-GB"/>
          </w:rPr>
          <w:t>https://circabc.europa.eu/sd/a/dce34c8d-6e3d-469a-a6f3-b733b829b691/Guidance%20No%2010%20-%20references%20conditions%20inland%20waters%20-%20REFCOND%20(WG%202.3).pdf</w:t>
        </w:r>
      </w:hyperlink>
    </w:p>
  </w:footnote>
  <w:footnote w:id="23">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t xml:space="preserve">CIS-vägledningsdokument nr 5: </w:t>
      </w:r>
      <w:r w:rsidRPr="008D6A99">
        <w:rPr>
          <w:i/>
          <w:lang w:val="en-GB"/>
        </w:rPr>
        <w:t>Transitional and Coastal Waters – Typology, Reference Conditions and Classification Systems</w:t>
      </w:r>
      <w:r w:rsidRPr="008D6A99">
        <w:rPr>
          <w:lang w:val="en-GB"/>
        </w:rPr>
        <w:t xml:space="preserve">: </w:t>
      </w:r>
      <w:hyperlink r:id="rId18">
        <w:r w:rsidRPr="008D6A99">
          <w:rPr>
            <w:rStyle w:val="Hyperlnk"/>
            <w:noProof w:val="0"/>
            <w:color w:val="auto"/>
            <w:lang w:val="en-GB"/>
          </w:rPr>
          <w:t>https://circabc.europa.eu/sd/a/85912f96-4dca-432e-84d6-a4dded785da5/Guidance%20No%205%20-%20characterisation%20of%20coastal%20waters%20-%20COAST%20(WG%202.4).pdf</w:t>
        </w:r>
      </w:hyperlink>
    </w:p>
  </w:footnote>
  <w:footnote w:id="24">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r w:rsidRPr="008D6A99">
        <w:rPr>
          <w:rStyle w:val="KommentarerChar"/>
          <w:lang w:val="en-GB"/>
        </w:rPr>
        <w:t>CIS-vägledningsdokument nr 2</w:t>
      </w:r>
      <w:r w:rsidRPr="008D6A99">
        <w:rPr>
          <w:rStyle w:val="Kommentarsreferens"/>
          <w:sz w:val="20"/>
          <w:lang w:val="en-GB"/>
        </w:rPr>
        <w:t xml:space="preserve">: </w:t>
      </w:r>
      <w:r w:rsidRPr="008D6A99">
        <w:rPr>
          <w:rStyle w:val="Kommentarsreferens"/>
          <w:i/>
          <w:sz w:val="20"/>
          <w:lang w:val="en-GB"/>
        </w:rPr>
        <w:t>Identification of Water Bodies</w:t>
      </w:r>
      <w:r w:rsidRPr="008D6A99">
        <w:rPr>
          <w:rStyle w:val="Kommentarsreferens"/>
          <w:sz w:val="20"/>
          <w:lang w:val="en-GB"/>
        </w:rPr>
        <w:t xml:space="preserve">: </w:t>
      </w:r>
      <w:hyperlink r:id="rId19">
        <w:r w:rsidRPr="008D6A99">
          <w:rPr>
            <w:rStyle w:val="Hyperlnk"/>
            <w:noProof w:val="0"/>
            <w:color w:val="auto"/>
            <w:lang w:val="en-GB"/>
          </w:rPr>
          <w:t>https://circabc.europa.eu/sd/a/655e3e31-3b5d-4053-be19-15bd22b15ba9/Guidance%20No%202%20-%20Identification%20of%20water%20bodies.pdf</w:t>
        </w:r>
      </w:hyperlink>
    </w:p>
  </w:footnote>
  <w:footnote w:id="25">
    <w:p w:rsidR="003F7836" w:rsidRDefault="003F7836">
      <w:pPr>
        <w:pStyle w:val="Fotnotstext"/>
      </w:pPr>
      <w:r>
        <w:rPr>
          <w:rStyle w:val="Fotnotsreferens"/>
        </w:rPr>
        <w:footnoteRef/>
      </w:r>
      <w:r>
        <w:t xml:space="preserve"> </w:t>
      </w:r>
      <w:r>
        <w:tab/>
        <w:t xml:space="preserve">Medlemsstatens ISO-landskod med två bokstäver: </w:t>
      </w:r>
      <w:hyperlink r:id="rId20">
        <w:r>
          <w:rPr>
            <w:rStyle w:val="Hyperlnk"/>
            <w:noProof w:val="0"/>
            <w:color w:val="auto"/>
          </w:rPr>
          <w:t>http://publications.europa.eu/code/sv/sv-370100.htm</w:t>
        </w:r>
      </w:hyperlink>
      <w:r>
        <w:t xml:space="preserve"> (Obs: Använd ”EL” för Grekland och ”UK” för Storbritannien).</w:t>
      </w:r>
    </w:p>
  </w:footnote>
  <w:footnote w:id="26">
    <w:p w:rsidR="003F7836" w:rsidRPr="008D6A99" w:rsidRDefault="003F7836">
      <w:pPr>
        <w:pStyle w:val="Fotnotstext"/>
        <w:rPr>
          <w:lang w:val="en-GB"/>
        </w:rPr>
      </w:pPr>
      <w:r>
        <w:rPr>
          <w:rStyle w:val="Fotnotsreferens"/>
        </w:rPr>
        <w:footnoteRef/>
      </w:r>
      <w:r w:rsidRPr="008D6A99">
        <w:rPr>
          <w:lang w:val="en-GB"/>
        </w:rPr>
        <w:t xml:space="preserve"> </w:t>
      </w:r>
      <w:r>
        <w:rPr>
          <w:lang w:val="en-GB"/>
        </w:rPr>
        <w:tab/>
      </w:r>
      <w:r w:rsidRPr="008D6A99">
        <w:rPr>
          <w:lang w:val="en-GB"/>
        </w:rPr>
        <w:t xml:space="preserve">CIS-vägledningsdokument nr 4 – </w:t>
      </w:r>
      <w:r w:rsidRPr="008D6A99">
        <w:rPr>
          <w:i/>
          <w:lang w:val="en-GB"/>
        </w:rPr>
        <w:t>Identification and Designation of Heavily Modified and Artificial Water Bodies</w:t>
      </w:r>
      <w:r w:rsidRPr="008D6A99">
        <w:rPr>
          <w:lang w:val="en-GB"/>
        </w:rPr>
        <w:t xml:space="preserve">: </w:t>
      </w:r>
      <w:hyperlink r:id="rId21">
        <w:r w:rsidRPr="008D6A99">
          <w:rPr>
            <w:rStyle w:val="Hyperlnk"/>
            <w:noProof w:val="0"/>
            <w:color w:val="auto"/>
            <w:lang w:val="en-GB"/>
          </w:rPr>
          <w:t>https://circabc.europa.eu/sd/a/f9b057f4-4a91-46a3-b69a-e23b4cada8ef/Guidance%20No%204%20-%20heavily%20modified%20water%20bodies%20-%20HMWB%20(WG%202.2).pdf</w:t>
        </w:r>
      </w:hyperlink>
    </w:p>
  </w:footnote>
  <w:footnote w:id="27">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t xml:space="preserve">CIS-vägledningsdokument nr 20: </w:t>
      </w:r>
      <w:r w:rsidRPr="008D6A99">
        <w:rPr>
          <w:i/>
          <w:lang w:val="en-GB"/>
        </w:rPr>
        <w:t>Exemptions to the Environmental Objectives</w:t>
      </w:r>
      <w:r w:rsidRPr="008D6A99">
        <w:rPr>
          <w:lang w:val="en-GB"/>
        </w:rPr>
        <w:t xml:space="preserve">: </w:t>
      </w:r>
      <w:hyperlink r:id="rId22">
        <w:r w:rsidRPr="008D6A99">
          <w:rPr>
            <w:rStyle w:val="Hyperlnk"/>
            <w:noProof w:val="0"/>
            <w:color w:val="auto"/>
            <w:lang w:val="en-GB"/>
          </w:rPr>
          <w:t>https://circabc.europa.eu/sd/a/2a3ec00a-d0e6-405f-bf66-60e212555db1/Guidance_documentN%C2%B020_Mars09.pdf</w:t>
        </w:r>
      </w:hyperlink>
    </w:p>
  </w:footnote>
  <w:footnote w:id="28">
    <w:p w:rsidR="003F7836" w:rsidRDefault="003F7836">
      <w:pPr>
        <w:pStyle w:val="Fotnotstext"/>
      </w:pPr>
      <w:r>
        <w:rPr>
          <w:rStyle w:val="Fotnotsreferens"/>
        </w:rPr>
        <w:footnoteRef/>
      </w:r>
      <w:r>
        <w:t xml:space="preserve"> </w:t>
      </w:r>
      <w:r>
        <w:tab/>
        <w:t>Observera att multiplikationen för klassen FailingRBSP är ”0 to many”. Om det inte finns någon RBSP som inte uppfyller målen behöver hela denna klass inte rapporteras.</w:t>
      </w:r>
    </w:p>
  </w:footnote>
  <w:footnote w:id="29">
    <w:p w:rsidR="003F7836" w:rsidRDefault="003F7836">
      <w:pPr>
        <w:pStyle w:val="Fotnotstext"/>
        <w:spacing w:after="120"/>
      </w:pPr>
      <w:r>
        <w:rPr>
          <w:rStyle w:val="Fotnotsreferens"/>
        </w:rPr>
        <w:footnoteRef/>
      </w:r>
      <w:r>
        <w:t xml:space="preserve"> </w:t>
      </w:r>
      <w:r>
        <w:tab/>
      </w:r>
      <w:hyperlink r:id="rId23">
        <w:r>
          <w:rPr>
            <w:rStyle w:val="Hyperlnk"/>
            <w:noProof w:val="0"/>
            <w:color w:val="auto"/>
          </w:rPr>
          <w:t>Europaparlamentets och rådets beslut nr 2455/2001/EG av den 20 november 2001 om upprättande av en lista över prioriterade ämnen på vattenpolitikens område och om ändring av direktiv 2000/60/EG.</w:t>
        </w:r>
      </w:hyperlink>
    </w:p>
  </w:footnote>
  <w:footnote w:id="30">
    <w:p w:rsidR="003F7836" w:rsidRDefault="003F7836">
      <w:pPr>
        <w:pStyle w:val="Fotnotstext"/>
        <w:spacing w:after="120"/>
      </w:pPr>
      <w:r>
        <w:rPr>
          <w:rStyle w:val="Fotnotsreferens"/>
        </w:rPr>
        <w:footnoteRef/>
      </w:r>
      <w:r>
        <w:t xml:space="preserve"> </w:t>
      </w:r>
      <w:r>
        <w:tab/>
      </w:r>
      <w:hyperlink r:id="rId24">
        <w:r>
          <w:rPr>
            <w:rStyle w:val="Hyperlnk"/>
            <w:noProof w:val="0"/>
            <w:color w:val="auto"/>
          </w:rPr>
          <w:t>Europaparlamentets och rådets direktiv 2008/105/EG av den 16 december 2008 om miljökvalitetsnormer inom vattenpolitikens område och ändring och senare upphävande av rådets direktiv 82/176/EEG, 83/513/EEG, 84/156/EEG, 84/491/EEG och 86/280/EEG, samt om ändring av Europaparlamentets och rådets direktiv 2000/60/EG.</w:t>
        </w:r>
      </w:hyperlink>
    </w:p>
  </w:footnote>
  <w:footnote w:id="31">
    <w:p w:rsidR="003F7836" w:rsidRDefault="003F7836">
      <w:pPr>
        <w:pStyle w:val="Fotnotstext"/>
        <w:spacing w:after="120"/>
      </w:pPr>
      <w:r>
        <w:rPr>
          <w:rStyle w:val="Fotnotsreferens"/>
        </w:rPr>
        <w:footnoteRef/>
      </w:r>
      <w:r>
        <w:t xml:space="preserve"> </w:t>
      </w:r>
      <w:r>
        <w:tab/>
      </w:r>
      <w:hyperlink r:id="rId25">
        <w:r>
          <w:rPr>
            <w:rStyle w:val="Hyperlnk"/>
            <w:noProof w:val="0"/>
            <w:color w:val="auto"/>
          </w:rPr>
          <w:t>Rådets direktiv 76/464/EEG av den 4 maj 1976 om förorening genom utsläpp av vissa farliga ämnen i gemenskapens vattenmiljö.</w:t>
        </w:r>
      </w:hyperlink>
    </w:p>
  </w:footnote>
  <w:footnote w:id="32">
    <w:p w:rsidR="003F7836" w:rsidRDefault="003F7836">
      <w:pPr>
        <w:pStyle w:val="Fotnotstext"/>
        <w:spacing w:after="120"/>
      </w:pPr>
      <w:r>
        <w:rPr>
          <w:rStyle w:val="Fotnotsreferens"/>
        </w:rPr>
        <w:footnoteRef/>
      </w:r>
      <w:r>
        <w:t xml:space="preserve"> </w:t>
      </w:r>
      <w:r>
        <w:tab/>
      </w:r>
      <w:hyperlink r:id="rId26">
        <w:r>
          <w:rPr>
            <w:rStyle w:val="Hyperlnk"/>
            <w:noProof w:val="0"/>
            <w:color w:val="auto"/>
          </w:rPr>
          <w:t>Kommissionens direktiv 2009/90/EG av den 31 juli 2009 om bestämmelser, i enlighet med Europaparlamentets och rådets direktiv 2000/60/EG, om tekniska specifikationer och standardmetoder för kemisk analys och övervakning av vattenstatus.</w:t>
        </w:r>
      </w:hyperlink>
    </w:p>
  </w:footnote>
  <w:footnote w:id="33">
    <w:p w:rsidR="003F7836" w:rsidRDefault="003F7836">
      <w:pPr>
        <w:pStyle w:val="Fotnotstext"/>
      </w:pPr>
      <w:r>
        <w:rPr>
          <w:rStyle w:val="Fotnotsreferens"/>
        </w:rPr>
        <w:footnoteRef/>
      </w:r>
      <w:r>
        <w:t xml:space="preserve"> </w:t>
      </w:r>
      <w:r>
        <w:tab/>
      </w:r>
      <w:hyperlink r:id="rId27">
        <w:r>
          <w:rPr>
            <w:rStyle w:val="Hyperlnk"/>
            <w:noProof w:val="0"/>
            <w:color w:val="auto"/>
          </w:rPr>
          <w:t>Europaparlamentets och rådets direktiv 2013/39/EU av den 12 augusti 2013 om ändring av direktiven 2000/60/EG och 2008/105/EG vad gäller prioriterade ämnen på vattenpolitikens område.</w:t>
        </w:r>
      </w:hyperlink>
    </w:p>
  </w:footnote>
  <w:footnote w:id="34">
    <w:p w:rsidR="003F7836" w:rsidRDefault="003F7836">
      <w:pPr>
        <w:pStyle w:val="Fotnotstext"/>
        <w:spacing w:after="120"/>
      </w:pPr>
      <w:r>
        <w:rPr>
          <w:rStyle w:val="Fotnotsreferens"/>
        </w:rPr>
        <w:footnoteRef/>
      </w:r>
      <w:r>
        <w:t xml:space="preserve"> </w:t>
      </w:r>
      <w:r>
        <w:tab/>
        <w:t>Se skäl 9 i direktiv 2013/39/EU och artikel 3.1a i direktiv 2008/105/EG, i dess ändrade lydelse enligt direktiv 2013/39/EU. Genom direktiv 2013/39/EU införs mindre stränga AA-EQS för naftalen i vatten i övergångszoner och kustvatten. När det gäller naftalen bör denna norm tillämpas för bestämningen av kemisk status. För alla andra ämnen ska normerna i direktiv 2008/105/EG av den 13 januari 2009 tillämpas.</w:t>
      </w:r>
    </w:p>
  </w:footnote>
  <w:footnote w:id="35">
    <w:p w:rsidR="003F7836" w:rsidRDefault="003F7836">
      <w:pPr>
        <w:pStyle w:val="Fotnotstext"/>
      </w:pPr>
      <w:r>
        <w:rPr>
          <w:rStyle w:val="Fotnotsreferens"/>
        </w:rPr>
        <w:footnoteRef/>
      </w:r>
      <w:r>
        <w:t xml:space="preserve"> </w:t>
      </w:r>
      <w:r>
        <w:tab/>
        <w:t xml:space="preserve">Observera att multiplikationen för klassen SWPrioritySubstance är ”0 to many”. Om det inte finns några prioriterade ämnen att rapportera för den berörda vattenförekomsten behöver hela denna klass inte rapporteras. </w:t>
      </w:r>
    </w:p>
  </w:footnote>
  <w:footnote w:id="36">
    <w:p w:rsidR="003F7836" w:rsidRDefault="003F7836">
      <w:pPr>
        <w:pStyle w:val="Fotnotstext"/>
      </w:pPr>
      <w:r>
        <w:rPr>
          <w:rStyle w:val="Fotnotsreferens"/>
        </w:rPr>
        <w:footnoteRef/>
      </w:r>
      <w:r>
        <w:t xml:space="preserve"> </w:t>
      </w:r>
      <w:r>
        <w:tab/>
        <w:t xml:space="preserve">Medlemsstatens ISO-landskod med två bokstäver: </w:t>
      </w:r>
      <w:hyperlink r:id="rId28">
        <w:r>
          <w:rPr>
            <w:rStyle w:val="Hyperlnk"/>
            <w:noProof w:val="0"/>
            <w:color w:val="auto"/>
          </w:rPr>
          <w:t>http://publications.europa.eu/code/sv/sv-370100.htm</w:t>
        </w:r>
      </w:hyperlink>
      <w:r>
        <w:t xml:space="preserve"> (Obs: Använd ”EL” för Grekland och ”UK” för Storbritannien).</w:t>
      </w:r>
    </w:p>
  </w:footnote>
  <w:footnote w:id="37">
    <w:p w:rsidR="003F7836" w:rsidRDefault="003F7836">
      <w:pPr>
        <w:pStyle w:val="Fotnotstext"/>
      </w:pPr>
      <w:r>
        <w:rPr>
          <w:rStyle w:val="Fotnotsreferens"/>
        </w:rPr>
        <w:footnoteRef/>
      </w:r>
      <w:r>
        <w:t xml:space="preserve"> </w:t>
      </w:r>
      <w:hyperlink r:id="rId29">
        <w:r>
          <w:rPr>
            <w:rStyle w:val="Hyperlnk"/>
            <w:noProof w:val="0"/>
            <w:color w:val="auto"/>
          </w:rPr>
          <w:t>http://bookshop.europa.eu/en/technical-report-on-groundwater-dependent-terrestrial-ecosystems-pbKHAV12006/</w:t>
        </w:r>
      </w:hyperlink>
      <w:r>
        <w:t xml:space="preserve"> </w:t>
      </w:r>
    </w:p>
  </w:footnote>
  <w:footnote w:id="38">
    <w:p w:rsidR="003F7836" w:rsidRDefault="003F7836">
      <w:pPr>
        <w:pStyle w:val="Fotnotstext"/>
      </w:pPr>
      <w:r>
        <w:rPr>
          <w:rStyle w:val="Fotnotsreferens"/>
        </w:rPr>
        <w:footnoteRef/>
      </w:r>
      <w:r>
        <w:t xml:space="preserve"> </w:t>
      </w:r>
      <w:r>
        <w:tab/>
      </w:r>
      <w:hyperlink r:id="rId30">
        <w:r>
          <w:rPr>
            <w:rStyle w:val="Hyperlnk"/>
            <w:noProof w:val="0"/>
            <w:color w:val="auto"/>
          </w:rPr>
          <w:t>https://circabc.europa.eu/sd/a/2a3ec00a-d0e6-405f-bf66-60e212555db1/Guidance_documentN%C2%B020_Mars09.pdf</w:t>
        </w:r>
      </w:hyperlink>
    </w:p>
  </w:footnote>
  <w:footnote w:id="39">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t xml:space="preserve">CIS-vägledningsdokument nr 26: </w:t>
      </w:r>
      <w:r w:rsidRPr="008D6A99">
        <w:rPr>
          <w:i/>
          <w:lang w:val="en-GB"/>
        </w:rPr>
        <w:t>Risk assessment and the use of conceptual models</w:t>
      </w:r>
      <w:r w:rsidRPr="008D6A99">
        <w:rPr>
          <w:lang w:val="en-GB"/>
        </w:rPr>
        <w:t xml:space="preserve">: </w:t>
      </w:r>
      <w:hyperlink r:id="rId31">
        <w:r w:rsidRPr="008D6A99">
          <w:rPr>
            <w:rStyle w:val="Hyperlnk"/>
            <w:noProof w:val="0"/>
            <w:color w:val="auto"/>
            <w:lang w:val="en-GB"/>
          </w:rPr>
          <w:t>https://circabc.europa.eu/sd/a/8564a357-0e17-4619-bd76-a54a23fa7885/Guidance%20No%2026%20-%20GW%20risk%20assessment%20and%20conceptual%20models.pdf</w:t>
        </w:r>
      </w:hyperlink>
      <w:r w:rsidRPr="008D6A99">
        <w:rPr>
          <w:lang w:val="en-GB"/>
        </w:rPr>
        <w:t xml:space="preserve"> </w:t>
      </w:r>
    </w:p>
  </w:footnote>
  <w:footnote w:id="40">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32">
        <w:r w:rsidRPr="008D6A99">
          <w:rPr>
            <w:rStyle w:val="Hyperlnk"/>
            <w:noProof w:val="0"/>
            <w:color w:val="auto"/>
            <w:lang w:val="en-GB"/>
          </w:rPr>
          <w:t>https://circabc.europa.eu/sd/a/8564a357-0e17-4619-bd76-a54a23fa7885/Guidance%20No%2026%20-%20GW%20risk%20assessment%20and%20conceptual%20models.pdf</w:t>
        </w:r>
      </w:hyperlink>
      <w:r w:rsidRPr="008D6A99">
        <w:rPr>
          <w:lang w:val="en-GB"/>
        </w:rPr>
        <w:t xml:space="preserve"> </w:t>
      </w:r>
    </w:p>
  </w:footnote>
  <w:footnote w:id="41">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33">
        <w:r w:rsidRPr="008D6A99">
          <w:rPr>
            <w:rStyle w:val="Hyperlnk"/>
            <w:noProof w:val="0"/>
            <w:color w:val="auto"/>
            <w:lang w:val="en-GB"/>
          </w:rPr>
          <w:t>https://circabc.europa.eu/sd/a/8564a357-0e17-4619-bd76-a54a23fa7885/Guidance%20No%2026%20-%20GW%20risk%20assessment%20and%20conceptual%20models.pdf</w:t>
        </w:r>
      </w:hyperlink>
      <w:r w:rsidRPr="008D6A99">
        <w:rPr>
          <w:lang w:val="en-GB"/>
        </w:rPr>
        <w:t xml:space="preserve"> </w:t>
      </w:r>
    </w:p>
  </w:footnote>
  <w:footnote w:id="42">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34">
        <w:r w:rsidRPr="008D6A99">
          <w:rPr>
            <w:rStyle w:val="Hyperlnk"/>
            <w:noProof w:val="0"/>
            <w:color w:val="auto"/>
            <w:lang w:val="en-GB"/>
          </w:rPr>
          <w:t>https://circabc.europa.eu/sd/a/63f7715f-0f45-4955-b7cb-58ca305e42a8/Guidance%20No%207%20-%20Monitoring%20(WG%202.7).pdf</w:t>
        </w:r>
      </w:hyperlink>
    </w:p>
  </w:footnote>
  <w:footnote w:id="43">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35">
        <w:r w:rsidRPr="008D6A99">
          <w:rPr>
            <w:rStyle w:val="Hyperlnk"/>
            <w:noProof w:val="0"/>
            <w:color w:val="auto"/>
            <w:lang w:val="en-GB"/>
          </w:rPr>
          <w:t>https://circabc.europa.eu/sd/a/e409710d-f1c1-4672-9480-e2b9e93f30ad/Groundwater%20Monitoring%20Guidance%20Nov-2006_FINAL-2.pdf</w:t>
        </w:r>
      </w:hyperlink>
      <w:r w:rsidRPr="008D6A99">
        <w:rPr>
          <w:lang w:val="en-GB"/>
        </w:rPr>
        <w:t xml:space="preserve"> </w:t>
      </w:r>
    </w:p>
  </w:footnote>
  <w:footnote w:id="44">
    <w:p w:rsidR="003F7836" w:rsidRDefault="003F7836">
      <w:pPr>
        <w:pStyle w:val="Fotnotstext"/>
      </w:pPr>
      <w:r>
        <w:rPr>
          <w:rStyle w:val="Fotnotsreferens"/>
        </w:rPr>
        <w:footnoteRef/>
      </w:r>
      <w:r>
        <w:t xml:space="preserve"> </w:t>
      </w:r>
      <w:r>
        <w:rPr>
          <w:rStyle w:val="Stark"/>
          <w:b w:val="0"/>
          <w:bdr w:val="none" w:sz="0" w:space="0" w:color="auto" w:frame="1"/>
        </w:rPr>
        <w:t xml:space="preserve">Europaparlamentets och rådets direktiv 2006/118/EG av den 12 december 2006 om skydd för grundvatten mot föroreningar och försämring. </w:t>
      </w:r>
      <w:hyperlink r:id="rId36">
        <w:r>
          <w:rPr>
            <w:rStyle w:val="Hyperlnk"/>
            <w:noProof w:val="0"/>
            <w:color w:val="auto"/>
          </w:rPr>
          <w:t>http://eur-lex.europa.eu/legal-content/SV/TXT/?qid=1410784650720&amp;uri=CELEX:32006L0118</w:t>
        </w:r>
      </w:hyperlink>
    </w:p>
  </w:footnote>
  <w:footnote w:id="45">
    <w:p w:rsidR="003F7836" w:rsidRPr="008D6A99" w:rsidRDefault="003F7836">
      <w:pPr>
        <w:pStyle w:val="Fotnotstext"/>
        <w:rPr>
          <w:lang w:val="en-GB"/>
        </w:rPr>
      </w:pPr>
      <w:r>
        <w:rPr>
          <w:rStyle w:val="Fotnotsreferens"/>
        </w:rPr>
        <w:footnoteRef/>
      </w:r>
      <w:r w:rsidRPr="008D6A99">
        <w:rPr>
          <w:lang w:val="en-GB"/>
        </w:rPr>
        <w:t xml:space="preserve"> CIS-vägledningsdokument nr 20: </w:t>
      </w:r>
      <w:r w:rsidRPr="008D6A99">
        <w:rPr>
          <w:i/>
          <w:lang w:val="en-GB"/>
        </w:rPr>
        <w:t>Exemptions to the Environmental Objectives</w:t>
      </w:r>
      <w:r w:rsidRPr="008D6A99">
        <w:rPr>
          <w:lang w:val="en-GB"/>
        </w:rPr>
        <w:t xml:space="preserve">: </w:t>
      </w:r>
      <w:hyperlink r:id="rId37">
        <w:r w:rsidRPr="008D6A99">
          <w:rPr>
            <w:rStyle w:val="Hyperlnk"/>
            <w:noProof w:val="0"/>
            <w:color w:val="auto"/>
            <w:lang w:val="en-GB"/>
          </w:rPr>
          <w:t>https://circabc.europa.eu/sd/a/2a3ec00a-d0e6-405f-bf66-60e212555db1/Guidance_documentN%C2%B020_Mars09.pdf</w:t>
        </w:r>
      </w:hyperlink>
    </w:p>
  </w:footnote>
  <w:footnote w:id="46">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t xml:space="preserve">CIS-vägledningsdokument nr 26: </w:t>
      </w:r>
      <w:r w:rsidRPr="008D6A99">
        <w:rPr>
          <w:i/>
          <w:lang w:val="en-GB"/>
        </w:rPr>
        <w:t>Risk assessment and the use of conceptual models</w:t>
      </w:r>
      <w:r w:rsidRPr="008D6A99">
        <w:rPr>
          <w:lang w:val="en-GB"/>
        </w:rPr>
        <w:t xml:space="preserve">: </w:t>
      </w:r>
      <w:hyperlink r:id="rId38">
        <w:r w:rsidRPr="008D6A99">
          <w:rPr>
            <w:rStyle w:val="Hyperlnk"/>
            <w:noProof w:val="0"/>
            <w:color w:val="auto"/>
            <w:lang w:val="en-GB"/>
          </w:rPr>
          <w:t>https://circabc.europa.eu/sd/a/8564a357-0e17-4619-bd76-a54a23fa7885/Guidance%20No%2026%20-%20GW%20risk%20assessment%20and%20conceptual%20models.pdf</w:t>
        </w:r>
      </w:hyperlink>
      <w:r w:rsidRPr="008D6A99">
        <w:rPr>
          <w:lang w:val="en-GB"/>
        </w:rPr>
        <w:t xml:space="preserve"> </w:t>
      </w:r>
    </w:p>
  </w:footnote>
  <w:footnote w:id="47">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39">
        <w:r w:rsidRPr="008D6A99">
          <w:rPr>
            <w:rStyle w:val="Hyperlnk"/>
            <w:noProof w:val="0"/>
            <w:color w:val="auto"/>
            <w:lang w:val="en-GB"/>
          </w:rPr>
          <w:t>https://circabc.europa.eu/sd/a/8564a357-0e17-4619-bd76-a54a23fa7885/Guidance%20No%2026%20-%20GW%20risk%20assessment%20and%20conceptual%20models.pdf</w:t>
        </w:r>
      </w:hyperlink>
      <w:r w:rsidRPr="008D6A99">
        <w:rPr>
          <w:lang w:val="en-GB"/>
        </w:rPr>
        <w:t xml:space="preserve"> </w:t>
      </w:r>
    </w:p>
  </w:footnote>
  <w:footnote w:id="48">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40">
        <w:r w:rsidRPr="008D6A99">
          <w:rPr>
            <w:rStyle w:val="Hyperlnk"/>
            <w:noProof w:val="0"/>
            <w:color w:val="auto"/>
            <w:lang w:val="en-GB"/>
          </w:rPr>
          <w:t>https://circabc.europa.eu/sd/a/8564a357-0e17-4619-bd76-a54a23fa7885/Guidance%20No%2026%20-%20GW%20risk%20assessment%20and%20conceptual%20models.pdf</w:t>
        </w:r>
      </w:hyperlink>
      <w:r w:rsidRPr="008D6A99">
        <w:rPr>
          <w:lang w:val="en-GB"/>
        </w:rPr>
        <w:t xml:space="preserve"> </w:t>
      </w:r>
    </w:p>
  </w:footnote>
  <w:footnote w:id="49">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41">
        <w:r w:rsidRPr="008D6A99">
          <w:rPr>
            <w:rStyle w:val="Hyperlnk"/>
            <w:noProof w:val="0"/>
            <w:color w:val="auto"/>
            <w:lang w:val="en-GB"/>
          </w:rPr>
          <w:t>https://circabc.europa.eu/sd/a/63f7715f-0f45-4955-b7cb-58ca305e42a8/Guidance%20No%207%20-%20Monitoring%20(WG%202.7).pdf</w:t>
        </w:r>
      </w:hyperlink>
      <w:r w:rsidRPr="008D6A99">
        <w:rPr>
          <w:lang w:val="en-GB"/>
        </w:rPr>
        <w:t xml:space="preserve"> </w:t>
      </w:r>
    </w:p>
  </w:footnote>
  <w:footnote w:id="50">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42">
        <w:r w:rsidRPr="008D6A99">
          <w:rPr>
            <w:rStyle w:val="Hyperlnk"/>
            <w:noProof w:val="0"/>
            <w:color w:val="auto"/>
            <w:lang w:val="en-GB"/>
          </w:rPr>
          <w:t>https://circabc.europa.eu/sd/a/e409710d-f1c1-4672-9480-e2b9e93f30ad/Groundwater%20Monitoring%20Guidance%20Nov-2006_FINAL-2.pdf</w:t>
        </w:r>
      </w:hyperlink>
      <w:r w:rsidRPr="008D6A99">
        <w:rPr>
          <w:lang w:val="en-GB"/>
        </w:rPr>
        <w:t xml:space="preserve"> </w:t>
      </w:r>
    </w:p>
  </w:footnote>
  <w:footnote w:id="51">
    <w:p w:rsidR="003F7836" w:rsidRDefault="003F7836">
      <w:pPr>
        <w:pStyle w:val="Fotnotstext"/>
      </w:pPr>
      <w:r>
        <w:rPr>
          <w:rStyle w:val="Fotnotsreferens"/>
        </w:rPr>
        <w:footnoteRef/>
      </w:r>
      <w:r>
        <w:t xml:space="preserve"> </w:t>
      </w:r>
      <w:r>
        <w:tab/>
        <w:t>Observera att multipliciteten för klassen Class GWPollutant är ”0 to many”. Om det inte finns några förorenande ämnen eller indikatorer att rapportera för den berörda vattenförekomsten behöver hela denna klass inte rapporteras.</w:t>
      </w:r>
    </w:p>
  </w:footnote>
  <w:footnote w:id="52">
    <w:p w:rsidR="003F7836" w:rsidRDefault="003F7836">
      <w:pPr>
        <w:pStyle w:val="Fotnotstext"/>
      </w:pPr>
      <w:r>
        <w:rPr>
          <w:rStyle w:val="Fotnotsreferens"/>
        </w:rPr>
        <w:footnoteRef/>
      </w:r>
      <w:r>
        <w:t xml:space="preserve"> </w:t>
      </w:r>
      <w:r>
        <w:tab/>
      </w:r>
      <w:hyperlink r:id="rId43">
        <w:r>
          <w:rPr>
            <w:rStyle w:val="Hyperlnk"/>
            <w:noProof w:val="0"/>
            <w:color w:val="auto"/>
          </w:rPr>
          <w:t>http://bookshop.europa.eu/en/technical-report-on-groundwater-dep</w:t>
        </w:r>
      </w:hyperlink>
      <w:r>
        <w:t xml:space="preserve"> </w:t>
      </w:r>
    </w:p>
  </w:footnote>
  <w:footnote w:id="53">
    <w:p w:rsidR="003F7836" w:rsidRDefault="003F7836">
      <w:pPr>
        <w:pStyle w:val="Fotnotstext"/>
      </w:pPr>
      <w:r>
        <w:rPr>
          <w:rStyle w:val="Fotnotsreferens"/>
        </w:rPr>
        <w:footnoteRef/>
      </w:r>
      <w:r>
        <w:t xml:space="preserve"> </w:t>
      </w:r>
      <w:r>
        <w:tab/>
      </w:r>
      <w:hyperlink r:id="rId44">
        <w:r>
          <w:rPr>
            <w:rStyle w:val="Hyperlnk"/>
            <w:noProof w:val="0"/>
            <w:color w:val="auto"/>
          </w:rPr>
          <w:t>http://eur-lex.europa.eu/legal-content/SV/TXT/?qid=1411979700659&amp;uri=CELEX:32009L0090</w:t>
        </w:r>
      </w:hyperlink>
      <w:r>
        <w:t xml:space="preserve"> </w:t>
      </w:r>
    </w:p>
  </w:footnote>
  <w:footnote w:id="54">
    <w:p w:rsidR="003F7836" w:rsidRDefault="003F7836">
      <w:pPr>
        <w:pStyle w:val="Fotnotstext"/>
      </w:pPr>
      <w:r>
        <w:rPr>
          <w:rStyle w:val="Fotnotsreferens"/>
        </w:rPr>
        <w:footnoteRef/>
      </w:r>
      <w:r>
        <w:t xml:space="preserve"> </w:t>
      </w:r>
      <w:r>
        <w:tab/>
        <w:t>Seis – det gemensamma miljöinformationssystemet – samla in en gång, använd för många syften.</w:t>
      </w:r>
    </w:p>
  </w:footnote>
  <w:footnote w:id="55">
    <w:p w:rsidR="003F7836" w:rsidRDefault="003F7836">
      <w:pPr>
        <w:pStyle w:val="Fotnotstext"/>
      </w:pPr>
      <w:r>
        <w:rPr>
          <w:rStyle w:val="Fotnotsreferens"/>
        </w:rPr>
        <w:footnoteRef/>
      </w:r>
      <w:r>
        <w:t xml:space="preserve"> </w:t>
      </w:r>
      <w:hyperlink r:id="rId45">
        <w:r>
          <w:rPr>
            <w:rStyle w:val="Hyperlnk"/>
            <w:noProof w:val="0"/>
            <w:color w:val="auto"/>
          </w:rPr>
          <w:t>http://icm.eionet.europa.eu/ETC_Reports/EcoChemStatusPressInEurWaters_201211/Ecological_and_chemical_status_and_pressures_ETC_13112012_Published.pdf</w:t>
        </w:r>
      </w:hyperlink>
      <w:r>
        <w:t xml:space="preserve"> </w:t>
      </w:r>
    </w:p>
  </w:footnote>
  <w:footnote w:id="56">
    <w:p w:rsidR="003F7836" w:rsidRDefault="003F7836">
      <w:pPr>
        <w:pStyle w:val="Fotnotstext"/>
      </w:pPr>
      <w:r>
        <w:rPr>
          <w:rStyle w:val="Fotnotsreferens"/>
        </w:rPr>
        <w:footnoteRef/>
      </w:r>
      <w:r>
        <w:t xml:space="preserve"> </w:t>
      </w:r>
      <w:r>
        <w:tab/>
        <w:t>http://rod.eionet.europa.eu/.</w:t>
      </w:r>
    </w:p>
  </w:footnote>
  <w:footnote w:id="57">
    <w:p w:rsidR="003F7836" w:rsidRDefault="003F7836">
      <w:pPr>
        <w:pStyle w:val="Fotnotstext"/>
      </w:pPr>
      <w:r>
        <w:rPr>
          <w:rStyle w:val="Fotnotsreferens"/>
        </w:rPr>
        <w:footnoteRef/>
      </w:r>
      <w:r>
        <w:t xml:space="preserve"> </w:t>
      </w:r>
      <w:r>
        <w:tab/>
        <w:t xml:space="preserve">Medlemsstatens ISO-landskod med två bokstäver: </w:t>
      </w:r>
      <w:hyperlink r:id="rId46">
        <w:r>
          <w:rPr>
            <w:rStyle w:val="Hyperlnk"/>
            <w:noProof w:val="0"/>
            <w:color w:val="auto"/>
          </w:rPr>
          <w:t>http://publications.europa.eu/code/sv/sv-370100.htm</w:t>
        </w:r>
      </w:hyperlink>
      <w:r>
        <w:t xml:space="preserve"> (Obs: Använd ”EL” för Grekland och ”UK” för Storbritannien).</w:t>
      </w:r>
    </w:p>
  </w:footnote>
  <w:footnote w:id="58">
    <w:p w:rsidR="003F7836" w:rsidRDefault="003F7836">
      <w:pPr>
        <w:pStyle w:val="Fotnotstext"/>
      </w:pPr>
      <w:r>
        <w:rPr>
          <w:rStyle w:val="Fotnotsreferens"/>
        </w:rPr>
        <w:footnoteRef/>
      </w:r>
      <w:r>
        <w:t xml:space="preserve"> </w:t>
      </w:r>
      <w:r>
        <w:tab/>
        <w:t>Observera att multipliciteten för klassen SWEcologicalMonitoring är ”0 to many”. Om inga kvalitetsfaktorer övervakas vid denna station behöver hela denna klass inte rapporteras.</w:t>
      </w:r>
    </w:p>
  </w:footnote>
  <w:footnote w:id="59">
    <w:p w:rsidR="003F7836" w:rsidRDefault="003F7836">
      <w:pPr>
        <w:pStyle w:val="Fotnotstext"/>
      </w:pPr>
      <w:r>
        <w:rPr>
          <w:rStyle w:val="Fotnotsreferens"/>
        </w:rPr>
        <w:footnoteRef/>
      </w:r>
      <w:r>
        <w:t xml:space="preserve"> </w:t>
      </w:r>
      <w:r>
        <w:tab/>
      </w:r>
      <w:hyperlink r:id="rId47">
        <w:r>
          <w:rPr>
            <w:rStyle w:val="Hyperlnk"/>
            <w:noProof w:val="0"/>
            <w:color w:val="auto"/>
            <w:bdr w:val="none" w:sz="0" w:space="0" w:color="auto" w:frame="1"/>
          </w:rPr>
          <w:t>Europaparlamentets och rådets direktiv 2008/105/EG av den 16 december 2008 om miljökvalitetsnormer inom vattenpolitikens område och ändring och senare upphävande av rådets direktiv 82/176/EEG, 83/513/EEG, 84/156/EEG, 84/491/EEG och 86/280/EEG, samt om ändring av Europaparlamentets och rådets direktiv 2000/60/EG.</w:t>
        </w:r>
      </w:hyperlink>
    </w:p>
  </w:footnote>
  <w:footnote w:id="60">
    <w:p w:rsidR="003F7836" w:rsidRDefault="003F7836">
      <w:pPr>
        <w:pStyle w:val="Fotnotstext"/>
      </w:pPr>
      <w:r>
        <w:rPr>
          <w:rStyle w:val="Fotnotsreferens"/>
        </w:rPr>
        <w:footnoteRef/>
      </w:r>
      <w:r>
        <w:t xml:space="preserve"> </w:t>
      </w:r>
      <w:r>
        <w:tab/>
      </w:r>
      <w:hyperlink r:id="rId48">
        <w:r>
          <w:rPr>
            <w:rStyle w:val="Hyperlnk"/>
            <w:noProof w:val="0"/>
            <w:color w:val="auto"/>
            <w:bdr w:val="none" w:sz="0" w:space="0" w:color="auto" w:frame="1"/>
          </w:rPr>
          <w:t>Europaparlamentets och rådets direktiv 2013/39/EU av den 12 augusti 2013 om ändring av direktiven 2000/60/EG och 2008/105/EG vad gäller prioriterade ämnen på vattenpolitikens område.</w:t>
        </w:r>
      </w:hyperlink>
    </w:p>
  </w:footnote>
  <w:footnote w:id="61">
    <w:p w:rsidR="003F7836" w:rsidRDefault="003F7836">
      <w:pPr>
        <w:pStyle w:val="Fotnotstext"/>
      </w:pPr>
      <w:r>
        <w:rPr>
          <w:rStyle w:val="Fotnotsreferens"/>
        </w:rPr>
        <w:footnoteRef/>
      </w:r>
      <w:r>
        <w:t xml:space="preserve"> </w:t>
      </w:r>
      <w:r>
        <w:tab/>
        <w:t>Om medlemsstaterna använder alternativet tillämpning över hela territoriet för direktivet om rening av avloppsvatten från tätbebyggelse och/eller nitratdirektivet ska de inte ange ytvattenförekomster som skyddade områden.</w:t>
      </w:r>
    </w:p>
  </w:footnote>
  <w:footnote w:id="62">
    <w:p w:rsidR="003F7836" w:rsidRDefault="003F7836">
      <w:pPr>
        <w:pStyle w:val="Fotnotstext"/>
      </w:pPr>
      <w:r>
        <w:rPr>
          <w:rStyle w:val="Fotnotsreferens"/>
        </w:rPr>
        <w:footnoteRef/>
      </w:r>
      <w:r>
        <w:t xml:space="preserve"> </w:t>
      </w:r>
      <w:r>
        <w:tab/>
        <w:t xml:space="preserve">Europaparlamentets och rådets direktiv 2006/113/EG av den 12 december 2006 om kvalitetskrav för skaldjursvatten </w:t>
      </w:r>
      <w:hyperlink r:id="rId49">
        <w:r>
          <w:rPr>
            <w:rStyle w:val="Hyperlnk"/>
            <w:noProof w:val="0"/>
            <w:color w:val="auto"/>
          </w:rPr>
          <w:t>http://eur-lex.europa.eu/legal-content/SV/TXT/PDF/?uri=CELEX:32006L0113&amp;from=SV</w:t>
        </w:r>
      </w:hyperlink>
    </w:p>
  </w:footnote>
  <w:footnote w:id="63">
    <w:p w:rsidR="003F7836" w:rsidRDefault="003F7836">
      <w:pPr>
        <w:pStyle w:val="Fotnotstext"/>
      </w:pPr>
      <w:r>
        <w:rPr>
          <w:rStyle w:val="Fotnotsreferens"/>
        </w:rPr>
        <w:footnoteRef/>
      </w:r>
      <w:r>
        <w:t xml:space="preserve"> </w:t>
      </w:r>
      <w:r>
        <w:tab/>
        <w:t xml:space="preserve">Europaparlamentets och rådets direktiv 2006/44/EG av den 6 september 2006 om kvaliteten på sådant sötvatten som behöver skyddas eller förbättras för att upprätthålla fiskbestånden </w:t>
      </w:r>
      <w:hyperlink r:id="rId50">
        <w:r>
          <w:rPr>
            <w:rStyle w:val="Hyperlnk"/>
            <w:noProof w:val="0"/>
            <w:color w:val="auto"/>
          </w:rPr>
          <w:t>http://eur-lex.europa.eu/legal-content/SV/TXT/PDF/?uri=CELEX:32006L0044&amp;qid=1439559844301&amp;from=SV</w:t>
        </w:r>
      </w:hyperlink>
    </w:p>
  </w:footnote>
  <w:footnote w:id="64">
    <w:p w:rsidR="003F7836" w:rsidRDefault="003F7836">
      <w:pPr>
        <w:pStyle w:val="Fotnotstext"/>
      </w:pPr>
      <w:r>
        <w:rPr>
          <w:rStyle w:val="Fotnotsreferens"/>
        </w:rPr>
        <w:footnoteRef/>
      </w:r>
      <w:r>
        <w:t xml:space="preserve"> </w:t>
      </w:r>
      <w:r>
        <w:tab/>
        <w:t xml:space="preserve">Europaparlamentets och rådets direktiv 2009/147/EG av den 30 november 2009 om bevarande av vilda fåglar </w:t>
      </w:r>
      <w:hyperlink r:id="rId51">
        <w:r>
          <w:rPr>
            <w:rStyle w:val="Hyperlnk"/>
            <w:noProof w:val="0"/>
            <w:color w:val="auto"/>
          </w:rPr>
          <w:t>http://eur-lex.europa.eu/legal-content/SV/TXT/PDF/?uri=CELEX:32009L0147&amp;qid=1439559916722&amp;from=SV</w:t>
        </w:r>
      </w:hyperlink>
    </w:p>
  </w:footnote>
  <w:footnote w:id="65">
    <w:p w:rsidR="003F7836" w:rsidRDefault="003F7836">
      <w:pPr>
        <w:pStyle w:val="Fotnotstext"/>
      </w:pPr>
      <w:r>
        <w:rPr>
          <w:rStyle w:val="Fotnotsreferens"/>
        </w:rPr>
        <w:footnoteRef/>
      </w:r>
      <w:r>
        <w:t xml:space="preserve"> </w:t>
      </w:r>
      <w:r>
        <w:tab/>
        <w:t xml:space="preserve">Rådets direktiv 92/43/EEG av den 21 maj 1992 om bevarande av livsmiljöer samt vilda djur och växter </w:t>
      </w:r>
      <w:hyperlink r:id="rId52">
        <w:r>
          <w:rPr>
            <w:rStyle w:val="Hyperlnk"/>
            <w:noProof w:val="0"/>
            <w:color w:val="auto"/>
          </w:rPr>
          <w:t>http://eur-lex.europa.eu/legal-content/SV/TXT/PDF/?uri=CELEX:31992L0043&amp;qid=1439559990883&amp;from=SV</w:t>
        </w:r>
      </w:hyperlink>
    </w:p>
  </w:footnote>
  <w:footnote w:id="66">
    <w:p w:rsidR="003F7836" w:rsidRDefault="003F7836">
      <w:pPr>
        <w:pStyle w:val="Fotnotstext"/>
      </w:pPr>
      <w:r>
        <w:rPr>
          <w:rStyle w:val="Fotnotsreferens"/>
        </w:rPr>
        <w:footnoteRef/>
      </w:r>
      <w:r>
        <w:t xml:space="preserve"> </w:t>
      </w:r>
      <w:r>
        <w:tab/>
        <w:t>Observera att multipliciteten för klassen SWAssociatedProtectedArea är ”0 to many”. Om det inte finns några förbundna skyddade områden att rapportera för den berörda vattenförekomsten behöver hela denna klass inte rapporteras.</w:t>
      </w:r>
    </w:p>
  </w:footnote>
  <w:footnote w:id="67">
    <w:p w:rsidR="003F7836" w:rsidRDefault="003F7836">
      <w:pPr>
        <w:pStyle w:val="Fotnotstext"/>
      </w:pPr>
      <w:r>
        <w:rPr>
          <w:rStyle w:val="Fotnotsreferens"/>
        </w:rPr>
        <w:footnoteRef/>
      </w:r>
      <w:r>
        <w:t xml:space="preserve"> </w:t>
      </w:r>
      <w:r>
        <w:tab/>
        <w:t>Observera att multiplikationen för klassen GWAssociatedProtectedArea är ”0 to many”. Om det inte finns några förbundna skyddade områden att rapportera för den berörda vattenförekomsten behöver hela denna klass inte rapporteras.</w:t>
      </w:r>
    </w:p>
  </w:footnote>
  <w:footnote w:id="68">
    <w:p w:rsidR="003F7836" w:rsidRDefault="003F7836">
      <w:pPr>
        <w:pStyle w:val="Fotnotstext"/>
      </w:pPr>
      <w:r>
        <w:rPr>
          <w:rStyle w:val="Fotnotsreferens"/>
        </w:rPr>
        <w:footnoteRef/>
      </w:r>
      <w:r>
        <w:t xml:space="preserve"> </w:t>
      </w:r>
      <w:r>
        <w:tab/>
        <w:t xml:space="preserve">Medlemsstatens ISO-landskod med två bokstäver: </w:t>
      </w:r>
      <w:hyperlink r:id="rId53">
        <w:r>
          <w:rPr>
            <w:rStyle w:val="Hyperlnk"/>
            <w:noProof w:val="0"/>
            <w:color w:val="auto"/>
          </w:rPr>
          <w:t>http://publications.europa.eu/code/sv/sv-370100.htm</w:t>
        </w:r>
      </w:hyperlink>
      <w:r>
        <w:t xml:space="preserve"> (Obs: Använd ”EL” för Grekland och ”UK” för Storbritannien).</w:t>
      </w:r>
    </w:p>
  </w:footnote>
  <w:footnote w:id="69">
    <w:p w:rsidR="003F7836" w:rsidRDefault="003F7836">
      <w:pPr>
        <w:pStyle w:val="Fotnotstext"/>
      </w:pPr>
      <w:r>
        <w:rPr>
          <w:rStyle w:val="Fotnotsreferens"/>
        </w:rPr>
        <w:footnoteRef/>
      </w:r>
      <w:r>
        <w:t xml:space="preserve"> </w:t>
      </w:r>
      <w:r>
        <w:tab/>
        <w:t xml:space="preserve">Medlemsstatens ISO-landskod med två bokstäver: </w:t>
      </w:r>
      <w:hyperlink r:id="rId54">
        <w:r>
          <w:rPr>
            <w:rStyle w:val="Hyperlnk"/>
            <w:noProof w:val="0"/>
            <w:color w:val="auto"/>
          </w:rPr>
          <w:t>http://publications.europa.eu/code/sv/sv-370100.htm</w:t>
        </w:r>
      </w:hyperlink>
      <w:r>
        <w:t xml:space="preserve"> (Obs: Använd ”EL” för Grekland och ”UK” för Storbritannien).</w:t>
      </w:r>
    </w:p>
  </w:footnote>
  <w:footnote w:id="70">
    <w:p w:rsidR="003F7836" w:rsidRDefault="003F7836">
      <w:pPr>
        <w:pStyle w:val="Fotnotstext"/>
      </w:pPr>
      <w:r>
        <w:rPr>
          <w:rStyle w:val="Fotnotsreferens"/>
        </w:rPr>
        <w:footnoteRef/>
      </w:r>
      <w:r>
        <w:t xml:space="preserve"> </w:t>
      </w:r>
      <w:r>
        <w:tab/>
        <w:t>Observera att multipliciteten för klassen SubUnit är ”0 to many”. Om det inte finns några delavrinningsdistrikt i avrinningsdistriktet behöver hela denna klass inte rapporteras.</w:t>
      </w:r>
    </w:p>
  </w:footnote>
  <w:footnote w:id="71">
    <w:p w:rsidR="003F7836" w:rsidRDefault="003F7836">
      <w:pPr>
        <w:pStyle w:val="Fotnotstext"/>
      </w:pPr>
      <w:r>
        <w:rPr>
          <w:rStyle w:val="Fotnotsreferens"/>
        </w:rPr>
        <w:footnoteRef/>
      </w:r>
      <w:r>
        <w:t xml:space="preserve"> </w:t>
      </w:r>
      <w:r>
        <w:tab/>
        <w:t xml:space="preserve">Medlemsstatens ISO-landskod med två bokstäver: </w:t>
      </w:r>
      <w:hyperlink r:id="rId55">
        <w:r>
          <w:rPr>
            <w:rStyle w:val="Hyperlnk"/>
            <w:noProof w:val="0"/>
            <w:color w:val="auto"/>
          </w:rPr>
          <w:t>http://publications.europa.eu/code/sv/sv-370100.htm</w:t>
        </w:r>
      </w:hyperlink>
      <w:r>
        <w:t xml:space="preserve"> (Obs: Använd ”EL” för Grekland och ”UK” för Storbritannien).</w:t>
      </w:r>
    </w:p>
  </w:footnote>
  <w:footnote w:id="72">
    <w:p w:rsidR="003F7836" w:rsidRDefault="003F7836">
      <w:pPr>
        <w:pStyle w:val="Fotnotstext"/>
      </w:pPr>
      <w:r>
        <w:rPr>
          <w:rStyle w:val="Fotnotsreferens"/>
        </w:rPr>
        <w:footnoteRef/>
      </w:r>
      <w:r>
        <w:t xml:space="preserve"> </w:t>
      </w:r>
      <w:r>
        <w:tab/>
        <w:t>https://circabc.europa.eu/sd/a/655e3e31-3b5d-4053-be19-15bd22b15ba9/Guidance%20No%202%20-%20Identification%20of%20water%20bodies.pdf</w:t>
      </w:r>
    </w:p>
  </w:footnote>
  <w:footnote w:id="73">
    <w:p w:rsidR="003F7836" w:rsidRDefault="003F7836">
      <w:pPr>
        <w:pStyle w:val="Fotnotstext"/>
      </w:pPr>
      <w:r>
        <w:rPr>
          <w:rStyle w:val="Fotnotsreferens"/>
        </w:rPr>
        <w:footnoteRef/>
      </w:r>
      <w:r>
        <w:t xml:space="preserve"> </w:t>
      </w:r>
      <w:r>
        <w:tab/>
        <w:t>https://circabc.europa.eu/sd/a/f9b057f4-4a91-46a3-b69a-e23b4cada8ef/Guidance%20No%204%20-%20heavily%20modified%20water%20bodies%20-%20HMWB%20(WG%202.2).pdf</w:t>
      </w:r>
    </w:p>
  </w:footnote>
  <w:footnote w:id="74">
    <w:p w:rsidR="003F7836" w:rsidRDefault="003F7836">
      <w:pPr>
        <w:pStyle w:val="Fotnotstext"/>
      </w:pPr>
      <w:r>
        <w:rPr>
          <w:rStyle w:val="Fotnotsreferens"/>
        </w:rPr>
        <w:footnoteRef/>
      </w:r>
      <w:r>
        <w:t xml:space="preserve"> </w:t>
      </w:r>
      <w:r>
        <w:tab/>
        <w:t>https://circabc.europa.eu/sd/a/85912f96-4dca-432e-84d6-a4dded785da5/Guidance%20No%205%20-%20characterisation%20of%20coastal%20waters%20-%20COAST%20(WG%202.4).pdf</w:t>
      </w:r>
    </w:p>
  </w:footnote>
  <w:footnote w:id="75">
    <w:p w:rsidR="003F7836" w:rsidRDefault="003F7836">
      <w:pPr>
        <w:pStyle w:val="Fotnotstext"/>
      </w:pPr>
      <w:r>
        <w:rPr>
          <w:rStyle w:val="Fotnotsreferens"/>
        </w:rPr>
        <w:footnoteRef/>
      </w:r>
      <w:r>
        <w:t xml:space="preserve"> </w:t>
      </w:r>
      <w:r>
        <w:tab/>
        <w:t>https://circabc.europa.eu/sd/a/dce34c8d-6e3d-469a-a6f3-b733b829b691/Guidance%20No%2010%20-%20references%20conditions%20inland%20waters%20-%20REFCOND%20(WG%202.3).pdf</w:t>
      </w:r>
    </w:p>
  </w:footnote>
  <w:footnote w:id="76">
    <w:p w:rsidR="003F7836" w:rsidRDefault="003F7836">
      <w:pPr>
        <w:pStyle w:val="Fotnotstext"/>
      </w:pPr>
      <w:r>
        <w:rPr>
          <w:rStyle w:val="Fotnotsreferens"/>
        </w:rPr>
        <w:footnoteRef/>
      </w:r>
      <w:r>
        <w:t xml:space="preserve"> </w:t>
      </w:r>
      <w:r>
        <w:tab/>
        <w:t>http://eur-lex.europa.eu/LexUriServ/LexUriServ.do?uri=OJ:L:2008:332:0020:0044:SV:PDF</w:t>
      </w:r>
    </w:p>
  </w:footnote>
  <w:footnote w:id="77">
    <w:p w:rsidR="003F7836" w:rsidRDefault="003F7836">
      <w:pPr>
        <w:pStyle w:val="Fotnotstext"/>
      </w:pPr>
      <w:r>
        <w:rPr>
          <w:rStyle w:val="Fotnotsreferens"/>
        </w:rPr>
        <w:footnoteRef/>
      </w:r>
      <w:r>
        <w:t xml:space="preserve"> </w:t>
      </w:r>
      <w:r>
        <w:tab/>
        <w:t>https://circabc.europa.eu/sd/a/61fbcb5b-eb52-44fd-810a-63735d5e4775/IC_GUIDANCE_FINAL_16Dec2010.pdf</w:t>
      </w:r>
    </w:p>
  </w:footnote>
  <w:footnote w:id="78">
    <w:p w:rsidR="003F7836" w:rsidRPr="008D6A99" w:rsidRDefault="003F7836">
      <w:pPr>
        <w:pStyle w:val="Fotnotstext"/>
        <w:rPr>
          <w:sz w:val="24"/>
          <w:lang w:val="en-GB"/>
        </w:rPr>
      </w:pPr>
      <w:r>
        <w:rPr>
          <w:rStyle w:val="Fotnotsreferens"/>
        </w:rPr>
        <w:footnoteRef/>
      </w:r>
      <w:r w:rsidRPr="008D6A99">
        <w:rPr>
          <w:lang w:val="en-GB"/>
        </w:rPr>
        <w:t xml:space="preserve"> </w:t>
      </w:r>
      <w:r w:rsidRPr="008D6A99">
        <w:rPr>
          <w:lang w:val="en-GB"/>
        </w:rPr>
        <w:tab/>
        <w:t xml:space="preserve">CIS-vägledningsdokument nr 4: </w:t>
      </w:r>
      <w:r w:rsidRPr="008D6A99">
        <w:rPr>
          <w:i/>
          <w:lang w:val="en-GB"/>
        </w:rPr>
        <w:t>Identification and Designation of Heavily Modified and Artificial Water Bodies</w:t>
      </w:r>
      <w:r w:rsidRPr="008D6A99">
        <w:rPr>
          <w:lang w:val="en-GB"/>
        </w:rPr>
        <w:t xml:space="preserve"> https://circabc.europa.eu/sd/a/f9b057f4-4a91-46a3-b69a-e23b4cada8ef/Guidance%20No%204%20-%20heavily%20modified%20water%20bodies%20-%20HMWB%20(WG%202.2).pdf</w:t>
      </w:r>
    </w:p>
  </w:footnote>
  <w:footnote w:id="79">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r>
      <w:hyperlink r:id="rId56">
        <w:r w:rsidRPr="008D6A99">
          <w:rPr>
            <w:rStyle w:val="Hyperlnk"/>
            <w:noProof w:val="0"/>
            <w:color w:val="auto"/>
            <w:lang w:val="en-GB"/>
          </w:rPr>
          <w:t>https://circabc.europa.eu/sd/a/0cc3581b-5f65-4b6f-91c6-433a1e947838/TGD-EQS%20CIS-WFD%2027%20EC%202011.pdf</w:t>
        </w:r>
      </w:hyperlink>
    </w:p>
  </w:footnote>
  <w:footnote w:id="80">
    <w:p w:rsidR="003F7836" w:rsidRPr="008D6A99" w:rsidRDefault="003F7836" w:rsidP="00546A5D">
      <w:pPr>
        <w:pStyle w:val="Fotnotstext"/>
        <w:ind w:left="360" w:hanging="360"/>
        <w:rPr>
          <w:lang w:val="en-GB"/>
        </w:rPr>
      </w:pPr>
      <w:r>
        <w:rPr>
          <w:rStyle w:val="Fotnotsreferens"/>
        </w:rPr>
        <w:footnoteRef/>
      </w:r>
      <w:r w:rsidRPr="008D6A99">
        <w:rPr>
          <w:lang w:val="en-GB"/>
        </w:rPr>
        <w:t xml:space="preserve"> </w:t>
      </w:r>
      <w:r w:rsidRPr="008D6A99">
        <w:rPr>
          <w:lang w:val="en-GB"/>
        </w:rPr>
        <w:tab/>
      </w:r>
      <w:hyperlink r:id="rId57">
        <w:r w:rsidRPr="008D6A99">
          <w:rPr>
            <w:rStyle w:val="Hyperlnk"/>
            <w:noProof w:val="0"/>
            <w:color w:val="auto"/>
            <w:lang w:val="en-GB"/>
          </w:rPr>
          <w:t>http://eur-lex.europa.eu/LexUriServ/LexUriServ.do?uri=OJ:L:2009:201:0036:0038:SV:PDF</w:t>
        </w:r>
      </w:hyperlink>
      <w:r w:rsidRPr="008D6A99">
        <w:rPr>
          <w:lang w:val="en-GB"/>
        </w:rPr>
        <w:t xml:space="preserve"> </w:t>
      </w:r>
    </w:p>
  </w:footnote>
  <w:footnote w:id="81">
    <w:p w:rsidR="003F7836" w:rsidRPr="008D6A99" w:rsidRDefault="003F7836" w:rsidP="00546A5D">
      <w:pPr>
        <w:pStyle w:val="Fotnotstext"/>
        <w:ind w:left="360" w:hanging="360"/>
        <w:rPr>
          <w:lang w:val="en-GB"/>
        </w:rPr>
      </w:pPr>
      <w:r>
        <w:rPr>
          <w:rStyle w:val="Fotnotsreferens"/>
        </w:rPr>
        <w:footnoteRef/>
      </w:r>
      <w:r w:rsidRPr="008D6A99">
        <w:rPr>
          <w:lang w:val="en-GB"/>
        </w:rPr>
        <w:tab/>
      </w:r>
      <w:hyperlink r:id="rId58">
        <w:r w:rsidRPr="008D6A99">
          <w:rPr>
            <w:rStyle w:val="Hyperlnk"/>
            <w:noProof w:val="0"/>
            <w:color w:val="auto"/>
            <w:lang w:val="en-GB"/>
          </w:rPr>
          <w:t>http://eur-lex.europa.eu/LexUriServ/LexUriServ.do?uri=OJ:L:2009:201:0036:0038:SV:PDF</w:t>
        </w:r>
      </w:hyperlink>
      <w:r w:rsidRPr="008D6A99">
        <w:rPr>
          <w:lang w:val="en-GB"/>
        </w:rPr>
        <w:t xml:space="preserve"> </w:t>
      </w:r>
    </w:p>
  </w:footnote>
  <w:footnote w:id="82">
    <w:p w:rsidR="003F7836" w:rsidRDefault="003F7836">
      <w:pPr>
        <w:pStyle w:val="Tablestyle2"/>
        <w:spacing w:before="0" w:after="0"/>
        <w:ind w:left="0" w:right="0"/>
      </w:pPr>
      <w:r>
        <w:rPr>
          <w:rStyle w:val="Fotnotsreferens"/>
          <w:rFonts w:ascii="Calibri Light" w:hAnsi="Calibri Light"/>
        </w:rPr>
        <w:footnoteRef/>
      </w:r>
      <w:r>
        <w:rPr>
          <w:rFonts w:ascii="Calibri Light" w:hAnsi="Calibri Light"/>
        </w:rPr>
        <w:t xml:space="preserve"> </w:t>
      </w:r>
      <w:r>
        <w:tab/>
      </w:r>
      <w:r>
        <w:rPr>
          <w:rFonts w:ascii="Calibri Light" w:hAnsi="Calibri Light"/>
        </w:rPr>
        <w:t>När det gäller jämförbarhet mellan GEP och GES, se slutsatserna från CIS HMWB-workshop 2010, punkt 60A:</w:t>
      </w:r>
      <w:r>
        <w:t xml:space="preserve"> </w:t>
      </w:r>
      <w:hyperlink r:id="rId59">
        <w:r>
          <w:rPr>
            <w:rStyle w:val="Hyperlnk"/>
            <w:color w:val="auto"/>
          </w:rPr>
          <w:t>https://circabc.europa.eu/sd/a/cd419883-ff4d-4d43-a82b-aef3d33e04ed/Conclusions%20HMWB%20workshop%20Brussels%20March%202009.pdf</w:t>
        </w:r>
      </w:hyperlink>
    </w:p>
  </w:footnote>
  <w:footnote w:id="83">
    <w:p w:rsidR="003F7836" w:rsidRDefault="003F7836">
      <w:pPr>
        <w:pStyle w:val="Fotnotstext"/>
      </w:pPr>
      <w:r>
        <w:rPr>
          <w:rStyle w:val="Fotnotsreferens"/>
        </w:rPr>
        <w:footnoteRef/>
      </w:r>
      <w:r>
        <w:t xml:space="preserve"> </w:t>
      </w:r>
      <w:r>
        <w:tab/>
        <w:t>https://circabc.europa.eu/sd/a/655e3e31-3b5d-4053-be19-15bd22b15ba9/Guidance%20No%202%20-%20Identification%20of%20water%20bodies.pdf</w:t>
      </w:r>
    </w:p>
  </w:footnote>
  <w:footnote w:id="84">
    <w:p w:rsidR="003F7836" w:rsidRDefault="003F7836">
      <w:pPr>
        <w:pStyle w:val="Fotnotstext"/>
      </w:pPr>
      <w:r>
        <w:rPr>
          <w:rStyle w:val="Fotnotsreferens"/>
        </w:rPr>
        <w:footnoteRef/>
      </w:r>
      <w:r>
        <w:t xml:space="preserve"> </w:t>
      </w:r>
      <w:r>
        <w:tab/>
        <w:t>https://circabc.europa.eu/sd/a/f9b057f4-4a91-46a3-b69a-e23b4cada8ef/Guidance%20No%204%20-%20heavily%20modified%20water%20bodies%20-%20HMWB%20(WG%202.2).pdf</w:t>
      </w:r>
    </w:p>
  </w:footnote>
  <w:footnote w:id="85">
    <w:p w:rsidR="003F7836" w:rsidRDefault="003F7836">
      <w:pPr>
        <w:pStyle w:val="Fotnotstext"/>
      </w:pPr>
      <w:r>
        <w:rPr>
          <w:rStyle w:val="Fotnotsreferens"/>
        </w:rPr>
        <w:footnoteRef/>
      </w:r>
      <w:r>
        <w:t xml:space="preserve"> </w:t>
      </w:r>
      <w:r>
        <w:tab/>
        <w:t>https://circabc.europa.eu/sd/a/85912f96-4dca-432e-84d6-a4dded785da5/Guidance%20No%205%20-%20characterisation%20of%20coastal%20waters%20-%20COAST%20(WG%202.4).pdf</w:t>
      </w:r>
    </w:p>
  </w:footnote>
  <w:footnote w:id="86">
    <w:p w:rsidR="003F7836" w:rsidRDefault="003F7836">
      <w:pPr>
        <w:pStyle w:val="Fotnotstext"/>
      </w:pPr>
      <w:r>
        <w:rPr>
          <w:rStyle w:val="Fotnotsreferens"/>
        </w:rPr>
        <w:footnoteRef/>
      </w:r>
      <w:r>
        <w:t xml:space="preserve"> </w:t>
      </w:r>
      <w:r>
        <w:tab/>
        <w:t>https://circabc.europa.eu/sd/a/dce34c8d-6e3d-469a-a6f3-b733b829b691/Guidance%20No%2010%20-%20references%20conditions%20inland%20waters%20-%20REFCOND%20(WG%202.3).pdf</w:t>
      </w:r>
    </w:p>
  </w:footnote>
  <w:footnote w:id="87">
    <w:p w:rsidR="003F7836" w:rsidRDefault="003F7836">
      <w:pPr>
        <w:pStyle w:val="Fotnotstext"/>
      </w:pPr>
      <w:r>
        <w:rPr>
          <w:rStyle w:val="Fotnotsreferens"/>
        </w:rPr>
        <w:footnoteRef/>
      </w:r>
      <w:r>
        <w:t xml:space="preserve"> </w:t>
      </w:r>
      <w:r>
        <w:tab/>
        <w:t>https://circabc.europa.eu/sd/a/06480e87-27a6-41e6-b165-0581c2b046ad/Guidance%20No%2013%20-%20Classification%20of%20Ecological%20Status%20(WG%20A).pdf</w:t>
      </w:r>
    </w:p>
  </w:footnote>
  <w:footnote w:id="88">
    <w:p w:rsidR="003F7836" w:rsidRDefault="003F7836">
      <w:pPr>
        <w:pStyle w:val="Fotnotstext"/>
      </w:pPr>
      <w:r>
        <w:rPr>
          <w:rStyle w:val="Fotnotsreferens"/>
        </w:rPr>
        <w:footnoteRef/>
      </w:r>
      <w:r>
        <w:t xml:space="preserve"> </w:t>
      </w:r>
      <w:r>
        <w:tab/>
        <w:t>http://eur-lex.europa.eu/LexUriServ/LexUriServ.do?uri=OJ:L:2008:348:0084:0097:sv:PDF</w:t>
      </w:r>
    </w:p>
  </w:footnote>
  <w:footnote w:id="89">
    <w:p w:rsidR="003F7836" w:rsidRDefault="003F7836">
      <w:pPr>
        <w:pStyle w:val="Fotnotstext"/>
      </w:pPr>
      <w:r>
        <w:rPr>
          <w:rStyle w:val="Fotnotsreferens"/>
        </w:rPr>
        <w:footnoteRef/>
      </w:r>
      <w:r>
        <w:t xml:space="preserve"> </w:t>
      </w:r>
      <w:r>
        <w:tab/>
        <w:t xml:space="preserve">Se skäl 9 i direktiv 2013/39/EU och artikel 3.1a i direktiv 2008/105/EG, i dess ändrade lydelse enligt direktiv 2013/39/EU. Genom direktiv 2013/39/EU införs mindre stränga AA-EQS för naftalen i vatten i övergångszoner och kustvatten. När det gäller naftalen bör denna norm tillämpas för bestämningen av kemisk status. För alla andra ämnen ska normerna i direktiv 2008/105/EG i kraft den 13 januari 2009 tillämpas. </w:t>
      </w:r>
    </w:p>
  </w:footnote>
  <w:footnote w:id="90">
    <w:p w:rsidR="003F7836" w:rsidRDefault="003F7836">
      <w:pPr>
        <w:pStyle w:val="Fotnotstext"/>
      </w:pPr>
      <w:r>
        <w:rPr>
          <w:rStyle w:val="Fotnotsreferens"/>
        </w:rPr>
        <w:footnoteRef/>
      </w:r>
      <w:r>
        <w:t xml:space="preserve"> http://eur-lex.europa.eu/LexUriServ/LexUriServ.do?uri=OJ:L:2009:201:0036:0038:SV:PDF</w:t>
      </w:r>
    </w:p>
  </w:footnote>
  <w:footnote w:id="91">
    <w:p w:rsidR="003F7836" w:rsidRDefault="003F7836">
      <w:pPr>
        <w:pStyle w:val="Fotnotstext"/>
      </w:pPr>
      <w:r>
        <w:rPr>
          <w:rStyle w:val="Fotnotsreferens"/>
        </w:rPr>
        <w:footnoteRef/>
      </w:r>
      <w:r>
        <w:t xml:space="preserve"> </w:t>
      </w:r>
      <w:r>
        <w:tab/>
        <w:t>http://eur-lex.europa.eu/LexUriServ/LexUriServ.do?uri=OJ:L:2008:348:0084:0097:sv:PDF</w:t>
      </w:r>
    </w:p>
  </w:footnote>
  <w:footnote w:id="92">
    <w:p w:rsidR="003F7836" w:rsidRDefault="003F7836">
      <w:pPr>
        <w:pStyle w:val="Fotnotstext"/>
      </w:pPr>
      <w:r>
        <w:rPr>
          <w:rStyle w:val="Fotnotsreferens"/>
        </w:rPr>
        <w:footnoteRef/>
      </w:r>
      <w:r>
        <w:t xml:space="preserve"> </w:t>
      </w:r>
      <w:r>
        <w:tab/>
        <w:t>https://circabc.europa.eu/sd/d/78ce94bb-6f1c-4379-87ac-88a18967c4c3/Technical%20Background%20Document%20on%20the%20Identification%20of%20Mixing%20Zones.doc</w:t>
      </w:r>
    </w:p>
  </w:footnote>
  <w:footnote w:id="93">
    <w:p w:rsidR="003F7836" w:rsidRDefault="003F7836">
      <w:pPr>
        <w:pStyle w:val="Fotnotstext"/>
      </w:pPr>
      <w:r>
        <w:rPr>
          <w:rStyle w:val="Fotnotsreferens"/>
        </w:rPr>
        <w:footnoteRef/>
      </w:r>
      <w:r>
        <w:t xml:space="preserve"> </w:t>
      </w:r>
      <w:r>
        <w:tab/>
        <w:t>http://eur-lex.europa.eu/LexUriServ/LexUriServ.do?uri=OJ:L:2009:201:0036:0038:SV:PDF</w:t>
      </w:r>
    </w:p>
  </w:footnote>
  <w:footnote w:id="94">
    <w:p w:rsidR="003F7836" w:rsidRDefault="003F7836">
      <w:pPr>
        <w:pStyle w:val="Fotnotstext"/>
      </w:pPr>
      <w:r>
        <w:rPr>
          <w:rStyle w:val="Fotnotsreferens"/>
        </w:rPr>
        <w:footnoteRef/>
      </w:r>
      <w:r>
        <w:t xml:space="preserve"> </w:t>
      </w:r>
      <w:r>
        <w:tab/>
        <w:t>https://circabc.europa.eu/sd/a/7e01a7e0-9ccb-4f3d-8cec-aeef1335c2f7/Guidance%20No%203%20-%20pressures%20and%20impacts%20-%20IMPRESS%20(WG%202.1).pdf</w:t>
      </w:r>
    </w:p>
  </w:footnote>
  <w:footnote w:id="95">
    <w:p w:rsidR="003F7836" w:rsidRDefault="003F7836">
      <w:pPr>
        <w:pStyle w:val="Fotnotstext"/>
      </w:pPr>
      <w:r>
        <w:rPr>
          <w:rStyle w:val="Fotnotsreferens"/>
        </w:rPr>
        <w:footnoteRef/>
      </w:r>
      <w:r>
        <w:t xml:space="preserve"> </w:t>
      </w:r>
      <w:r>
        <w:tab/>
        <w:t>https://circabc.europa.eu/sd/a/2a3ec00a-d0e6-405f-bf66-60e212555db1/Guidance_documentN%C2%B020_Mars09.pdf</w:t>
      </w:r>
    </w:p>
  </w:footnote>
  <w:footnote w:id="96">
    <w:p w:rsidR="003F7836" w:rsidRDefault="003F7836">
      <w:pPr>
        <w:pStyle w:val="Fotnotstext"/>
        <w:rPr>
          <w:sz w:val="18"/>
          <w:szCs w:val="18"/>
        </w:rPr>
      </w:pPr>
      <w:r>
        <w:rPr>
          <w:rStyle w:val="Fotnotsreferens"/>
          <w:sz w:val="18"/>
        </w:rPr>
        <w:footnoteRef/>
      </w:r>
      <w:r>
        <w:tab/>
        <w:t>I detta rapporteringsblad avser begreppet ”betydande och ihållande uppåtgående trender” definitionen i artikel 2.3 i grundvattendirektivet.</w:t>
      </w:r>
    </w:p>
  </w:footnote>
  <w:footnote w:id="97">
    <w:p w:rsidR="003F7836" w:rsidRDefault="003F7836">
      <w:pPr>
        <w:pStyle w:val="Fotnotstext"/>
      </w:pPr>
      <w:r>
        <w:rPr>
          <w:rStyle w:val="Fotnotsreferens"/>
        </w:rPr>
        <w:footnoteRef/>
      </w:r>
      <w:r>
        <w:t xml:space="preserve"> </w:t>
      </w:r>
      <w:r>
        <w:tab/>
        <w:t>http://eur-lex.europa.eu/legal-content/SV/TXT/PDF/?uri=CELEX:32006L0118&amp;from=SV</w:t>
      </w:r>
    </w:p>
  </w:footnote>
  <w:footnote w:id="98">
    <w:p w:rsidR="003F7836" w:rsidRDefault="003F7836">
      <w:pPr>
        <w:pStyle w:val="Fotnotstext"/>
      </w:pPr>
      <w:r>
        <w:rPr>
          <w:rStyle w:val="Fotnotsreferens"/>
        </w:rPr>
        <w:footnoteRef/>
      </w:r>
      <w:r>
        <w:t xml:space="preserve"> </w:t>
      </w:r>
      <w:r>
        <w:tab/>
        <w:t>https://circabc.europa.eu/sd/a/ff303ad4-8783-43d3-989a-55b65ca03afc/Guidance_document_N%C2%B018.pdf</w:t>
      </w:r>
    </w:p>
  </w:footnote>
  <w:footnote w:id="99">
    <w:p w:rsidR="003F7836" w:rsidRDefault="003F7836">
      <w:pPr>
        <w:pStyle w:val="Fotnotstext"/>
      </w:pPr>
      <w:r>
        <w:rPr>
          <w:rStyle w:val="Fotnotsreferens"/>
        </w:rPr>
        <w:footnoteRef/>
      </w:r>
      <w:r>
        <w:t xml:space="preserve"> </w:t>
      </w:r>
      <w:r>
        <w:tab/>
        <w:t>https://circabc.europa.eu/sd/a/ff303ad4-8783-43d3-989a-55b65ca03afc/Guidance_document_N%C2%B018.pdf</w:t>
      </w:r>
    </w:p>
  </w:footnote>
  <w:footnote w:id="100">
    <w:p w:rsidR="003F7836" w:rsidRDefault="003F7836">
      <w:pPr>
        <w:pStyle w:val="Fotnotstext"/>
      </w:pPr>
      <w:r>
        <w:rPr>
          <w:rStyle w:val="Fotnotsreferens"/>
        </w:rPr>
        <w:footnoteRef/>
      </w:r>
      <w:r>
        <w:t xml:space="preserve"> </w:t>
      </w:r>
      <w:r>
        <w:tab/>
        <w:t>https://circabc.europa.eu/sd/a/7e01a7e0-9ccb-4f3d-8cec-aeef1335c2f7/Guidance%20No%203%20-%20pressures%20and%20impacts%20-%20IMPRESS%20(WG%202.1).pdf</w:t>
      </w:r>
    </w:p>
  </w:footnote>
  <w:footnote w:id="101">
    <w:p w:rsidR="003F7836" w:rsidRDefault="003F7836">
      <w:pPr>
        <w:pStyle w:val="Fotnotstext"/>
      </w:pPr>
      <w:r>
        <w:rPr>
          <w:rStyle w:val="Fotnotsreferens"/>
        </w:rPr>
        <w:footnoteRef/>
      </w:r>
      <w:r>
        <w:t xml:space="preserve"> </w:t>
      </w:r>
      <w:r>
        <w:tab/>
        <w:t>https://circabc.europa.eu/sd/a/2a3ec00a-d0e6-405f-bf66-60e212555db1/Guidance_documentN%C2%B020_Mars09.pdf</w:t>
      </w:r>
    </w:p>
  </w:footnote>
  <w:footnote w:id="102">
    <w:p w:rsidR="003F7836" w:rsidRDefault="003F7836">
      <w:pPr>
        <w:pStyle w:val="Fotnotstext"/>
      </w:pPr>
      <w:r>
        <w:rPr>
          <w:rStyle w:val="Fotnotsreferens"/>
        </w:rPr>
        <w:footnoteRef/>
      </w:r>
      <w:r>
        <w:t xml:space="preserve"> </w:t>
      </w:r>
      <w:r>
        <w:tab/>
        <w:t>http://eur-lex.europa.eu/legal-content/SV/TXT/PDF/?uri=CELEX:32006L0118&amp;from=SV</w:t>
      </w:r>
    </w:p>
  </w:footnote>
  <w:footnote w:id="103">
    <w:p w:rsidR="003F7836" w:rsidRDefault="003F7836">
      <w:pPr>
        <w:pStyle w:val="Fotnotstext"/>
      </w:pPr>
      <w:r>
        <w:rPr>
          <w:rStyle w:val="Fotnotsreferens"/>
        </w:rPr>
        <w:footnoteRef/>
      </w:r>
      <w:r>
        <w:t xml:space="preserve"> </w:t>
      </w:r>
      <w:r>
        <w:tab/>
        <w:t>https://circabc.europa.eu/sd/a/0fc804ff-5fe6-4874-8e0d-de3e47637a63/Guidance%20No%208%20-%20Public%20participation%20(WG%202.9).pdf</w:t>
      </w:r>
    </w:p>
  </w:footnote>
  <w:footnote w:id="104">
    <w:p w:rsidR="003F7836" w:rsidRDefault="003F7836">
      <w:pPr>
        <w:pStyle w:val="Fotnotstext"/>
      </w:pPr>
      <w:r>
        <w:rPr>
          <w:rStyle w:val="Fotnotsreferens"/>
        </w:rPr>
        <w:footnoteRef/>
      </w:r>
      <w:r>
        <w:t xml:space="preserve"> </w:t>
      </w:r>
      <w:r>
        <w:tab/>
      </w:r>
      <w:hyperlink r:id="rId60">
        <w:r>
          <w:rPr>
            <w:rStyle w:val="Hyperlnk"/>
            <w:noProof w:val="0"/>
            <w:color w:val="auto"/>
          </w:rPr>
          <w:t>http://ec.europa.eu/environment/archives/water/implrep2007/background.htm.</w:t>
        </w:r>
      </w:hyperlink>
    </w:p>
  </w:footnote>
  <w:footnote w:id="105">
    <w:p w:rsidR="003F7836" w:rsidRDefault="003F7836">
      <w:pPr>
        <w:pStyle w:val="Fotnotstext"/>
      </w:pPr>
      <w:r>
        <w:rPr>
          <w:rStyle w:val="Fotnotsreferens"/>
        </w:rPr>
        <w:footnoteRef/>
      </w:r>
      <w:r>
        <w:t xml:space="preserve"> </w:t>
      </w:r>
      <w:r>
        <w:tab/>
      </w:r>
      <w:hyperlink r:id="rId61">
        <w:r>
          <w:rPr>
            <w:rStyle w:val="Hyperlnk"/>
            <w:noProof w:val="0"/>
            <w:color w:val="auto"/>
          </w:rPr>
          <w:t>http://eur-lex.europa.eu/LexUriServ/LexUriServ.do?uri=OJ:L:2008:348:0084:0097:sv:PDF</w:t>
        </w:r>
      </w:hyperlink>
    </w:p>
  </w:footnote>
  <w:footnote w:id="106">
    <w:p w:rsidR="003F7836" w:rsidRDefault="003F7836">
      <w:pPr>
        <w:pStyle w:val="Fotnotstext"/>
      </w:pPr>
      <w:r>
        <w:rPr>
          <w:rStyle w:val="Fotnotsreferens"/>
        </w:rPr>
        <w:footnoteRef/>
      </w:r>
      <w:r>
        <w:t xml:space="preserve"> </w:t>
      </w:r>
      <w:r>
        <w:tab/>
      </w:r>
      <w:hyperlink r:id="rId62">
        <w:r>
          <w:rPr>
            <w:rStyle w:val="Hyperlnk"/>
            <w:noProof w:val="0"/>
            <w:color w:val="auto"/>
          </w:rPr>
          <w:t>http://eur-lex.europa.eu/LexUriServ/LexUriServ.do?uri=OJ:L:2006:033:0001:0017:SV:PDF</w:t>
        </w:r>
      </w:hyperlink>
    </w:p>
  </w:footnote>
  <w:footnote w:id="107">
    <w:p w:rsidR="003F7836" w:rsidRDefault="003F7836">
      <w:pPr>
        <w:pStyle w:val="Fotnotstext"/>
      </w:pPr>
      <w:r>
        <w:rPr>
          <w:vertAlign w:val="superscript"/>
        </w:rPr>
        <w:t>106</w:t>
      </w:r>
      <w:r>
        <w:t xml:space="preserve"> </w:t>
      </w:r>
      <w:r>
        <w:tab/>
      </w:r>
      <w:hyperlink r:id="rId63">
        <w:r>
          <w:rPr>
            <w:rStyle w:val="Hyperlnk"/>
            <w:noProof w:val="0"/>
            <w:color w:val="auto"/>
          </w:rPr>
          <w:t>https://circabc.europa.eu/sd/a/6a3fb5a0-4dec-4fde-a69d-5ac93dfbbadd/Guidance%20document%20n28.pdf</w:t>
        </w:r>
      </w:hyperlink>
      <w:r>
        <w:t xml:space="preserve"> </w:t>
      </w:r>
    </w:p>
    <w:p w:rsidR="003F7836" w:rsidRDefault="003F7836">
      <w:pPr>
        <w:pStyle w:val="Fotnotstext"/>
      </w:pPr>
    </w:p>
  </w:footnote>
  <w:footnote w:id="108">
    <w:p w:rsidR="003F7836" w:rsidRDefault="003F7836">
      <w:pPr>
        <w:pStyle w:val="Fotnotstext"/>
      </w:pPr>
      <w:r>
        <w:rPr>
          <w:rStyle w:val="Fotnotsreferens"/>
        </w:rPr>
        <w:footnoteRef/>
      </w:r>
      <w:r>
        <w:t xml:space="preserve"> </w:t>
      </w:r>
      <w:r>
        <w:tab/>
        <w:t>https://circabc.europa.eu/sd/a/6a3fb5a0-4dec-4fde-a69d-5ac93dfbbadd/Guidance%20document%20n28.pdf</w:t>
      </w:r>
    </w:p>
  </w:footnote>
  <w:footnote w:id="109">
    <w:p w:rsidR="003F7836" w:rsidRDefault="003F7836">
      <w:pPr>
        <w:pStyle w:val="Fotnotstext"/>
      </w:pPr>
      <w:r>
        <w:rPr>
          <w:rStyle w:val="Fotnotsreferens"/>
        </w:rPr>
        <w:footnoteRef/>
      </w:r>
      <w:r>
        <w:t xml:space="preserve"> </w:t>
      </w:r>
      <w:r>
        <w:tab/>
        <w:t>Tillförsel = Överföring av ett ämne till den akvatiska miljön, dvs. summan av utsläpp och spill (tillförsel) till yt- och grundvatten från land- och vattenbaserade källor samt punktkällor och diffusa källor, inklusive deposition från atmosfären.</w:t>
      </w:r>
    </w:p>
  </w:footnote>
  <w:footnote w:id="110">
    <w:p w:rsidR="003F7836" w:rsidRDefault="003F7836">
      <w:pPr>
        <w:pStyle w:val="Fotnotstext"/>
        <w:keepLines/>
      </w:pPr>
      <w:r>
        <w:rPr>
          <w:vertAlign w:val="superscript"/>
        </w:rPr>
        <w:t>109</w:t>
      </w:r>
      <w:r>
        <w:tab/>
        <w:t>Föroreningsvägen omfattar även utsläpp från förorenad mark.</w:t>
      </w:r>
    </w:p>
  </w:footnote>
  <w:footnote w:id="111">
    <w:p w:rsidR="003F7836" w:rsidRDefault="003F7836">
      <w:pPr>
        <w:pStyle w:val="Fotnotstext"/>
      </w:pPr>
      <w:r>
        <w:rPr>
          <w:rStyle w:val="Fotnotsreferens"/>
        </w:rPr>
        <w:footnoteRef/>
      </w:r>
      <w:r>
        <w:t xml:space="preserve"> </w:t>
      </w:r>
      <w:r>
        <w:tab/>
        <w:t>En del av de totala utsläppen från övergivna och historiska gruvor släpps ut till grundvattnet. Aktiva gruvor omfattas av ”Industri”.</w:t>
      </w:r>
    </w:p>
  </w:footnote>
  <w:footnote w:id="112">
    <w:p w:rsidR="003F7836" w:rsidRDefault="003F7836">
      <w:pPr>
        <w:pStyle w:val="Fotnotstext"/>
      </w:pPr>
      <w:r>
        <w:rPr>
          <w:rStyle w:val="Fotnotsreferens"/>
        </w:rPr>
        <w:footnoteRef/>
      </w:r>
      <w:r>
        <w:t xml:space="preserve"> </w:t>
      </w:r>
      <w:r>
        <w:tab/>
        <w:t>Trafik på inre vattenvägar omfattar även byggmaterial för vattenvägar.</w:t>
      </w:r>
    </w:p>
  </w:footnote>
  <w:footnote w:id="113">
    <w:p w:rsidR="003F7836" w:rsidRDefault="003F7836">
      <w:pPr>
        <w:pStyle w:val="Fotnotstext"/>
      </w:pPr>
      <w:r>
        <w:rPr>
          <w:rStyle w:val="Fotnotsreferens"/>
        </w:rPr>
        <w:footnoteRef/>
      </w:r>
      <w:r>
        <w:t xml:space="preserve"> </w:t>
      </w:r>
      <w:r>
        <w:tab/>
      </w:r>
      <w:hyperlink r:id="rId64">
        <w:r>
          <w:rPr>
            <w:rStyle w:val="Hyperlnk"/>
            <w:color w:val="auto"/>
          </w:rPr>
          <w:t>http://rod.eionet.europa.eu/obligations/632</w:t>
        </w:r>
      </w:hyperlink>
      <w:r>
        <w:t xml:space="preserve"> </w:t>
      </w:r>
    </w:p>
  </w:footnote>
  <w:footnote w:id="114">
    <w:p w:rsidR="003F7836" w:rsidRDefault="003F7836">
      <w:pPr>
        <w:pStyle w:val="Fotnotstext"/>
      </w:pPr>
      <w:r>
        <w:rPr>
          <w:rStyle w:val="Fotnotsreferens"/>
        </w:rPr>
        <w:footnoteRef/>
      </w:r>
      <w:r>
        <w:t xml:space="preserve"> </w:t>
      </w:r>
      <w:r>
        <w:tab/>
      </w:r>
      <w:hyperlink r:id="rId65">
        <w:r>
          <w:rPr>
            <w:rStyle w:val="Hyperlnk"/>
            <w:color w:val="auto"/>
          </w:rPr>
          <w:t>https://circabc.europa.eu/sd/a/6a3fb5a0-4dec-4fde-a69d-5ac93dfbbadd/Guidance%20document%20n28.pdf</w:t>
        </w:r>
      </w:hyperlink>
    </w:p>
  </w:footnote>
  <w:footnote w:id="115">
    <w:p w:rsidR="003F7836" w:rsidRDefault="003F7836">
      <w:pPr>
        <w:pStyle w:val="Fotnotstext"/>
      </w:pPr>
      <w:r>
        <w:rPr>
          <w:rStyle w:val="Fotnotsreferens"/>
        </w:rPr>
        <w:footnoteRef/>
      </w:r>
      <w:r>
        <w:t xml:space="preserve"> </w:t>
      </w:r>
      <w:r>
        <w:tab/>
      </w:r>
      <w:hyperlink r:id="rId66">
        <w:r>
          <w:rPr>
            <w:rStyle w:val="Hyperlnk"/>
            <w:color w:val="auto"/>
          </w:rPr>
          <w:t>http://rod.eionet.europa.eu/obligations/632</w:t>
        </w:r>
      </w:hyperlink>
    </w:p>
  </w:footnote>
  <w:footnote w:id="116">
    <w:p w:rsidR="003F7836" w:rsidRDefault="003F7836">
      <w:pPr>
        <w:pStyle w:val="Fotnotstext"/>
      </w:pPr>
      <w:r>
        <w:rPr>
          <w:rStyle w:val="Fotnotsreferens"/>
        </w:rPr>
        <w:footnoteRef/>
      </w:r>
      <w:r>
        <w:t xml:space="preserve"> </w:t>
      </w:r>
      <w:r>
        <w:tab/>
      </w:r>
      <w:hyperlink r:id="rId67">
        <w:r>
          <w:rPr>
            <w:rStyle w:val="Hyperlnk"/>
            <w:color w:val="auto"/>
          </w:rPr>
          <w:t>http://prtr.ec.europa.eu/DiffuseSourcesWater.aspx</w:t>
        </w:r>
      </w:hyperlink>
      <w:r>
        <w:t xml:space="preserve"> </w:t>
      </w:r>
    </w:p>
  </w:footnote>
  <w:footnote w:id="117">
    <w:p w:rsidR="003F7836" w:rsidRDefault="003F7836">
      <w:pPr>
        <w:pStyle w:val="Fotnotstext"/>
      </w:pPr>
      <w:r>
        <w:rPr>
          <w:rStyle w:val="Fotnotsreferens"/>
        </w:rPr>
        <w:footnoteRef/>
      </w:r>
      <w:r>
        <w:t xml:space="preserve"> </w:t>
      </w:r>
      <w:r>
        <w:tab/>
      </w:r>
      <w:hyperlink r:id="rId68">
        <w:r>
          <w:rPr>
            <w:rStyle w:val="Hyperlnk"/>
            <w:color w:val="auto"/>
          </w:rPr>
          <w:t>http://weiss.vmm.be/</w:t>
        </w:r>
      </w:hyperlink>
      <w:r>
        <w:t xml:space="preserve"> </w:t>
      </w:r>
    </w:p>
  </w:footnote>
  <w:footnote w:id="118">
    <w:p w:rsidR="003F7836" w:rsidRDefault="003F7836">
      <w:pPr>
        <w:pStyle w:val="Fotnotstext"/>
      </w:pPr>
      <w:r>
        <w:rPr>
          <w:rStyle w:val="Fotnotsreferens"/>
        </w:rPr>
        <w:footnoteRef/>
      </w:r>
      <w:r>
        <w:t xml:space="preserve"> </w:t>
      </w:r>
      <w:r>
        <w:tab/>
        <w:t>Till exempel i kommissionens meddelande om v</w:t>
      </w:r>
      <w:r w:rsidR="004D0915">
        <w:t xml:space="preserve">attenbrist och torka (KOM(2007) </w:t>
      </w:r>
      <w:r>
        <w:t>414), rådets slutsatser från juni 2010 om samma ämne och senast kommissionens meddelande "Strategi för att skydda Eur</w:t>
      </w:r>
      <w:r w:rsidR="004D0915">
        <w:t xml:space="preserve">opas vattenresurser" (COM(2012) </w:t>
      </w:r>
      <w:r>
        <w:t>673).</w:t>
      </w:r>
    </w:p>
  </w:footnote>
  <w:footnote w:id="119">
    <w:p w:rsidR="003F7836" w:rsidRDefault="003F7836">
      <w:pPr>
        <w:pStyle w:val="Fotnotstext"/>
      </w:pPr>
      <w:r>
        <w:rPr>
          <w:rStyle w:val="Fotnotsreferens"/>
        </w:rPr>
        <w:footnoteRef/>
      </w:r>
      <w:r>
        <w:t xml:space="preserve"> </w:t>
      </w:r>
      <w:r>
        <w:tab/>
        <w:t>https://circabc.europa.eu/sd/a/b81cb8ec-2655-4013-ac40-d6266ed33523/Update%20on%20Water%20Scarcity%20and%20Droughts%20indicator%20development%20May%202012.doc</w:t>
      </w:r>
    </w:p>
  </w:footnote>
  <w:footnote w:id="120">
    <w:p w:rsidR="003F7836" w:rsidRDefault="003F7836">
      <w:pPr>
        <w:pStyle w:val="Fotnotstext"/>
      </w:pPr>
      <w:r>
        <w:rPr>
          <w:rStyle w:val="Fotnotsreferens"/>
        </w:rPr>
        <w:footnoteRef/>
      </w:r>
      <w:r>
        <w:t xml:space="preserve"> </w:t>
      </w:r>
      <w:r>
        <w:tab/>
        <w:t>Se slutsatserna från det informella mötet för vattenförvaltningar och marina förvaltningar från EU, kandidatländerna och Efta-länderna i Köpenhamn den 4–5 juni 2012.</w:t>
      </w:r>
    </w:p>
    <w:p w:rsidR="003F7836" w:rsidRDefault="003F7836">
      <w:pPr>
        <w:spacing w:after="0"/>
      </w:pPr>
    </w:p>
  </w:footnote>
  <w:footnote w:id="121">
    <w:p w:rsidR="003F7836" w:rsidRDefault="003F7836">
      <w:pPr>
        <w:pStyle w:val="Fotnotstext"/>
      </w:pPr>
      <w:r>
        <w:rPr>
          <w:rStyle w:val="Fotnotsreferens"/>
        </w:rPr>
        <w:footnoteRef/>
      </w:r>
      <w:r>
        <w:t xml:space="preserve"> </w:t>
      </w:r>
      <w:r>
        <w:tab/>
        <w:t xml:space="preserve">Medlemsstatens ISO-landskod med två bokstäver: </w:t>
      </w:r>
      <w:hyperlink r:id="rId69">
        <w:r>
          <w:rPr>
            <w:rStyle w:val="Hyperlnk"/>
            <w:noProof w:val="0"/>
            <w:color w:val="auto"/>
          </w:rPr>
          <w:t>http://publications.europa.eu/code/sv/sv-370100.htm</w:t>
        </w:r>
      </w:hyperlink>
      <w:r>
        <w:t xml:space="preserve"> (Obs: Använd ”EL” för Grekland och ”UK” för Storbritannien).</w:t>
      </w:r>
    </w:p>
  </w:footnote>
  <w:footnote w:id="122">
    <w:p w:rsidR="003F7836" w:rsidRDefault="003F7836">
      <w:pPr>
        <w:pStyle w:val="Fotnotstext"/>
      </w:pPr>
      <w:r>
        <w:rPr>
          <w:rStyle w:val="Fotnotsreferens"/>
        </w:rPr>
        <w:footnoteRef/>
      </w:r>
      <w:r>
        <w:t xml:space="preserve"> </w:t>
      </w:r>
      <w:r>
        <w:tab/>
        <w:t>http://eur-lex.europa.eu/legal-content/SV/TXT/PDF/?uri=CELEX:31991L0271&amp;from=SV</w:t>
      </w:r>
    </w:p>
  </w:footnote>
  <w:footnote w:id="123">
    <w:p w:rsidR="003F7836" w:rsidRDefault="003F7836">
      <w:pPr>
        <w:pStyle w:val="Fotnotstext"/>
      </w:pPr>
      <w:r>
        <w:rPr>
          <w:rStyle w:val="Fotnotsreferens"/>
        </w:rPr>
        <w:footnoteRef/>
      </w:r>
      <w:r>
        <w:t xml:space="preserve"> </w:t>
      </w:r>
      <w:r>
        <w:tab/>
        <w:t>http://eur-lex.europa.eu/legal-content/SV/TXT/PDF/?uri=CELEX:31991L0676&amp;from=sv</w:t>
      </w:r>
    </w:p>
  </w:footnote>
  <w:footnote w:id="124">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t>http://eur-lex.europa.eu/legal-content/SV/TXT/PDF/?uri=CELEX:31996L0061&amp;qid= 1440765977288&amp;from=SV</w:t>
      </w:r>
    </w:p>
  </w:footnote>
  <w:footnote w:id="125">
    <w:p w:rsidR="003F7836" w:rsidRPr="008D6A99" w:rsidRDefault="003F7836">
      <w:pPr>
        <w:pStyle w:val="Fotnotstext"/>
        <w:rPr>
          <w:lang w:val="en-GB"/>
        </w:rPr>
      </w:pPr>
      <w:r>
        <w:rPr>
          <w:rStyle w:val="Fotnotsreferens"/>
        </w:rPr>
        <w:footnoteRef/>
      </w:r>
      <w:r w:rsidRPr="008D6A99">
        <w:rPr>
          <w:lang w:val="en-GB"/>
        </w:rPr>
        <w:t xml:space="preserve"> </w:t>
      </w:r>
      <w:r w:rsidRPr="008D6A99">
        <w:rPr>
          <w:lang w:val="en-GB"/>
        </w:rPr>
        <w:tab/>
        <w:t>http://eur-lex.europa.eu/legal-content/SV/TXT/PDF/?uri=CELEX:32010L0075&amp;qid= 1440766031898&amp;from=SV</w:t>
      </w:r>
    </w:p>
  </w:footnote>
  <w:footnote w:id="126">
    <w:p w:rsidR="003F7836" w:rsidRDefault="003F7836" w:rsidP="00413FD0">
      <w:pPr>
        <w:pStyle w:val="Fotnotstext"/>
      </w:pPr>
      <w:r>
        <w:rPr>
          <w:rStyle w:val="Fotnotsreferens"/>
          <w:sz w:val="16"/>
        </w:rPr>
        <w:footnoteRef/>
      </w:r>
      <w:r>
        <w:rPr>
          <w:sz w:val="16"/>
        </w:rPr>
        <w:t xml:space="preserve"> </w:t>
      </w:r>
      <w:r>
        <w:tab/>
        <w:t>Den strategiska samordningsgruppens möte den 4 november 2013, dagordningspunkt 4.a. Klargörande av vattendirektivets åtgärdsprogram (artikel 11).</w:t>
      </w:r>
    </w:p>
  </w:footnote>
  <w:footnote w:id="127">
    <w:p w:rsidR="003F7836" w:rsidRDefault="003F7836">
      <w:pPr>
        <w:pStyle w:val="Fotnotstext"/>
      </w:pPr>
      <w:r>
        <w:rPr>
          <w:rStyle w:val="Fotnotsreferens"/>
        </w:rPr>
        <w:footnoteRef/>
      </w:r>
      <w:r>
        <w:t xml:space="preserve"> </w:t>
      </w:r>
      <w:r>
        <w:tab/>
        <w:t>http://eur-lex.europa.eu/legal-content/SV/TXT/PDF/?uri=CELEX:31991L0676&amp;from=sv</w:t>
      </w:r>
    </w:p>
  </w:footnote>
  <w:footnote w:id="128">
    <w:p w:rsidR="003F7836" w:rsidRDefault="003F7836">
      <w:pPr>
        <w:pStyle w:val="Fotnotstext"/>
      </w:pPr>
      <w:r>
        <w:rPr>
          <w:rStyle w:val="Fotnotsreferens"/>
        </w:rPr>
        <w:footnoteRef/>
      </w:r>
      <w:r>
        <w:t xml:space="preserve"> </w:t>
      </w:r>
      <w:r>
        <w:tab/>
        <w:t>http://eur-lex.europa.eu/legal-content/SV/TXT/PDF/?uri=CELEX:31991L0271&amp;from=SV</w:t>
      </w:r>
    </w:p>
  </w:footnote>
  <w:footnote w:id="129">
    <w:p w:rsidR="003F7836" w:rsidRDefault="003F7836">
      <w:pPr>
        <w:pStyle w:val="Fotnotstext"/>
      </w:pPr>
      <w:r>
        <w:rPr>
          <w:rStyle w:val="Fotnotsreferens"/>
        </w:rPr>
        <w:footnoteRef/>
      </w:r>
      <w:r>
        <w:t xml:space="preserve"> </w:t>
      </w:r>
      <w:r>
        <w:tab/>
        <w:t>http://eur-lex.europa.eu/legal-content/SV/TXT/PDF/?uri=CELEX:32010L0075&amp;qid=1440766031898&amp;from=SV</w:t>
      </w:r>
    </w:p>
  </w:footnote>
  <w:footnote w:id="130">
    <w:p w:rsidR="003F7836" w:rsidRDefault="003F7836">
      <w:pPr>
        <w:pStyle w:val="Fotnotstext"/>
      </w:pPr>
      <w:r>
        <w:rPr>
          <w:rStyle w:val="Fotnotsreferens"/>
        </w:rPr>
        <w:footnoteRef/>
      </w:r>
      <w:r>
        <w:t xml:space="preserve"> </w:t>
      </w:r>
      <w:r>
        <w:tab/>
        <w:t>https://circabc.europa.eu/sd/a/a88369ef-df4d-43b1-8c8c-306ac7c2d6e1/Guidance%20document%20n%2024%20-%20River%20Basin%20Management%20in%20a%20Changing%20Climate_FINAL.pdf</w:t>
      </w:r>
    </w:p>
  </w:footnote>
  <w:footnote w:id="131">
    <w:p w:rsidR="003F7836" w:rsidRDefault="003F7836">
      <w:pPr>
        <w:pStyle w:val="Fotnotstext"/>
      </w:pPr>
      <w:r>
        <w:rPr>
          <w:rStyle w:val="Fotnotsreferens"/>
        </w:rPr>
        <w:footnoteRef/>
      </w:r>
      <w:r>
        <w:t xml:space="preserve"> </w:t>
      </w:r>
      <w:r>
        <w:tab/>
        <w:t>http://eur-lex.europa.eu/legal-content/SV/TXT/PDF/?uri=CELEX:32008L0056&amp;qid=1440766714959&amp;from=SV</w:t>
      </w:r>
    </w:p>
  </w:footnote>
  <w:footnote w:id="132">
    <w:p w:rsidR="003F7836" w:rsidRDefault="003F7836">
      <w:pPr>
        <w:pStyle w:val="Fotnotstext"/>
      </w:pPr>
      <w:r>
        <w:rPr>
          <w:rStyle w:val="Fotnotsreferens"/>
        </w:rPr>
        <w:footnoteRef/>
      </w:r>
      <w:r>
        <w:t xml:space="preserve"> </w:t>
      </w:r>
      <w:r>
        <w:tab/>
        <w:t>Dessa centrala principer anges i artikel 9 i vattendirektivet enligt följande: Medlemsstaterna ska senast 2010 se till att: 1) prispolitiken för vatten ger vattenförbrukarna tillräckliga incitament till effektiv användning av vattenresurserna och att den därigenom bidrar till miljömålen i detta direktiv, 2) de olika vattenanvändningsverksamheterna, uppdelade på åtminstone industri, hushåll och jordbruk adekvat bidrar till kostnadstäckningen för vattentjänster, med utgångspunkt i den ekonomiska analys som utförts enligt bilaga III och med beaktande av principen om att förorenaren betalar. 3) Medlemsstaterna kan härvid beakta kostnadstäckningens sociala, miljömässiga och ekonomiska effekter liksom geografiska och klimatiska förhållanden i den eller de regioner som påverkas.</w:t>
      </w:r>
    </w:p>
  </w:footnote>
  <w:footnote w:id="133">
    <w:p w:rsidR="003F7836" w:rsidRDefault="003F7836">
      <w:pPr>
        <w:pStyle w:val="Fotnotstext"/>
      </w:pPr>
      <w:r>
        <w:rPr>
          <w:rStyle w:val="Fotnotsreferens"/>
        </w:rPr>
        <w:footnoteRef/>
      </w:r>
      <w:r>
        <w:t xml:space="preserve"> </w:t>
      </w:r>
      <w:r>
        <w:tab/>
        <w:t xml:space="preserve">Se domstolens dom av den 11 september 2014 i mål C-525/12, kommissionen mot Tyskland, punkterna 54–58:  </w:t>
      </w:r>
      <w:hyperlink r:id="rId70">
        <w:r>
          <w:rPr>
            <w:rStyle w:val="Hyperlnk"/>
            <w:noProof w:val="0"/>
            <w:color w:val="auto"/>
          </w:rPr>
          <w:t>http://curia.europa.eu/juris/document/document.jsf?text=&amp;docid=157518&amp;pageIndex=0&amp;doclang=SV&amp;mode=lst&amp;dir=&amp;occ=first&amp;part=1&amp;cid=90467</w:t>
        </w:r>
      </w:hyperlink>
      <w:r>
        <w:t xml:space="preserve">. </w:t>
      </w:r>
    </w:p>
  </w:footnote>
  <w:footnote w:id="134">
    <w:p w:rsidR="003F7836" w:rsidRDefault="003F7836">
      <w:pPr>
        <w:pStyle w:val="Fotnotstext"/>
      </w:pPr>
      <w:r>
        <w:rPr>
          <w:rStyle w:val="Fotnotsreferens"/>
        </w:rPr>
        <w:footnoteRef/>
      </w:r>
      <w:r>
        <w:t xml:space="preserve"> </w:t>
      </w:r>
      <w:r>
        <w:tab/>
        <w:t>http://eur-lex.europa.eu/legal-content/SV/TXT/PDF/?uri=CELEX:32007L0002&amp;qid=1440768207625&amp;from=SV</w:t>
      </w:r>
    </w:p>
  </w:footnote>
  <w:footnote w:id="135">
    <w:p w:rsidR="003F7836" w:rsidRDefault="003F7836">
      <w:pPr>
        <w:pStyle w:val="Fotnotstext"/>
      </w:pPr>
      <w:r>
        <w:rPr>
          <w:rStyle w:val="Fotnotsreferens"/>
        </w:rPr>
        <w:footnoteRef/>
      </w:r>
      <w:r>
        <w:t xml:space="preserve"> </w:t>
      </w:r>
      <w:r>
        <w:tab/>
        <w:t>http://eur-lex.europa.eu/legal-content/SV/TXT/PDF/?uri=CELEX:32010R0268&amp;qid=1440768290721&amp;from=SV</w:t>
      </w:r>
    </w:p>
  </w:footnote>
  <w:footnote w:id="136">
    <w:p w:rsidR="003F7836" w:rsidRDefault="003F7836">
      <w:pPr>
        <w:pStyle w:val="Fotnotstext"/>
      </w:pPr>
      <w:r>
        <w:rPr>
          <w:rStyle w:val="Fotnotsreferens"/>
        </w:rPr>
        <w:footnoteRef/>
      </w:r>
      <w:r>
        <w:t xml:space="preserve"> </w:t>
      </w:r>
      <w:r>
        <w:tab/>
        <w:t>Se: http://inspire.ec.europa.eu/index.cfm/pageid/2</w:t>
      </w:r>
    </w:p>
  </w:footnote>
  <w:footnote w:id="137">
    <w:p w:rsidR="003F7836" w:rsidRDefault="003F7836">
      <w:pPr>
        <w:pStyle w:val="Fotnotstext"/>
      </w:pPr>
      <w:r>
        <w:rPr>
          <w:rStyle w:val="Fotnotsreferens"/>
        </w:rPr>
        <w:footnoteRef/>
      </w:r>
      <w:r>
        <w:t xml:space="preserve"> </w:t>
      </w:r>
      <w:r>
        <w:tab/>
        <w:t>http://ec.europa.eu/isa/index_en.htm</w:t>
      </w:r>
    </w:p>
  </w:footnote>
  <w:footnote w:id="138">
    <w:p w:rsidR="003F7836" w:rsidRDefault="003F7836">
      <w:pPr>
        <w:pStyle w:val="Fotnotstext"/>
      </w:pPr>
      <w:r>
        <w:rPr>
          <w:rStyle w:val="Fotnotsreferens"/>
        </w:rPr>
        <w:footnoteRef/>
      </w:r>
      <w:r>
        <w:t xml:space="preserve"> </w:t>
      </w:r>
      <w:r>
        <w:tab/>
        <w:t>http://eur-lex.europa.eu/legal-content/SV/TXT/PDF/?uri=CELEX:32003L0004&amp;qid=1440768565703&amp;from=SV</w:t>
      </w:r>
    </w:p>
  </w:footnote>
  <w:footnote w:id="139">
    <w:p w:rsidR="003F7836" w:rsidRDefault="003F7836">
      <w:pPr>
        <w:pStyle w:val="Fotnotstext"/>
      </w:pPr>
      <w:r>
        <w:rPr>
          <w:rStyle w:val="Fotnotsreferens"/>
        </w:rPr>
        <w:footnoteRef/>
      </w:r>
      <w:r>
        <w:t xml:space="preserve"> </w:t>
      </w:r>
      <w:r>
        <w:tab/>
        <w:t>http://eur-lex.europa.eu/resource.html?uri=cellar:4a80a6c9-cdb3-4e27-a721-d5df1a0535bc.0004.02/DOC_1&amp;format=PDF</w:t>
      </w:r>
    </w:p>
  </w:footnote>
  <w:footnote w:id="140">
    <w:p w:rsidR="003F7836" w:rsidRDefault="003F7836">
      <w:pPr>
        <w:pStyle w:val="Fotnotstext"/>
      </w:pPr>
      <w:r>
        <w:rPr>
          <w:rStyle w:val="Fotnotsreferens"/>
        </w:rPr>
        <w:footnoteRef/>
      </w:r>
      <w:r>
        <w:t xml:space="preserve"> </w:t>
      </w:r>
      <w:r>
        <w:tab/>
        <w:t>http://eur-lex.europa.eu/legal-content/SV/TXT/PDF/?uri=CELEX:32003L0098&amp;qid=1440768720846&amp;from=SV</w:t>
      </w:r>
    </w:p>
  </w:footnote>
  <w:footnote w:id="141">
    <w:p w:rsidR="003F7836" w:rsidRDefault="003F7836">
      <w:pPr>
        <w:pStyle w:val="Fotnotstext"/>
      </w:pPr>
      <w:r>
        <w:rPr>
          <w:rStyle w:val="Fotnotsreferens"/>
        </w:rPr>
        <w:footnoteRef/>
      </w:r>
      <w:r>
        <w:t xml:space="preserve"> </w:t>
      </w:r>
      <w:r>
        <w:tab/>
        <w:t>http://eur-lex.europa.eu/legal-content/SV/TXT/PDF/?uri=CELEX:32007L0002&amp;qid=1440768207625&amp;from=SV</w:t>
      </w:r>
    </w:p>
  </w:footnote>
  <w:footnote w:id="142">
    <w:p w:rsidR="003F7836" w:rsidRDefault="003F7836" w:rsidP="00BF0382">
      <w:pPr>
        <w:pStyle w:val="Fotnotstext"/>
        <w:spacing w:after="0"/>
      </w:pPr>
      <w:r>
        <w:rPr>
          <w:rStyle w:val="Fotnotsreferens"/>
        </w:rPr>
        <w:footnoteRef/>
      </w:r>
      <w:r>
        <w:t xml:space="preserve"> </w:t>
      </w:r>
      <w:hyperlink r:id="rId71" w:history="1">
        <w:r>
          <w:rPr>
            <w:rStyle w:val="Hyperlnk"/>
          </w:rPr>
          <w:t>https://circabc.europa.eu/sd/a/6a3fb5a0-4dec-4fde-a69d-5ac93dfbbadd/Guidance%20document%20n28.pdf</w:t>
        </w:r>
      </w:hyperlink>
      <w:r>
        <w:t xml:space="preserve"> </w:t>
      </w:r>
    </w:p>
  </w:footnote>
  <w:footnote w:id="143">
    <w:p w:rsidR="003F7836" w:rsidRDefault="003F7836" w:rsidP="00BF0382">
      <w:pPr>
        <w:pStyle w:val="Fotnotstext"/>
        <w:spacing w:after="0"/>
        <w:rPr>
          <w:lang w:val="cs-CZ"/>
        </w:rPr>
      </w:pPr>
      <w:r>
        <w:rPr>
          <w:rStyle w:val="Fotnotsreferens"/>
        </w:rPr>
        <w:footnoteRef/>
      </w:r>
      <w:r w:rsidRPr="008D6A99">
        <w:rPr>
          <w:lang w:val="en-GB"/>
        </w:rPr>
        <w:t xml:space="preserve"> </w:t>
      </w:r>
      <w:r>
        <w:rPr>
          <w:lang w:val="cs-CZ"/>
        </w:rPr>
        <w:t>See Annex 1a of of the WFD Reporting Guidance 2016.</w:t>
      </w:r>
    </w:p>
  </w:footnote>
  <w:footnote w:id="144">
    <w:p w:rsidR="003F7836" w:rsidRPr="008D6A99" w:rsidRDefault="003F7836" w:rsidP="00BF0382">
      <w:pPr>
        <w:pStyle w:val="Fotnotstext"/>
        <w:spacing w:after="0"/>
        <w:rPr>
          <w:lang w:val="en-GB"/>
        </w:rPr>
      </w:pPr>
      <w:r>
        <w:rPr>
          <w:rStyle w:val="Fotnotsreferens"/>
        </w:rPr>
        <w:footnoteRef/>
      </w:r>
      <w:r w:rsidRPr="008D6A99">
        <w:rPr>
          <w:lang w:val="en-GB"/>
        </w:rPr>
        <w:t xml:space="preserve"> This WISE SoE source category includes atmospheric deposition for diffuse source on the whole surface of RBD or sub-unit (not only direct deposition to water surfaces).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836" w:rsidRPr="0003666D" w:rsidRDefault="003F7836" w:rsidP="00B730B1">
    <w:pPr>
      <w:pStyle w:val="Sidhuvud"/>
      <w:tabs>
        <w:tab w:val="clear" w:pos="8306"/>
        <w:tab w:val="right" w:pos="9214"/>
      </w:tabs>
      <w:spacing w:after="0"/>
      <w:ind w:left="-567"/>
      <w:rPr>
        <w:b/>
        <w:color w:val="BFBFBF" w:themeColor="background1" w:themeShade="BF"/>
        <w:sz w:val="21"/>
        <w:szCs w:val="16"/>
      </w:rPr>
    </w:pPr>
    <w:r w:rsidRPr="0003666D">
      <w:rPr>
        <w:b/>
        <w:color w:val="BFBFBF" w:themeColor="background1" w:themeShade="BF"/>
        <w:sz w:val="21"/>
        <w:szCs w:val="16"/>
      </w:rPr>
      <w:t>Vägledning om rapporteringen i samband</w:t>
    </w:r>
    <w:r w:rsidRPr="0003666D">
      <w:tab/>
    </w:r>
    <w:r w:rsidRPr="0003666D">
      <w:rPr>
        <w:b/>
        <w:color w:val="BFBFBF" w:themeColor="background1" w:themeShade="BF"/>
        <w:sz w:val="21"/>
        <w:szCs w:val="16"/>
      </w:rPr>
      <w:t>Slutligt utkast 6.0.2</w:t>
    </w:r>
    <w:r w:rsidRPr="0003666D">
      <w:tab/>
    </w:r>
    <w:r w:rsidRPr="0003666D">
      <w:rPr>
        <w:b/>
        <w:color w:val="BFBFBF" w:themeColor="background1" w:themeShade="BF"/>
        <w:sz w:val="21"/>
        <w:szCs w:val="16"/>
      </w:rPr>
      <w:t>15 oktober 2015</w:t>
    </w:r>
  </w:p>
  <w:p w:rsidR="003F7836" w:rsidRPr="0003666D" w:rsidRDefault="003F7836">
    <w:pPr>
      <w:pStyle w:val="Sidhuvud"/>
      <w:tabs>
        <w:tab w:val="clear" w:pos="8306"/>
        <w:tab w:val="right" w:pos="9214"/>
      </w:tabs>
      <w:ind w:left="-567"/>
      <w:rPr>
        <w:b/>
        <w:color w:val="BFBFBF" w:themeColor="background1" w:themeShade="BF"/>
      </w:rPr>
    </w:pPr>
    <w:r w:rsidRPr="0003666D">
      <w:rPr>
        <w:b/>
        <w:color w:val="BFBFBF" w:themeColor="background1" w:themeShade="BF"/>
        <w:sz w:val="21"/>
        <w:szCs w:val="16"/>
      </w:rPr>
      <w:t>med ramdirektivet för vatten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836" w:rsidRDefault="003F7836">
    <w:pPr>
      <w:pStyle w:val="Index9"/>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836" w:rsidRDefault="003F7836">
    <w:pPr>
      <w:pStyle w:val="Index9"/>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836" w:rsidRDefault="003F783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A467EA2"/>
    <w:name w:val="Heading"/>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nsid w:val="02440B10"/>
    <w:multiLevelType w:val="hybridMultilevel"/>
    <w:tmpl w:val="40E8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71112"/>
    <w:multiLevelType w:val="hybridMultilevel"/>
    <w:tmpl w:val="26CA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205DBD"/>
    <w:multiLevelType w:val="hybridMultilevel"/>
    <w:tmpl w:val="C144E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6712FC"/>
    <w:multiLevelType w:val="hybridMultilevel"/>
    <w:tmpl w:val="0AF6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85271B"/>
    <w:multiLevelType w:val="hybridMultilevel"/>
    <w:tmpl w:val="BB26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3424F2"/>
    <w:multiLevelType w:val="hybridMultilevel"/>
    <w:tmpl w:val="FCF6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DC3F55"/>
    <w:multiLevelType w:val="hybridMultilevel"/>
    <w:tmpl w:val="9F5C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D921FE"/>
    <w:multiLevelType w:val="hybridMultilevel"/>
    <w:tmpl w:val="69F0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861EA3"/>
    <w:multiLevelType w:val="hybridMultilevel"/>
    <w:tmpl w:val="13060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0F4526"/>
    <w:multiLevelType w:val="hybridMultilevel"/>
    <w:tmpl w:val="1720879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9B21D9"/>
    <w:multiLevelType w:val="hybridMultilevel"/>
    <w:tmpl w:val="BE1A92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5B62574"/>
    <w:multiLevelType w:val="hybridMultilevel"/>
    <w:tmpl w:val="744E6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77D53BA"/>
    <w:multiLevelType w:val="hybridMultilevel"/>
    <w:tmpl w:val="A322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994F58"/>
    <w:multiLevelType w:val="hybridMultilevel"/>
    <w:tmpl w:val="B25852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1AD51120"/>
    <w:multiLevelType w:val="hybridMultilevel"/>
    <w:tmpl w:val="7A2ED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C273EFA"/>
    <w:multiLevelType w:val="hybridMultilevel"/>
    <w:tmpl w:val="BC463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536431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A6362B"/>
    <w:multiLevelType w:val="hybridMultilevel"/>
    <w:tmpl w:val="7B0CE48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851E26"/>
    <w:multiLevelType w:val="hybridMultilevel"/>
    <w:tmpl w:val="4A144BA8"/>
    <w:lvl w:ilvl="0" w:tplc="08090001">
      <w:start w:val="1"/>
      <w:numFmt w:val="bullet"/>
      <w:lvlText w:val=""/>
      <w:lvlJc w:val="left"/>
      <w:pPr>
        <w:ind w:left="720" w:hanging="360"/>
      </w:pPr>
      <w:rPr>
        <w:rFonts w:ascii="Symbol" w:hAnsi="Symbol" w:hint="default"/>
      </w:rPr>
    </w:lvl>
    <w:lvl w:ilvl="1" w:tplc="CC78967A">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EA901B2"/>
    <w:multiLevelType w:val="hybridMultilevel"/>
    <w:tmpl w:val="5672BF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EDD2954"/>
    <w:multiLevelType w:val="hybridMultilevel"/>
    <w:tmpl w:val="4A7AA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734306"/>
    <w:multiLevelType w:val="multilevel"/>
    <w:tmpl w:val="F89ABBD8"/>
    <w:lvl w:ilvl="0">
      <w:start w:val="1"/>
      <w:numFmt w:val="decimal"/>
      <w:pStyle w:val="Rubrik1"/>
      <w:lvlText w:val="%1."/>
      <w:lvlJc w:val="left"/>
      <w:pPr>
        <w:tabs>
          <w:tab w:val="num" w:pos="1920"/>
        </w:tabs>
        <w:ind w:left="1920" w:hanging="480"/>
      </w:pPr>
    </w:lvl>
    <w:lvl w:ilvl="1">
      <w:start w:val="1"/>
      <w:numFmt w:val="decimal"/>
      <w:pStyle w:val="Rubrik2"/>
      <w:lvlText w:val="%1.%2."/>
      <w:lvlJc w:val="left"/>
      <w:pPr>
        <w:tabs>
          <w:tab w:val="num" w:pos="2640"/>
        </w:tabs>
        <w:ind w:left="2640" w:hanging="720"/>
      </w:pPr>
    </w:lvl>
    <w:lvl w:ilvl="2">
      <w:start w:val="1"/>
      <w:numFmt w:val="decimal"/>
      <w:pStyle w:val="Rubrik3"/>
      <w:lvlText w:val="%1.%2.%3."/>
      <w:lvlJc w:val="left"/>
      <w:pPr>
        <w:tabs>
          <w:tab w:val="num" w:pos="3360"/>
        </w:tabs>
        <w:ind w:left="33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Rubrik4"/>
      <w:lvlText w:val="%1.%2.%3.%4."/>
      <w:lvlJc w:val="left"/>
      <w:pPr>
        <w:tabs>
          <w:tab w:val="num" w:pos="4287"/>
        </w:tabs>
        <w:ind w:left="4287" w:hanging="720"/>
      </w:pPr>
    </w:lvl>
    <w:lvl w:ilvl="4">
      <w:start w:val="1"/>
      <w:numFmt w:val="lowerLetter"/>
      <w:lvlText w:val="(%5)"/>
      <w:lvlJc w:val="left"/>
      <w:pPr>
        <w:tabs>
          <w:tab w:val="num" w:pos="3240"/>
        </w:tabs>
        <w:ind w:left="3240" w:hanging="360"/>
      </w:pPr>
    </w:lvl>
    <w:lvl w:ilvl="5">
      <w:start w:val="1"/>
      <w:numFmt w:val="lowerRoman"/>
      <w:lvlText w:val="(%6)"/>
      <w:lvlJc w:val="left"/>
      <w:pPr>
        <w:tabs>
          <w:tab w:val="num" w:pos="3600"/>
        </w:tabs>
        <w:ind w:left="3600" w:hanging="360"/>
      </w:pPr>
    </w:lvl>
    <w:lvl w:ilvl="6">
      <w:start w:val="1"/>
      <w:numFmt w:val="decimal"/>
      <w:lvlText w:val="%7."/>
      <w:lvlJc w:val="left"/>
      <w:pPr>
        <w:tabs>
          <w:tab w:val="num" w:pos="3960"/>
        </w:tabs>
        <w:ind w:left="3960" w:hanging="360"/>
      </w:pPr>
    </w:lvl>
    <w:lvl w:ilvl="7">
      <w:start w:val="1"/>
      <w:numFmt w:val="lowerLetter"/>
      <w:lvlText w:val="%8."/>
      <w:lvlJc w:val="left"/>
      <w:pPr>
        <w:tabs>
          <w:tab w:val="num" w:pos="4320"/>
        </w:tabs>
        <w:ind w:left="4320" w:hanging="360"/>
      </w:pPr>
    </w:lvl>
    <w:lvl w:ilvl="8">
      <w:start w:val="1"/>
      <w:numFmt w:val="lowerRoman"/>
      <w:lvlText w:val="%9."/>
      <w:lvlJc w:val="left"/>
      <w:pPr>
        <w:tabs>
          <w:tab w:val="num" w:pos="4680"/>
        </w:tabs>
        <w:ind w:left="4680" w:hanging="360"/>
      </w:pPr>
    </w:lvl>
  </w:abstractNum>
  <w:abstractNum w:abstractNumId="22">
    <w:nsid w:val="20CB5324"/>
    <w:multiLevelType w:val="hybridMultilevel"/>
    <w:tmpl w:val="3B128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13E968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16E24B9"/>
    <w:multiLevelType w:val="hybridMultilevel"/>
    <w:tmpl w:val="29202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4226BB7"/>
    <w:multiLevelType w:val="hybridMultilevel"/>
    <w:tmpl w:val="D95AD088"/>
    <w:lvl w:ilvl="0" w:tplc="08090001">
      <w:start w:val="1"/>
      <w:numFmt w:val="bullet"/>
      <w:lvlText w:val=""/>
      <w:lvlJc w:val="left"/>
      <w:pPr>
        <w:tabs>
          <w:tab w:val="num" w:pos="720"/>
        </w:tabs>
        <w:ind w:left="720" w:hanging="360"/>
      </w:pPr>
      <w:rPr>
        <w:rFonts w:ascii="Symbol" w:hAnsi="Symbol" w:hint="default"/>
      </w:rPr>
    </w:lvl>
    <w:lvl w:ilvl="1" w:tplc="1C7879D6">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26640C7C"/>
    <w:multiLevelType w:val="hybridMultilevel"/>
    <w:tmpl w:val="62721F5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7AA5502"/>
    <w:multiLevelType w:val="hybridMultilevel"/>
    <w:tmpl w:val="D110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A803AAD"/>
    <w:multiLevelType w:val="hybridMultilevel"/>
    <w:tmpl w:val="5FBE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4D68E6"/>
    <w:multiLevelType w:val="hybridMultilevel"/>
    <w:tmpl w:val="3E908EA4"/>
    <w:lvl w:ilvl="0" w:tplc="0C0A0017">
      <w:start w:val="1"/>
      <w:numFmt w:val="lowerLetter"/>
      <w:pStyle w:val="Bullet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BDF4264"/>
    <w:multiLevelType w:val="hybridMultilevel"/>
    <w:tmpl w:val="5D3088CE"/>
    <w:lvl w:ilvl="0" w:tplc="7700CC1E">
      <w:start w:val="1"/>
      <w:numFmt w:val="bullet"/>
      <w:pStyle w:val="Bullets"/>
      <w:lvlText w:val=""/>
      <w:lvlJc w:val="left"/>
      <w:pPr>
        <w:tabs>
          <w:tab w:val="num" w:pos="1361"/>
        </w:tabs>
        <w:ind w:left="1361" w:hanging="425"/>
      </w:pPr>
      <w:rPr>
        <w:rFonts w:ascii="Symbol" w:hAnsi="Symbol" w:hint="default"/>
        <w:b w:val="0"/>
        <w:i w:val="0"/>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305156DA"/>
    <w:multiLevelType w:val="hybridMultilevel"/>
    <w:tmpl w:val="4EE06B7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1">
    <w:nsid w:val="30630023"/>
    <w:multiLevelType w:val="hybridMultilevel"/>
    <w:tmpl w:val="E26C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08F15A8"/>
    <w:multiLevelType w:val="hybridMultilevel"/>
    <w:tmpl w:val="E180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11B21A6"/>
    <w:multiLevelType w:val="hybridMultilevel"/>
    <w:tmpl w:val="43C8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2AD496D"/>
    <w:multiLevelType w:val="hybridMultilevel"/>
    <w:tmpl w:val="F18637B0"/>
    <w:lvl w:ilvl="0" w:tplc="D8F4BBEC">
      <w:start w:val="1"/>
      <w:numFmt w:val="decimal"/>
      <w:pStyle w:val="titulo3"/>
      <w:lvlText w:val="%1.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6510C35"/>
    <w:multiLevelType w:val="hybridMultilevel"/>
    <w:tmpl w:val="1AEAF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A405E42"/>
    <w:multiLevelType w:val="hybridMultilevel"/>
    <w:tmpl w:val="8DB266BE"/>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37">
    <w:nsid w:val="3E947D7E"/>
    <w:multiLevelType w:val="hybridMultilevel"/>
    <w:tmpl w:val="4D78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19F3B46"/>
    <w:multiLevelType w:val="hybridMultilevel"/>
    <w:tmpl w:val="43C2FC2C"/>
    <w:lvl w:ilvl="0" w:tplc="72C08EBE">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21C7B57"/>
    <w:multiLevelType w:val="hybridMultilevel"/>
    <w:tmpl w:val="FE2A1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36423C2"/>
    <w:multiLevelType w:val="hybridMultilevel"/>
    <w:tmpl w:val="29FE7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3803BC5"/>
    <w:multiLevelType w:val="hybridMultilevel"/>
    <w:tmpl w:val="8B98B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54B007C"/>
    <w:multiLevelType w:val="hybridMultilevel"/>
    <w:tmpl w:val="A292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6706EBF"/>
    <w:multiLevelType w:val="hybridMultilevel"/>
    <w:tmpl w:val="30381EA6"/>
    <w:lvl w:ilvl="0" w:tplc="0C0A0001">
      <w:start w:val="1"/>
      <w:numFmt w:val="bullet"/>
      <w:lvlText w:val=""/>
      <w:lvlJc w:val="left"/>
      <w:pPr>
        <w:ind w:left="720" w:hanging="360"/>
      </w:pPr>
      <w:rPr>
        <w:rFonts w:ascii="Symbol" w:hAnsi="Symbol" w:hint="default"/>
      </w:rPr>
    </w:lvl>
    <w:lvl w:ilvl="1" w:tplc="1F206404">
      <w:numFmt w:val="bullet"/>
      <w:lvlText w:val="•"/>
      <w:lvlJc w:val="left"/>
      <w:pPr>
        <w:ind w:left="1800" w:hanging="72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89368AD"/>
    <w:multiLevelType w:val="hybridMultilevel"/>
    <w:tmpl w:val="0F42A13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49174D9E"/>
    <w:multiLevelType w:val="hybridMultilevel"/>
    <w:tmpl w:val="D98A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A25346B"/>
    <w:multiLevelType w:val="hybridMultilevel"/>
    <w:tmpl w:val="3C305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A892369"/>
    <w:multiLevelType w:val="hybridMultilevel"/>
    <w:tmpl w:val="448E7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857B95"/>
    <w:multiLevelType w:val="hybridMultilevel"/>
    <w:tmpl w:val="26C26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1F01FD"/>
    <w:multiLevelType w:val="hybridMultilevel"/>
    <w:tmpl w:val="D87E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C4B1A18"/>
    <w:multiLevelType w:val="hybridMultilevel"/>
    <w:tmpl w:val="0CCA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355362E"/>
    <w:multiLevelType w:val="hybridMultilevel"/>
    <w:tmpl w:val="93048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36E6C53"/>
    <w:multiLevelType w:val="hybridMultilevel"/>
    <w:tmpl w:val="EC169C72"/>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6A54BED"/>
    <w:multiLevelType w:val="hybridMultilevel"/>
    <w:tmpl w:val="6AF6F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7B17781"/>
    <w:multiLevelType w:val="hybridMultilevel"/>
    <w:tmpl w:val="ACDAC950"/>
    <w:lvl w:ilvl="0" w:tplc="F45894B8">
      <w:numFmt w:val="bullet"/>
      <w:lvlText w:val="•"/>
      <w:lvlJc w:val="left"/>
      <w:pPr>
        <w:ind w:left="1080" w:hanging="72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8120565"/>
    <w:multiLevelType w:val="hybridMultilevel"/>
    <w:tmpl w:val="B950B4AA"/>
    <w:lvl w:ilvl="0" w:tplc="0C0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9F60045"/>
    <w:multiLevelType w:val="hybridMultilevel"/>
    <w:tmpl w:val="E7A06A34"/>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BB57C2F"/>
    <w:multiLevelType w:val="hybridMultilevel"/>
    <w:tmpl w:val="2A9C02F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F096638A">
      <w:start w:val="4"/>
      <w:numFmt w:val="bullet"/>
      <w:lvlText w:val="-"/>
      <w:lvlJc w:val="left"/>
      <w:pPr>
        <w:ind w:left="1800" w:hanging="360"/>
      </w:pPr>
      <w:rPr>
        <w:rFonts w:ascii="Times New Roman" w:eastAsia="Times New Roman" w:hAnsi="Times New Roman" w:cs="Times New Roman"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5BE47AEE"/>
    <w:multiLevelType w:val="hybridMultilevel"/>
    <w:tmpl w:val="B0509D0E"/>
    <w:lvl w:ilvl="0" w:tplc="C260959A">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9">
    <w:nsid w:val="5CFC0088"/>
    <w:multiLevelType w:val="hybridMultilevel"/>
    <w:tmpl w:val="304E770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nsid w:val="5DCF20DA"/>
    <w:multiLevelType w:val="hybridMultilevel"/>
    <w:tmpl w:val="F0EADE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nsid w:val="64266170"/>
    <w:multiLevelType w:val="hybridMultilevel"/>
    <w:tmpl w:val="921815B6"/>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6533B6B"/>
    <w:multiLevelType w:val="hybridMultilevel"/>
    <w:tmpl w:val="597E9D64"/>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6C44D4B"/>
    <w:multiLevelType w:val="hybridMultilevel"/>
    <w:tmpl w:val="FDC899CE"/>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7B315BB"/>
    <w:multiLevelType w:val="hybridMultilevel"/>
    <w:tmpl w:val="96D4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8BD7815"/>
    <w:multiLevelType w:val="hybridMultilevel"/>
    <w:tmpl w:val="03261C9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A256C00"/>
    <w:multiLevelType w:val="hybridMultilevel"/>
    <w:tmpl w:val="0128A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6B252EC3"/>
    <w:multiLevelType w:val="hybridMultilevel"/>
    <w:tmpl w:val="7B58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B265922"/>
    <w:multiLevelType w:val="hybridMultilevel"/>
    <w:tmpl w:val="1DFE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D773F13"/>
    <w:multiLevelType w:val="hybridMultilevel"/>
    <w:tmpl w:val="CDEED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E6E4B82"/>
    <w:multiLevelType w:val="hybridMultilevel"/>
    <w:tmpl w:val="0396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E7B42AC"/>
    <w:multiLevelType w:val="hybridMultilevel"/>
    <w:tmpl w:val="15582A76"/>
    <w:lvl w:ilvl="0" w:tplc="0C0A0003">
      <w:start w:val="1"/>
      <w:numFmt w:val="bullet"/>
      <w:lvlText w:val="o"/>
      <w:lvlJc w:val="left"/>
      <w:pPr>
        <w:ind w:left="2148" w:hanging="360"/>
      </w:pPr>
      <w:rPr>
        <w:rFonts w:ascii="Courier New" w:hAnsi="Courier New" w:cs="Courier New"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72">
    <w:nsid w:val="6EBE4432"/>
    <w:multiLevelType w:val="hybridMultilevel"/>
    <w:tmpl w:val="DEF6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19C3E67"/>
    <w:multiLevelType w:val="hybridMultilevel"/>
    <w:tmpl w:val="81B6B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28E7B36"/>
    <w:multiLevelType w:val="hybridMultilevel"/>
    <w:tmpl w:val="15501F1A"/>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4A10588"/>
    <w:multiLevelType w:val="hybridMultilevel"/>
    <w:tmpl w:val="B3F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76D6FD4"/>
    <w:multiLevelType w:val="hybridMultilevel"/>
    <w:tmpl w:val="DA908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8C146C0"/>
    <w:multiLevelType w:val="hybridMultilevel"/>
    <w:tmpl w:val="011A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9E63B47"/>
    <w:multiLevelType w:val="hybridMultilevel"/>
    <w:tmpl w:val="8F12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042E95"/>
    <w:multiLevelType w:val="hybridMultilevel"/>
    <w:tmpl w:val="3F06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B430A63"/>
    <w:multiLevelType w:val="hybridMultilevel"/>
    <w:tmpl w:val="32566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C90032F"/>
    <w:multiLevelType w:val="hybridMultilevel"/>
    <w:tmpl w:val="92544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CFB0903"/>
    <w:multiLevelType w:val="hybridMultilevel"/>
    <w:tmpl w:val="D0B4072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3">
    <w:nsid w:val="7E096918"/>
    <w:multiLevelType w:val="hybridMultilevel"/>
    <w:tmpl w:val="12CC8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F1227A1"/>
    <w:multiLevelType w:val="hybridMultilevel"/>
    <w:tmpl w:val="F7C619F8"/>
    <w:lvl w:ilvl="0" w:tplc="72C08EBE">
      <w:numFmt w:val="bullet"/>
      <w:lvlText w:val="-"/>
      <w:lvlJc w:val="left"/>
      <w:pPr>
        <w:ind w:left="1202" w:hanging="360"/>
      </w:pPr>
      <w:rPr>
        <w:rFonts w:ascii="Times New Roman" w:eastAsia="Times New Roman" w:hAnsi="Times New Roman"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85">
    <w:nsid w:val="7F7338FD"/>
    <w:multiLevelType w:val="hybridMultilevel"/>
    <w:tmpl w:val="C01A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FF07931"/>
    <w:multiLevelType w:val="hybridMultilevel"/>
    <w:tmpl w:val="61EAC9E0"/>
    <w:lvl w:ilvl="0" w:tplc="FCFCEFF2">
      <w:start w:val="1"/>
      <w:numFmt w:val="bullet"/>
      <w:lvlText w:val=""/>
      <w:lvlJc w:val="left"/>
      <w:pPr>
        <w:ind w:left="720" w:hanging="360"/>
      </w:pPr>
      <w:rPr>
        <w:rFonts w:ascii="Symbol" w:hAnsi="Symbol" w:hint="default"/>
      </w:rPr>
    </w:lvl>
    <w:lvl w:ilvl="1" w:tplc="CD56D256" w:tentative="1">
      <w:start w:val="1"/>
      <w:numFmt w:val="bullet"/>
      <w:lvlText w:val="o"/>
      <w:lvlJc w:val="left"/>
      <w:pPr>
        <w:ind w:left="1440" w:hanging="360"/>
      </w:pPr>
      <w:rPr>
        <w:rFonts w:ascii="Courier New" w:hAnsi="Courier New" w:cs="Courier New" w:hint="default"/>
      </w:rPr>
    </w:lvl>
    <w:lvl w:ilvl="2" w:tplc="BF70A7DC" w:tentative="1">
      <w:start w:val="1"/>
      <w:numFmt w:val="bullet"/>
      <w:lvlText w:val=""/>
      <w:lvlJc w:val="left"/>
      <w:pPr>
        <w:ind w:left="2160" w:hanging="360"/>
      </w:pPr>
      <w:rPr>
        <w:rFonts w:ascii="Wingdings" w:hAnsi="Wingdings" w:hint="default"/>
      </w:rPr>
    </w:lvl>
    <w:lvl w:ilvl="3" w:tplc="55F89596" w:tentative="1">
      <w:start w:val="1"/>
      <w:numFmt w:val="bullet"/>
      <w:lvlText w:val=""/>
      <w:lvlJc w:val="left"/>
      <w:pPr>
        <w:ind w:left="2880" w:hanging="360"/>
      </w:pPr>
      <w:rPr>
        <w:rFonts w:ascii="Symbol" w:hAnsi="Symbol" w:hint="default"/>
      </w:rPr>
    </w:lvl>
    <w:lvl w:ilvl="4" w:tplc="31340858" w:tentative="1">
      <w:start w:val="1"/>
      <w:numFmt w:val="bullet"/>
      <w:lvlText w:val="o"/>
      <w:lvlJc w:val="left"/>
      <w:pPr>
        <w:ind w:left="3600" w:hanging="360"/>
      </w:pPr>
      <w:rPr>
        <w:rFonts w:ascii="Courier New" w:hAnsi="Courier New" w:cs="Courier New" w:hint="default"/>
      </w:rPr>
    </w:lvl>
    <w:lvl w:ilvl="5" w:tplc="8358598A" w:tentative="1">
      <w:start w:val="1"/>
      <w:numFmt w:val="bullet"/>
      <w:lvlText w:val=""/>
      <w:lvlJc w:val="left"/>
      <w:pPr>
        <w:ind w:left="4320" w:hanging="360"/>
      </w:pPr>
      <w:rPr>
        <w:rFonts w:ascii="Wingdings" w:hAnsi="Wingdings" w:hint="default"/>
      </w:rPr>
    </w:lvl>
    <w:lvl w:ilvl="6" w:tplc="7A1ACF34" w:tentative="1">
      <w:start w:val="1"/>
      <w:numFmt w:val="bullet"/>
      <w:lvlText w:val=""/>
      <w:lvlJc w:val="left"/>
      <w:pPr>
        <w:ind w:left="5040" w:hanging="360"/>
      </w:pPr>
      <w:rPr>
        <w:rFonts w:ascii="Symbol" w:hAnsi="Symbol" w:hint="default"/>
      </w:rPr>
    </w:lvl>
    <w:lvl w:ilvl="7" w:tplc="8884DAA6" w:tentative="1">
      <w:start w:val="1"/>
      <w:numFmt w:val="bullet"/>
      <w:lvlText w:val="o"/>
      <w:lvlJc w:val="left"/>
      <w:pPr>
        <w:ind w:left="5760" w:hanging="360"/>
      </w:pPr>
      <w:rPr>
        <w:rFonts w:ascii="Courier New" w:hAnsi="Courier New" w:cs="Courier New" w:hint="default"/>
      </w:rPr>
    </w:lvl>
    <w:lvl w:ilvl="8" w:tplc="D4264920" w:tentative="1">
      <w:start w:val="1"/>
      <w:numFmt w:val="bullet"/>
      <w:lvlText w:val=""/>
      <w:lvlJc w:val="left"/>
      <w:pPr>
        <w:ind w:left="6480" w:hanging="360"/>
      </w:pPr>
      <w:rPr>
        <w:rFonts w:ascii="Wingdings" w:hAnsi="Wingdings" w:hint="default"/>
      </w:rPr>
    </w:lvl>
  </w:abstractNum>
  <w:num w:numId="1">
    <w:abstractNumId w:val="21"/>
  </w:num>
  <w:num w:numId="2">
    <w:abstractNumId w:val="57"/>
  </w:num>
  <w:num w:numId="3">
    <w:abstractNumId w:val="43"/>
  </w:num>
  <w:num w:numId="4">
    <w:abstractNumId w:val="9"/>
  </w:num>
  <w:num w:numId="5">
    <w:abstractNumId w:val="56"/>
  </w:num>
  <w:num w:numId="6">
    <w:abstractNumId w:val="74"/>
  </w:num>
  <w:num w:numId="7">
    <w:abstractNumId w:val="65"/>
  </w:num>
  <w:num w:numId="8">
    <w:abstractNumId w:val="17"/>
  </w:num>
  <w:num w:numId="9">
    <w:abstractNumId w:val="63"/>
  </w:num>
  <w:num w:numId="10">
    <w:abstractNumId w:val="25"/>
  </w:num>
  <w:num w:numId="11">
    <w:abstractNumId w:val="61"/>
  </w:num>
  <w:num w:numId="12">
    <w:abstractNumId w:val="52"/>
  </w:num>
  <w:num w:numId="13">
    <w:abstractNumId w:val="53"/>
  </w:num>
  <w:num w:numId="14">
    <w:abstractNumId w:val="24"/>
  </w:num>
  <w:num w:numId="15">
    <w:abstractNumId w:val="54"/>
  </w:num>
  <w:num w:numId="16">
    <w:abstractNumId w:val="33"/>
  </w:num>
  <w:num w:numId="17">
    <w:abstractNumId w:val="49"/>
  </w:num>
  <w:num w:numId="18">
    <w:abstractNumId w:val="7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num>
  <w:num w:numId="21">
    <w:abstractNumId w:val="22"/>
  </w:num>
  <w:num w:numId="22">
    <w:abstractNumId w:val="48"/>
  </w:num>
  <w:num w:numId="23">
    <w:abstractNumId w:val="50"/>
  </w:num>
  <w:num w:numId="24">
    <w:abstractNumId w:val="67"/>
  </w:num>
  <w:num w:numId="25">
    <w:abstractNumId w:val="4"/>
  </w:num>
  <w:num w:numId="26">
    <w:abstractNumId w:val="6"/>
  </w:num>
  <w:num w:numId="27">
    <w:abstractNumId w:val="5"/>
  </w:num>
  <w:num w:numId="28">
    <w:abstractNumId w:val="45"/>
  </w:num>
  <w:num w:numId="29">
    <w:abstractNumId w:val="58"/>
  </w:num>
  <w:num w:numId="30">
    <w:abstractNumId w:val="11"/>
  </w:num>
  <w:num w:numId="31">
    <w:abstractNumId w:val="23"/>
  </w:num>
  <w:num w:numId="32">
    <w:abstractNumId w:val="66"/>
  </w:num>
  <w:num w:numId="33">
    <w:abstractNumId w:val="19"/>
  </w:num>
  <w:num w:numId="34">
    <w:abstractNumId w:val="18"/>
  </w:num>
  <w:num w:numId="35">
    <w:abstractNumId w:val="39"/>
  </w:num>
  <w:num w:numId="36">
    <w:abstractNumId w:val="35"/>
  </w:num>
  <w:num w:numId="37">
    <w:abstractNumId w:val="46"/>
  </w:num>
  <w:num w:numId="38">
    <w:abstractNumId w:val="81"/>
  </w:num>
  <w:num w:numId="39">
    <w:abstractNumId w:val="16"/>
  </w:num>
  <w:num w:numId="40">
    <w:abstractNumId w:val="40"/>
  </w:num>
  <w:num w:numId="41">
    <w:abstractNumId w:val="83"/>
  </w:num>
  <w:num w:numId="42">
    <w:abstractNumId w:val="32"/>
  </w:num>
  <w:num w:numId="43">
    <w:abstractNumId w:val="12"/>
  </w:num>
  <w:num w:numId="44">
    <w:abstractNumId w:val="64"/>
  </w:num>
  <w:num w:numId="45">
    <w:abstractNumId w:val="30"/>
  </w:num>
  <w:num w:numId="46">
    <w:abstractNumId w:val="75"/>
  </w:num>
  <w:num w:numId="47">
    <w:abstractNumId w:val="8"/>
  </w:num>
  <w:num w:numId="48">
    <w:abstractNumId w:val="84"/>
  </w:num>
  <w:num w:numId="49">
    <w:abstractNumId w:val="26"/>
  </w:num>
  <w:num w:numId="50">
    <w:abstractNumId w:val="20"/>
  </w:num>
  <w:num w:numId="51">
    <w:abstractNumId w:val="85"/>
  </w:num>
  <w:num w:numId="52">
    <w:abstractNumId w:val="82"/>
  </w:num>
  <w:num w:numId="53">
    <w:abstractNumId w:val="13"/>
  </w:num>
  <w:num w:numId="54">
    <w:abstractNumId w:val="77"/>
  </w:num>
  <w:num w:numId="55">
    <w:abstractNumId w:val="1"/>
  </w:num>
  <w:num w:numId="56">
    <w:abstractNumId w:val="73"/>
  </w:num>
  <w:num w:numId="57">
    <w:abstractNumId w:val="27"/>
  </w:num>
  <w:num w:numId="58">
    <w:abstractNumId w:val="78"/>
  </w:num>
  <w:num w:numId="59">
    <w:abstractNumId w:val="47"/>
  </w:num>
  <w:num w:numId="60">
    <w:abstractNumId w:val="14"/>
  </w:num>
  <w:num w:numId="61">
    <w:abstractNumId w:val="60"/>
  </w:num>
  <w:num w:numId="62">
    <w:abstractNumId w:val="10"/>
  </w:num>
  <w:num w:numId="63">
    <w:abstractNumId w:val="37"/>
  </w:num>
  <w:num w:numId="64">
    <w:abstractNumId w:val="69"/>
  </w:num>
  <w:num w:numId="65">
    <w:abstractNumId w:val="7"/>
  </w:num>
  <w:num w:numId="66">
    <w:abstractNumId w:val="38"/>
  </w:num>
  <w:num w:numId="67">
    <w:abstractNumId w:val="86"/>
  </w:num>
  <w:num w:numId="68">
    <w:abstractNumId w:val="41"/>
  </w:num>
  <w:num w:numId="69">
    <w:abstractNumId w:val="2"/>
  </w:num>
  <w:num w:numId="70">
    <w:abstractNumId w:val="31"/>
  </w:num>
  <w:num w:numId="71">
    <w:abstractNumId w:val="55"/>
  </w:num>
  <w:num w:numId="72">
    <w:abstractNumId w:val="44"/>
  </w:num>
  <w:num w:numId="73">
    <w:abstractNumId w:val="59"/>
  </w:num>
  <w:num w:numId="74">
    <w:abstractNumId w:val="71"/>
  </w:num>
  <w:num w:numId="75">
    <w:abstractNumId w:val="62"/>
  </w:num>
  <w:num w:numId="76">
    <w:abstractNumId w:val="42"/>
  </w:num>
  <w:num w:numId="77">
    <w:abstractNumId w:val="80"/>
  </w:num>
  <w:num w:numId="78">
    <w:abstractNumId w:val="29"/>
  </w:num>
  <w:num w:numId="79">
    <w:abstractNumId w:val="3"/>
  </w:num>
  <w:num w:numId="80">
    <w:abstractNumId w:val="36"/>
  </w:num>
  <w:num w:numId="81">
    <w:abstractNumId w:val="15"/>
  </w:num>
  <w:num w:numId="82">
    <w:abstractNumId w:val="51"/>
  </w:num>
  <w:num w:numId="83">
    <w:abstractNumId w:val="76"/>
  </w:num>
  <w:num w:numId="84">
    <w:abstractNumId w:val="28"/>
  </w:num>
  <w:num w:numId="85">
    <w:abstractNumId w:val="72"/>
  </w:num>
  <w:num w:numId="86">
    <w:abstractNumId w:val="70"/>
  </w:num>
  <w:num w:numId="87">
    <w:abstractNumId w:val="3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80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0215C5"/>
    <w:rsid w:val="00016CDD"/>
    <w:rsid w:val="000215C5"/>
    <w:rsid w:val="00030A8A"/>
    <w:rsid w:val="0003666D"/>
    <w:rsid w:val="00042B6E"/>
    <w:rsid w:val="00051105"/>
    <w:rsid w:val="0005537D"/>
    <w:rsid w:val="00056EC0"/>
    <w:rsid w:val="0008356D"/>
    <w:rsid w:val="000859E7"/>
    <w:rsid w:val="000B293D"/>
    <w:rsid w:val="000E1CB7"/>
    <w:rsid w:val="000F54DD"/>
    <w:rsid w:val="0010070E"/>
    <w:rsid w:val="00133520"/>
    <w:rsid w:val="00140CEE"/>
    <w:rsid w:val="0019049D"/>
    <w:rsid w:val="001A7AD2"/>
    <w:rsid w:val="001B279E"/>
    <w:rsid w:val="001C7791"/>
    <w:rsid w:val="00204C97"/>
    <w:rsid w:val="002476B7"/>
    <w:rsid w:val="002539F8"/>
    <w:rsid w:val="002C508D"/>
    <w:rsid w:val="002C79FC"/>
    <w:rsid w:val="002D3B10"/>
    <w:rsid w:val="002E00A7"/>
    <w:rsid w:val="002E450A"/>
    <w:rsid w:val="00301072"/>
    <w:rsid w:val="00351B87"/>
    <w:rsid w:val="00360D19"/>
    <w:rsid w:val="003768A2"/>
    <w:rsid w:val="003E5628"/>
    <w:rsid w:val="003F7836"/>
    <w:rsid w:val="004042A3"/>
    <w:rsid w:val="00413F99"/>
    <w:rsid w:val="00413FD0"/>
    <w:rsid w:val="00417E01"/>
    <w:rsid w:val="00445C9F"/>
    <w:rsid w:val="004961F3"/>
    <w:rsid w:val="004A24AD"/>
    <w:rsid w:val="004A3C2E"/>
    <w:rsid w:val="004D0915"/>
    <w:rsid w:val="004F4683"/>
    <w:rsid w:val="005100D0"/>
    <w:rsid w:val="00537D4F"/>
    <w:rsid w:val="00546A5D"/>
    <w:rsid w:val="00554F35"/>
    <w:rsid w:val="0058095F"/>
    <w:rsid w:val="005A2243"/>
    <w:rsid w:val="005C5273"/>
    <w:rsid w:val="005E1D38"/>
    <w:rsid w:val="005E3909"/>
    <w:rsid w:val="00623924"/>
    <w:rsid w:val="0062458E"/>
    <w:rsid w:val="00625613"/>
    <w:rsid w:val="00661070"/>
    <w:rsid w:val="00661FC2"/>
    <w:rsid w:val="006E59C8"/>
    <w:rsid w:val="006F0080"/>
    <w:rsid w:val="00703023"/>
    <w:rsid w:val="0070707A"/>
    <w:rsid w:val="00744D77"/>
    <w:rsid w:val="00764B64"/>
    <w:rsid w:val="00781786"/>
    <w:rsid w:val="007B0D9E"/>
    <w:rsid w:val="007E237C"/>
    <w:rsid w:val="007F1741"/>
    <w:rsid w:val="00805665"/>
    <w:rsid w:val="00814861"/>
    <w:rsid w:val="0082582C"/>
    <w:rsid w:val="00845C01"/>
    <w:rsid w:val="00860472"/>
    <w:rsid w:val="008D6A99"/>
    <w:rsid w:val="0094230B"/>
    <w:rsid w:val="0096395F"/>
    <w:rsid w:val="00973495"/>
    <w:rsid w:val="00974F7A"/>
    <w:rsid w:val="00985770"/>
    <w:rsid w:val="00986238"/>
    <w:rsid w:val="009A293E"/>
    <w:rsid w:val="009C1A7E"/>
    <w:rsid w:val="009F5A4E"/>
    <w:rsid w:val="00A07D35"/>
    <w:rsid w:val="00A26894"/>
    <w:rsid w:val="00A26E66"/>
    <w:rsid w:val="00A71B2E"/>
    <w:rsid w:val="00AA6552"/>
    <w:rsid w:val="00AC0A95"/>
    <w:rsid w:val="00AD503F"/>
    <w:rsid w:val="00B20748"/>
    <w:rsid w:val="00B53C58"/>
    <w:rsid w:val="00B730B1"/>
    <w:rsid w:val="00B90915"/>
    <w:rsid w:val="00BB474C"/>
    <w:rsid w:val="00BD251F"/>
    <w:rsid w:val="00BD5C38"/>
    <w:rsid w:val="00BF0382"/>
    <w:rsid w:val="00C10DA5"/>
    <w:rsid w:val="00C26570"/>
    <w:rsid w:val="00C35BC3"/>
    <w:rsid w:val="00C435C4"/>
    <w:rsid w:val="00C57FB6"/>
    <w:rsid w:val="00C60331"/>
    <w:rsid w:val="00C74BC0"/>
    <w:rsid w:val="00CB7B77"/>
    <w:rsid w:val="00D065DB"/>
    <w:rsid w:val="00D33870"/>
    <w:rsid w:val="00D52D4D"/>
    <w:rsid w:val="00D66790"/>
    <w:rsid w:val="00D95552"/>
    <w:rsid w:val="00DC4BEA"/>
    <w:rsid w:val="00E01FD6"/>
    <w:rsid w:val="00E03912"/>
    <w:rsid w:val="00E03E28"/>
    <w:rsid w:val="00E12BBE"/>
    <w:rsid w:val="00E2714B"/>
    <w:rsid w:val="00E61D65"/>
    <w:rsid w:val="00E65F5E"/>
    <w:rsid w:val="00F03563"/>
    <w:rsid w:val="00F312CC"/>
    <w:rsid w:val="00FA0245"/>
    <w:rsid w:val="00FB6EA8"/>
    <w:rsid w:val="00FD78F1"/>
    <w:rsid w:val="00FE7750"/>
    <w:rsid w:val="00FF6E62"/>
  </w:rsids>
  <m:mathPr>
    <m:mathFont m:val="Cambria Math"/>
    <m:brkBin m:val="before"/>
    <m:brkBinSub m:val="--"/>
    <m:smallFrac m:val="0"/>
    <m:dispDef/>
    <m:lMargin m:val="0"/>
    <m:rMargin m:val="0"/>
    <m:defJc m:val="centerGroup"/>
    <m:wrapIndent m:val="1440"/>
    <m:intLim m:val="subSup"/>
    <m:naryLim m:val="undOvr"/>
  </m:mathPr>
  <w:themeFontLang w:val="es-E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pPr>
    <w:rPr>
      <w:rFonts w:ascii="Calibri Light" w:hAnsi="Calibri Light"/>
      <w:sz w:val="24"/>
    </w:rPr>
  </w:style>
  <w:style w:type="paragraph" w:styleId="Rubrik1">
    <w:name w:val="heading 1"/>
    <w:aliases w:val="título 1,h1,Part,1st level,Titre 1 VGX,1,Header 1,überschrift1,überschrift11,überschrift12,H1,numeroté  1.,Headline 1,main title,Heading A,Heading1,H1-Heading 1,l1,Legal Line 1,head 1,list 1,heading 1,II+,I,Head 1 (Chapter heading),Bold"/>
    <w:basedOn w:val="Normal"/>
    <w:next w:val="Text1"/>
    <w:link w:val="Rubrik1Char"/>
    <w:uiPriority w:val="99"/>
    <w:qFormat/>
    <w:pPr>
      <w:keepNext/>
      <w:numPr>
        <w:numId w:val="1"/>
      </w:numPr>
      <w:tabs>
        <w:tab w:val="left" w:pos="851"/>
      </w:tabs>
      <w:spacing w:before="240"/>
      <w:outlineLvl w:val="0"/>
    </w:pPr>
    <w:rPr>
      <w:b/>
      <w:smallCaps/>
    </w:rPr>
  </w:style>
  <w:style w:type="paragraph" w:styleId="Rubrik2">
    <w:name w:val="heading 2"/>
    <w:aliases w:val="título 2,h2,Chapter Title,H2,2nd level,2,Header 2,tučné italic 12,A.B.C.,Heading2-bio,Career Exp.,T2,Borja 2,Paspastyle 2,tνtulo 2,t?tulo 2,t,Titre 2 VGX,Heading 2 Hidden,heading 21,Heading 2 Hidden1,Chapter Number/Appendix Letter,subhead 1,l2"/>
    <w:basedOn w:val="Normal"/>
    <w:next w:val="Normal"/>
    <w:link w:val="Rubrik2Char"/>
    <w:uiPriority w:val="99"/>
    <w:qFormat/>
    <w:pPr>
      <w:keepNext/>
      <w:numPr>
        <w:ilvl w:val="1"/>
        <w:numId w:val="1"/>
      </w:numPr>
      <w:outlineLvl w:val="1"/>
    </w:pPr>
    <w:rPr>
      <w:b/>
    </w:rPr>
  </w:style>
  <w:style w:type="paragraph" w:styleId="Rubrik3">
    <w:name w:val="heading 3"/>
    <w:aliases w:val="-E Überschrift 3,H3,0,Kop 3 Char,h3,3,Nadpis_3_úroveň,Sub Paragraph,Podkapitola2,Podkapitola21,Záhlav...,Záhlaví 3,V_Head3,V_Head31,V_Head32,ASAPHeading 3,1.2.3.,T3,Titre 3 VGX,título 3,Org Heading 1,H31,H32,subhead 2,2h,l3,numéroté  1.1.1,h31"/>
    <w:basedOn w:val="Normal"/>
    <w:next w:val="Text3"/>
    <w:link w:val="Rubrik3Char"/>
    <w:autoRedefine/>
    <w:uiPriority w:val="9"/>
    <w:qFormat/>
    <w:pPr>
      <w:keepNext/>
      <w:numPr>
        <w:ilvl w:val="2"/>
        <w:numId w:val="1"/>
      </w:numPr>
      <w:ind w:left="851" w:hanging="851"/>
      <w:jc w:val="both"/>
      <w:outlineLvl w:val="2"/>
    </w:pPr>
    <w:rPr>
      <w:b/>
      <w:color w:val="000000" w:themeColor="text1"/>
    </w:rPr>
  </w:style>
  <w:style w:type="paragraph" w:styleId="Rubrik4">
    <w:name w:val="heading 4"/>
    <w:basedOn w:val="Normal"/>
    <w:next w:val="Normal"/>
    <w:link w:val="Rubrik4Char"/>
    <w:autoRedefine/>
    <w:qFormat/>
    <w:pPr>
      <w:keepNext/>
      <w:numPr>
        <w:ilvl w:val="3"/>
        <w:numId w:val="1"/>
      </w:numPr>
      <w:tabs>
        <w:tab w:val="clear" w:pos="4287"/>
      </w:tabs>
      <w:ind w:left="720"/>
      <w:jc w:val="both"/>
      <w:outlineLvl w:val="3"/>
    </w:pPr>
    <w:rPr>
      <w:b/>
    </w:rPr>
  </w:style>
  <w:style w:type="paragraph" w:styleId="Rubrik5">
    <w:name w:val="heading 5"/>
    <w:aliases w:val="Block Label,DO NOT USE_h5,Nivel 5,FAQ Question,h5,Second Subheading,H5,5,Sub-sub-sub-paragraaf,Contrat 5,Título5_Excalibur,Al margen,ds,dd,Tempo Heading 5,Level 3 - i,l5,I5,Numbered Sub-list,Table label,hm,mh2,Module heading 2,Head 5,list 5,T"/>
    <w:basedOn w:val="Normal"/>
    <w:next w:val="Normal"/>
    <w:link w:val="Rubrik5Char"/>
    <w:uiPriority w:val="99"/>
    <w:qFormat/>
    <w:pPr>
      <w:tabs>
        <w:tab w:val="num" w:pos="0"/>
      </w:tabs>
      <w:spacing w:before="240" w:after="60"/>
      <w:outlineLvl w:val="4"/>
    </w:pPr>
    <w:rPr>
      <w:rFonts w:ascii="Arial" w:hAnsi="Arial"/>
      <w:sz w:val="22"/>
    </w:rPr>
  </w:style>
  <w:style w:type="paragraph" w:styleId="Rubrik6">
    <w:name w:val="heading 6"/>
    <w:aliases w:val="H6,Ref Heading 3,rh3,Ref Heading 31,rh31,H61,h6,Third Subheading,Título 0,T1,Margin Note,sub-dash,sd,sub-dash1,sd1,51,sub-dash2,sd2,52,sub-dash3,sd3,53,sub-dash4,sd4,54,sub-dash5,sd5,55,sub-dash6,sd6,56,Bullet list,Bullet list1,cnp,E6"/>
    <w:basedOn w:val="Normal"/>
    <w:next w:val="Normal"/>
    <w:link w:val="Rubrik6Char"/>
    <w:uiPriority w:val="99"/>
    <w:qFormat/>
    <w:pPr>
      <w:tabs>
        <w:tab w:val="num" w:pos="0"/>
      </w:tabs>
      <w:spacing w:before="240" w:after="60"/>
      <w:outlineLvl w:val="5"/>
    </w:pPr>
    <w:rPr>
      <w:rFonts w:ascii="Arial" w:hAnsi="Arial"/>
      <w:i/>
      <w:sz w:val="22"/>
    </w:rPr>
  </w:style>
  <w:style w:type="paragraph" w:styleId="Rubrik7">
    <w:name w:val="heading 7"/>
    <w:aliases w:val="David1,L7,letter list,T7,Anexo 1,Titolo7,h7,SDL title,lettered list,Appendix Level 1,Appendix Level 11,Appendix Level 12,7,ExhibitTitle,Objective,heading7,req3,PIM 7,Legal Level 1.1.,marcador,cnc,Caption number (column-wide),ITT t7,heading 7"/>
    <w:basedOn w:val="Normal"/>
    <w:next w:val="Normal"/>
    <w:link w:val="Rubrik7Char"/>
    <w:uiPriority w:val="99"/>
    <w:qFormat/>
    <w:pPr>
      <w:tabs>
        <w:tab w:val="num" w:pos="0"/>
      </w:tabs>
      <w:spacing w:before="240" w:after="60"/>
      <w:outlineLvl w:val="6"/>
    </w:pPr>
    <w:rPr>
      <w:rFonts w:ascii="Arial" w:hAnsi="Arial"/>
      <w:sz w:val="20"/>
    </w:rPr>
  </w:style>
  <w:style w:type="paragraph" w:styleId="Rubrik8">
    <w:name w:val="heading 8"/>
    <w:aliases w:val="action,T8,(table no.),Anexo 2,Vedlegg,Center Bold,ft,figure title,Taula comanes,(Appendici),Titolo8,8,FigureTitle,Condition,requirement,req2,req,Legal Level 1.1.1.,ctp,Caption text (page-wide),- DI -8,h8,table Body Text,a-2,l8,l"/>
    <w:basedOn w:val="Normal"/>
    <w:next w:val="Normal"/>
    <w:link w:val="Rubrik8Char"/>
    <w:uiPriority w:val="99"/>
    <w:qFormat/>
    <w:pPr>
      <w:tabs>
        <w:tab w:val="num" w:pos="0"/>
      </w:tabs>
      <w:spacing w:before="240" w:after="60"/>
      <w:outlineLvl w:val="7"/>
    </w:pPr>
    <w:rPr>
      <w:rFonts w:ascii="Arial" w:hAnsi="Arial"/>
      <w:i/>
      <w:sz w:val="20"/>
    </w:rPr>
  </w:style>
  <w:style w:type="paragraph" w:styleId="Rubrik9">
    <w:name w:val="heading 9"/>
    <w:aliases w:val="App1,(appendix),App Heading,progress,(figure no.),Anexo 3,Uvedl,tt,table title,Taula paràmetres,(Bibliografia),Titolo9,Titre 10,9,TableTitle,Cond'l Reqt.,rb,req bullet,req1,PIM 9,Legal Level 1.1.1.1.,ctc,h9,RFP Reference"/>
    <w:basedOn w:val="Normal"/>
    <w:next w:val="Normal"/>
    <w:link w:val="Rubrik9Char"/>
    <w:uiPriority w:val="99"/>
    <w:qFormat/>
    <w:pPr>
      <w:tabs>
        <w:tab w:val="num" w:pos="0"/>
      </w:tabs>
      <w:spacing w:before="240" w:after="60"/>
      <w:outlineLvl w:val="8"/>
    </w:pPr>
    <w:rPr>
      <w:rFonts w:ascii="Arial" w:hAnsi="Arial"/>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xt1">
    <w:name w:val="Text 1"/>
    <w:basedOn w:val="Normal"/>
    <w:pPr>
      <w:ind w:left="482"/>
    </w:pPr>
  </w:style>
  <w:style w:type="character" w:customStyle="1" w:styleId="Rubrik1Char">
    <w:name w:val="Rubrik 1 Char"/>
    <w:aliases w:val="título 1 Char,h1 Char,Part Char,1st level Char,Titre 1 VGX Char,1 Char,Header 1 Char,überschrift1 Char,überschrift11 Char,überschrift12 Char,H1 Char,numeroté  1. Char,Headline 1 Char,main title Char,Heading A Char,Heading1 Char,l1 Char"/>
    <w:link w:val="Rubrik1"/>
    <w:uiPriority w:val="99"/>
    <w:rPr>
      <w:rFonts w:ascii="Calibri Light" w:hAnsi="Calibri Light"/>
      <w:b/>
      <w:smallCaps/>
      <w:sz w:val="24"/>
      <w:lang w:eastAsia="sv-SE"/>
    </w:rPr>
  </w:style>
  <w:style w:type="character" w:customStyle="1" w:styleId="Rubrik2Char">
    <w:name w:val="Rubrik 2 Char"/>
    <w:aliases w:val="título 2 Char,h2 Char,Chapter Title Char,H2 Char,2nd level Char,2 Char,Header 2 Char,tučné italic 12 Char,A.B.C. Char,Heading2-bio Char,Career Exp. Char,T2 Char,Borja 2 Char,Paspastyle 2 Char,tνtulo 2 Char,t?tulo 2 Char,t Char,l2 Char"/>
    <w:link w:val="Rubrik2"/>
    <w:uiPriority w:val="99"/>
    <w:rPr>
      <w:rFonts w:ascii="Calibri Light" w:hAnsi="Calibri Light"/>
      <w:b/>
      <w:sz w:val="24"/>
      <w:lang w:eastAsia="sv-SE"/>
    </w:rPr>
  </w:style>
  <w:style w:type="paragraph" w:customStyle="1" w:styleId="Text3">
    <w:name w:val="Text 3"/>
    <w:basedOn w:val="Normal"/>
    <w:pPr>
      <w:tabs>
        <w:tab w:val="left" w:pos="2302"/>
      </w:tabs>
      <w:ind w:left="1202"/>
    </w:pPr>
  </w:style>
  <w:style w:type="character" w:customStyle="1" w:styleId="Rubrik3Char">
    <w:name w:val="Rubrik 3 Char"/>
    <w:aliases w:val="-E Überschrift 3 Char,H3 Char,0 Char,Kop 3 Char Char,h3 Char,3 Char,Nadpis_3_úroveň Char,Sub Paragraph Char,Podkapitola2 Char,Podkapitola21 Char,Záhlav... Char,Záhlaví 3 Char,V_Head3 Char,V_Head31 Char,V_Head32 Char,ASAPHeading 3 Char"/>
    <w:link w:val="Rubrik3"/>
    <w:uiPriority w:val="9"/>
    <w:rPr>
      <w:rFonts w:ascii="Calibri Light" w:hAnsi="Calibri Light"/>
      <w:b/>
      <w:color w:val="000000" w:themeColor="text1"/>
      <w:sz w:val="24"/>
      <w:lang w:eastAsia="sv-SE"/>
    </w:rPr>
  </w:style>
  <w:style w:type="character" w:customStyle="1" w:styleId="Rubrik4Char">
    <w:name w:val="Rubrik 4 Char"/>
    <w:link w:val="Rubrik4"/>
    <w:rPr>
      <w:rFonts w:ascii="Calibri Light" w:hAnsi="Calibri Light"/>
      <w:b/>
      <w:sz w:val="24"/>
      <w:lang w:eastAsia="sv-SE"/>
    </w:rPr>
  </w:style>
  <w:style w:type="character" w:customStyle="1" w:styleId="Rubrik5Char">
    <w:name w:val="Rubrik 5 Char"/>
    <w:aliases w:val="Block Label Char,DO NOT USE_h5 Char,Nivel 5 Char,FAQ Question Char,h5 Char,Second Subheading Char,H5 Char,5 Char,Sub-sub-sub-paragraaf Char,Contrat 5 Char,Título5_Excalibur Char,Al margen Char,ds Char,dd Char,Tempo Heading 5 Char,l5 Char"/>
    <w:link w:val="Rubrik5"/>
    <w:rPr>
      <w:rFonts w:ascii="Arial" w:hAnsi="Arial"/>
      <w:sz w:val="22"/>
      <w:lang w:eastAsia="sv-SE"/>
    </w:rPr>
  </w:style>
  <w:style w:type="character" w:customStyle="1" w:styleId="Rubrik6Char">
    <w:name w:val="Rubrik 6 Char"/>
    <w:aliases w:val="H6 Char,Ref Heading 3 Char,rh3 Char,Ref Heading 31 Char,rh31 Char,H61 Char,h6 Char,Third Subheading Char,Título 0 Char,T1 Char,Margin Note Char,sub-dash Char,sd Char,sub-dash1 Char,sd1 Char,51 Char,sub-dash2 Char,sd2 Char,52 Char,sd3 Char"/>
    <w:link w:val="Rubrik6"/>
    <w:rPr>
      <w:rFonts w:ascii="Arial" w:hAnsi="Arial"/>
      <w:i/>
      <w:sz w:val="22"/>
      <w:lang w:eastAsia="sv-SE"/>
    </w:rPr>
  </w:style>
  <w:style w:type="character" w:customStyle="1" w:styleId="Rubrik7Char">
    <w:name w:val="Rubrik 7 Char"/>
    <w:aliases w:val="David1 Char,L7 Char,letter list Char,T7 Char,Anexo 1 Char,Titolo7 Char,h7 Char,SDL title Char,lettered list Char,Appendix Level 1 Char,Appendix Level 11 Char,Appendix Level 12 Char,7 Char,ExhibitTitle Char,Objective Char,heading7 Char"/>
    <w:link w:val="Rubrik7"/>
    <w:rPr>
      <w:rFonts w:ascii="Arial" w:hAnsi="Arial"/>
      <w:lang w:eastAsia="sv-SE"/>
    </w:rPr>
  </w:style>
  <w:style w:type="character" w:customStyle="1" w:styleId="Rubrik8Char">
    <w:name w:val="Rubrik 8 Char"/>
    <w:aliases w:val="action Char,T8 Char,(table no.) Char,Anexo 2 Char,Vedlegg Char,Center Bold Char,ft Char,figure title Char,Taula comanes Char,(Appendici) Char,Titolo8 Char,8 Char,FigureTitle Char,Condition Char,requirement Char,req2 Char,req Char,ctp Char"/>
    <w:link w:val="Rubrik8"/>
    <w:rPr>
      <w:rFonts w:ascii="Arial" w:hAnsi="Arial"/>
      <w:i/>
      <w:lang w:eastAsia="sv-SE"/>
    </w:rPr>
  </w:style>
  <w:style w:type="character" w:customStyle="1" w:styleId="Rubrik9Char">
    <w:name w:val="Rubrik 9 Char"/>
    <w:aliases w:val="App1 Char,(appendix) Char,App Heading Char,progress Char,(figure no.) Char,Anexo 3 Char,Uvedl Char,tt Char,table title Char,Taula paràmetres Char,(Bibliografia) Char,Titolo9 Char,Titre 10 Char,9 Char,TableTitle Char,Cond'l Reqt. Char"/>
    <w:link w:val="Rubrik9"/>
    <w:rPr>
      <w:rFonts w:ascii="Arial" w:hAnsi="Arial"/>
      <w:i/>
      <w:sz w:val="18"/>
      <w:lang w:eastAsia="sv-SE"/>
    </w:rPr>
  </w:style>
  <w:style w:type="paragraph" w:customStyle="1" w:styleId="Text2">
    <w:name w:val="Text 2"/>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Indragetstycke">
    <w:name w:val="Block Text"/>
    <w:basedOn w:val="Normal"/>
    <w:pPr>
      <w:spacing w:after="120"/>
      <w:ind w:left="1440" w:right="1440"/>
    </w:pPr>
  </w:style>
  <w:style w:type="paragraph" w:styleId="Brdtext">
    <w:name w:val="Body Text"/>
    <w:aliases w:val="Body Text A,alt+L,alt+B ja alt+L,.                 alt+L,Double indent,Cranfield CV:Body Text,Body,heading3,Body Text - Level 2"/>
    <w:basedOn w:val="Normal"/>
    <w:link w:val="BrdtextChar"/>
    <w:pPr>
      <w:spacing w:after="120"/>
    </w:pPr>
  </w:style>
  <w:style w:type="character" w:customStyle="1" w:styleId="BrdtextChar">
    <w:name w:val="Brödtext Char"/>
    <w:aliases w:val="Body Text A Char,alt+L Char,alt+B ja alt+L Char,.                 alt+L Char,Double indent Char,Cranfield CV:Body Text Char,Body Char,heading3 Char,Body Text - Level 2 Char"/>
    <w:link w:val="Brdtext"/>
    <w:rPr>
      <w:sz w:val="24"/>
      <w:lang w:eastAsia="sv-SE"/>
    </w:rPr>
  </w:style>
  <w:style w:type="paragraph" w:styleId="Brdtext2">
    <w:name w:val="Body Text 2"/>
    <w:basedOn w:val="Normal"/>
    <w:link w:val="Brdtext2Char"/>
    <w:uiPriority w:val="99"/>
    <w:pPr>
      <w:spacing w:after="120" w:line="480" w:lineRule="auto"/>
    </w:pPr>
  </w:style>
  <w:style w:type="character" w:customStyle="1" w:styleId="Brdtext2Char">
    <w:name w:val="Brödtext 2 Char"/>
    <w:link w:val="Brdtext2"/>
    <w:uiPriority w:val="99"/>
    <w:rPr>
      <w:sz w:val="24"/>
      <w:lang w:eastAsia="sv-SE"/>
    </w:rPr>
  </w:style>
  <w:style w:type="paragraph" w:styleId="Brdtext3">
    <w:name w:val="Body Text 3"/>
    <w:basedOn w:val="Normal"/>
    <w:link w:val="Brdtext3Char"/>
    <w:pPr>
      <w:spacing w:after="120"/>
    </w:pPr>
    <w:rPr>
      <w:sz w:val="16"/>
    </w:rPr>
  </w:style>
  <w:style w:type="character" w:customStyle="1" w:styleId="Brdtext3Char">
    <w:name w:val="Brödtext 3 Char"/>
    <w:link w:val="Brdtext3"/>
    <w:rPr>
      <w:sz w:val="16"/>
      <w:lang w:eastAsia="sv-SE"/>
    </w:rPr>
  </w:style>
  <w:style w:type="paragraph" w:styleId="Brdtextmedfrstaindrag">
    <w:name w:val="Body Text First Indent"/>
    <w:basedOn w:val="Brdtext"/>
    <w:link w:val="BrdtextmedfrstaindragChar"/>
    <w:pPr>
      <w:ind w:firstLine="210"/>
    </w:pPr>
  </w:style>
  <w:style w:type="character" w:customStyle="1" w:styleId="BrdtextmedfrstaindragChar">
    <w:name w:val="Brödtext med första indrag Char"/>
    <w:link w:val="Brdtextmedfrstaindrag"/>
    <w:rPr>
      <w:sz w:val="24"/>
      <w:lang w:eastAsia="sv-SE"/>
    </w:rPr>
  </w:style>
  <w:style w:type="paragraph" w:styleId="Brdtextmedindrag">
    <w:name w:val="Body Text Indent"/>
    <w:basedOn w:val="Normal"/>
    <w:link w:val="BrdtextmedindragChar"/>
    <w:pPr>
      <w:spacing w:after="120"/>
      <w:ind w:left="283"/>
    </w:pPr>
  </w:style>
  <w:style w:type="character" w:customStyle="1" w:styleId="BrdtextmedindragChar">
    <w:name w:val="Brödtext med indrag Char"/>
    <w:link w:val="Brdtextmedindrag"/>
    <w:rPr>
      <w:sz w:val="24"/>
      <w:lang w:eastAsia="sv-SE"/>
    </w:rPr>
  </w:style>
  <w:style w:type="paragraph" w:styleId="Brdtextmedfrstaindrag2">
    <w:name w:val="Body Text First Indent 2"/>
    <w:basedOn w:val="Brdtextmedindrag"/>
    <w:link w:val="Brdtextmedfrstaindrag2Char"/>
    <w:pPr>
      <w:ind w:firstLine="210"/>
    </w:pPr>
  </w:style>
  <w:style w:type="character" w:customStyle="1" w:styleId="Brdtextmedfrstaindrag2Char">
    <w:name w:val="Brödtext med första indrag 2 Char"/>
    <w:link w:val="Brdtextmedfrstaindrag2"/>
    <w:rPr>
      <w:sz w:val="24"/>
      <w:lang w:eastAsia="sv-SE"/>
    </w:rPr>
  </w:style>
  <w:style w:type="paragraph" w:styleId="Brdtextmedindrag2">
    <w:name w:val="Body Text Indent 2"/>
    <w:basedOn w:val="Normal"/>
    <w:link w:val="Brdtextmedindrag2Char"/>
    <w:pPr>
      <w:spacing w:after="120" w:line="480" w:lineRule="auto"/>
      <w:ind w:left="283"/>
    </w:pPr>
  </w:style>
  <w:style w:type="character" w:customStyle="1" w:styleId="Brdtextmedindrag2Char">
    <w:name w:val="Brödtext med indrag 2 Char"/>
    <w:link w:val="Brdtextmedindrag2"/>
    <w:rPr>
      <w:sz w:val="24"/>
      <w:lang w:eastAsia="sv-SE"/>
    </w:rPr>
  </w:style>
  <w:style w:type="paragraph" w:styleId="Brdtextmedindrag3">
    <w:name w:val="Body Text Indent 3"/>
    <w:basedOn w:val="Normal"/>
    <w:link w:val="Brdtextmedindrag3Char"/>
    <w:pPr>
      <w:spacing w:after="120"/>
      <w:ind w:left="283"/>
    </w:pPr>
    <w:rPr>
      <w:sz w:val="16"/>
    </w:rPr>
  </w:style>
  <w:style w:type="character" w:customStyle="1" w:styleId="Brdtextmedindrag3Char">
    <w:name w:val="Brödtext med indrag 3 Char"/>
    <w:link w:val="Brdtextmedindrag3"/>
    <w:rPr>
      <w:sz w:val="16"/>
      <w:lang w:eastAsia="sv-SE"/>
    </w:rPr>
  </w:style>
  <w:style w:type="paragraph" w:styleId="Beskrivning">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Rubrik1"/>
    <w:pPr>
      <w:keepNext/>
      <w:spacing w:after="480"/>
      <w:jc w:val="center"/>
    </w:pPr>
    <w:rPr>
      <w:b/>
      <w:smallCaps/>
      <w:sz w:val="28"/>
    </w:rPr>
  </w:style>
  <w:style w:type="paragraph" w:styleId="Avslutandetext">
    <w:name w:val="Closing"/>
    <w:basedOn w:val="Normal"/>
    <w:link w:val="AvslutandetextChar"/>
    <w:pPr>
      <w:ind w:left="4252"/>
    </w:pPr>
  </w:style>
  <w:style w:type="character" w:customStyle="1" w:styleId="AvslutandetextChar">
    <w:name w:val="Avslutande text Char"/>
    <w:link w:val="Avslutandetext"/>
    <w:rPr>
      <w:sz w:val="24"/>
      <w:lang w:eastAsia="sv-SE"/>
    </w:rPr>
  </w:style>
  <w:style w:type="paragraph" w:styleId="Kommentarer">
    <w:name w:val="annotation text"/>
    <w:basedOn w:val="Normal"/>
    <w:link w:val="KommentarerChar"/>
    <w:uiPriority w:val="99"/>
    <w:rPr>
      <w:sz w:val="20"/>
    </w:rPr>
  </w:style>
  <w:style w:type="character" w:customStyle="1" w:styleId="KommentarerChar">
    <w:name w:val="Kommentarer Char"/>
    <w:link w:val="Kommentarer"/>
    <w:uiPriority w:val="99"/>
    <w:rPr>
      <w:lang w:eastAsia="sv-SE"/>
    </w:rPr>
  </w:style>
  <w:style w:type="paragraph" w:styleId="Datum">
    <w:name w:val="Date"/>
    <w:basedOn w:val="Normal"/>
    <w:next w:val="References"/>
    <w:link w:val="DatumChar"/>
    <w:pPr>
      <w:spacing w:after="0"/>
      <w:ind w:left="5103" w:right="-567"/>
    </w:pPr>
  </w:style>
  <w:style w:type="paragraph" w:customStyle="1" w:styleId="References">
    <w:name w:val="References"/>
    <w:basedOn w:val="Normal"/>
    <w:next w:val="AddressTR"/>
    <w:pPr>
      <w:ind w:left="5103"/>
    </w:pPr>
    <w:rPr>
      <w:sz w:val="20"/>
    </w:rPr>
  </w:style>
  <w:style w:type="character" w:customStyle="1" w:styleId="DatumChar">
    <w:name w:val="Datum Char"/>
    <w:link w:val="Datum"/>
    <w:rPr>
      <w:sz w:val="24"/>
      <w:lang w:eastAsia="sv-SE"/>
    </w:rPr>
  </w:style>
  <w:style w:type="paragraph" w:styleId="Dokumentversikt">
    <w:name w:val="Document Map"/>
    <w:basedOn w:val="Normal"/>
    <w:link w:val="DokumentversiktChar"/>
    <w:pPr>
      <w:shd w:val="clear" w:color="auto" w:fill="000080"/>
    </w:pPr>
    <w:rPr>
      <w:rFonts w:ascii="Tahoma" w:hAnsi="Tahoma"/>
    </w:rPr>
  </w:style>
  <w:style w:type="character" w:customStyle="1" w:styleId="DokumentversiktChar">
    <w:name w:val="Dokumentöversikt Char"/>
    <w:link w:val="Dokumentversikt"/>
    <w:rPr>
      <w:rFonts w:ascii="Tahoma" w:hAnsi="Tahoma"/>
      <w:sz w:val="24"/>
      <w:shd w:val="clear" w:color="auto" w:fill="000080"/>
      <w:lang w:eastAsia="sv-SE"/>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Slutkommentar">
    <w:name w:val="endnote text"/>
    <w:basedOn w:val="Normal"/>
    <w:link w:val="SlutkommentarChar"/>
    <w:rPr>
      <w:sz w:val="20"/>
    </w:rPr>
  </w:style>
  <w:style w:type="character" w:customStyle="1" w:styleId="SlutkommentarChar">
    <w:name w:val="Slutkommentar Char"/>
    <w:link w:val="Slutkommentar"/>
    <w:rPr>
      <w:lang w:eastAsia="sv-SE"/>
    </w:rPr>
  </w:style>
  <w:style w:type="paragraph" w:styleId="Adress-brev">
    <w:name w:val="envelope address"/>
    <w:basedOn w:val="Normal"/>
    <w:pPr>
      <w:framePr w:w="7920" w:h="1980" w:hRule="exact" w:hSpace="180" w:wrap="auto" w:hAnchor="page" w:xAlign="center" w:yAlign="bottom"/>
      <w:spacing w:after="0"/>
    </w:pPr>
  </w:style>
  <w:style w:type="paragraph" w:styleId="Avsndaradress-brev">
    <w:name w:val="envelope return"/>
    <w:basedOn w:val="Normal"/>
    <w:pPr>
      <w:spacing w:after="0"/>
    </w:pPr>
    <w:rPr>
      <w:sz w:val="20"/>
    </w:rPr>
  </w:style>
  <w:style w:type="paragraph" w:styleId="Sidfot">
    <w:name w:val="footer"/>
    <w:basedOn w:val="Normal"/>
    <w:link w:val="SidfotChar"/>
    <w:pPr>
      <w:spacing w:after="0"/>
      <w:ind w:right="-567"/>
    </w:pPr>
    <w:rPr>
      <w:rFonts w:ascii="Arial" w:hAnsi="Arial"/>
      <w:sz w:val="16"/>
    </w:rPr>
  </w:style>
  <w:style w:type="character" w:customStyle="1" w:styleId="SidfotChar">
    <w:name w:val="Sidfot Char"/>
    <w:link w:val="Sidfot"/>
    <w:uiPriority w:val="99"/>
    <w:rPr>
      <w:rFonts w:ascii="Arial" w:hAnsi="Arial"/>
      <w:sz w:val="16"/>
      <w:lang w:eastAsia="sv-SE"/>
    </w:rPr>
  </w:style>
  <w:style w:type="paragraph" w:styleId="Fotnotstext">
    <w:name w:val="footnote text"/>
    <w:basedOn w:val="Normal"/>
    <w:link w:val="FotnotstextChar"/>
    <w:uiPriority w:val="99"/>
    <w:qFormat/>
    <w:pPr>
      <w:ind w:left="357" w:hanging="357"/>
    </w:pPr>
    <w:rPr>
      <w:sz w:val="20"/>
    </w:rPr>
  </w:style>
  <w:style w:type="character" w:customStyle="1" w:styleId="FotnotstextChar">
    <w:name w:val="Fotnotstext Char"/>
    <w:link w:val="Fotnotstext"/>
    <w:uiPriority w:val="99"/>
    <w:rPr>
      <w:lang w:eastAsia="sv-SE"/>
    </w:rPr>
  </w:style>
  <w:style w:type="paragraph" w:styleId="Sidhuvud">
    <w:name w:val="header"/>
    <w:basedOn w:val="Normal"/>
    <w:link w:val="SidhuvudChar"/>
    <w:pPr>
      <w:tabs>
        <w:tab w:val="center" w:pos="4153"/>
        <w:tab w:val="right" w:pos="8306"/>
      </w:tabs>
    </w:pPr>
  </w:style>
  <w:style w:type="character" w:customStyle="1" w:styleId="SidhuvudChar">
    <w:name w:val="Sidhuvud Char"/>
    <w:link w:val="Sidhuvud"/>
    <w:uiPriority w:val="99"/>
    <w:rPr>
      <w:sz w:val="24"/>
      <w:lang w:eastAsia="sv-SE"/>
    </w:rPr>
  </w:style>
  <w:style w:type="paragraph" w:styleId="Index1">
    <w:name w:val="index 1"/>
    <w:basedOn w:val="Normal"/>
    <w:next w:val="Normal"/>
    <w:link w:val="Index1Char"/>
    <w:autoRedefine/>
    <w:pPr>
      <w:ind w:left="240" w:hanging="240"/>
    </w:pPr>
  </w:style>
  <w:style w:type="character" w:customStyle="1" w:styleId="Index1Char">
    <w:name w:val="Index 1 Char"/>
    <w:basedOn w:val="Standardstycketeckensnitt"/>
    <w:link w:val="Index1"/>
    <w:rPr>
      <w:sz w:val="24"/>
      <w:lang w:eastAsia="sv-SE"/>
    </w:r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284" w:hanging="240"/>
    </w:pPr>
    <w:rPr>
      <w:sz w:val="20"/>
    </w:r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rubrik">
    <w:name w:val="index heading"/>
    <w:basedOn w:val="Normal"/>
    <w:next w:val="Index1"/>
    <w:rPr>
      <w:rFonts w:ascii="Arial" w:hAnsi="Arial"/>
      <w:b/>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Punktlista">
    <w:name w:val="List Bullet"/>
    <w:basedOn w:val="Normal"/>
    <w:pPr>
      <w:tabs>
        <w:tab w:val="num" w:pos="283"/>
      </w:tabs>
      <w:ind w:left="283" w:hanging="283"/>
    </w:pPr>
  </w:style>
  <w:style w:type="paragraph" w:styleId="Punktlista2">
    <w:name w:val="List Bullet 2"/>
    <w:basedOn w:val="Text2"/>
    <w:pPr>
      <w:tabs>
        <w:tab w:val="clear" w:pos="2302"/>
        <w:tab w:val="num" w:pos="1485"/>
      </w:tabs>
      <w:ind w:left="1485" w:hanging="283"/>
    </w:pPr>
  </w:style>
  <w:style w:type="paragraph" w:styleId="Punktlista3">
    <w:name w:val="List Bullet 3"/>
    <w:basedOn w:val="Text3"/>
    <w:pPr>
      <w:tabs>
        <w:tab w:val="clear" w:pos="2302"/>
        <w:tab w:val="num" w:pos="1485"/>
      </w:tabs>
      <w:ind w:left="1485" w:hanging="283"/>
    </w:pPr>
  </w:style>
  <w:style w:type="paragraph" w:styleId="Punktlista4">
    <w:name w:val="List Bullet 4"/>
    <w:basedOn w:val="Text4"/>
    <w:pPr>
      <w:tabs>
        <w:tab w:val="clear" w:pos="2302"/>
        <w:tab w:val="num" w:pos="1485"/>
      </w:tabs>
      <w:ind w:left="1485" w:hanging="283"/>
    </w:pPr>
  </w:style>
  <w:style w:type="paragraph" w:styleId="Punktlista5">
    <w:name w:val="List Bullet 5"/>
    <w:basedOn w:val="Normal"/>
    <w:autoRedefine/>
    <w:pPr>
      <w:tabs>
        <w:tab w:val="num" w:pos="1492"/>
      </w:tabs>
      <w:ind w:left="1492" w:hanging="360"/>
    </w:pPr>
  </w:style>
  <w:style w:type="paragraph" w:styleId="Listafortstt">
    <w:name w:val="List Continue"/>
    <w:basedOn w:val="Normal"/>
    <w:pPr>
      <w:spacing w:after="120"/>
      <w:ind w:left="283"/>
    </w:pPr>
  </w:style>
  <w:style w:type="paragraph" w:styleId="Listafortstt2">
    <w:name w:val="List Continue 2"/>
    <w:basedOn w:val="Normal"/>
    <w:pPr>
      <w:spacing w:after="120"/>
      <w:ind w:left="566"/>
    </w:pPr>
  </w:style>
  <w:style w:type="paragraph" w:styleId="Listafortstt3">
    <w:name w:val="List Continue 3"/>
    <w:basedOn w:val="Normal"/>
    <w:pPr>
      <w:spacing w:after="120"/>
      <w:ind w:left="849"/>
    </w:pPr>
  </w:style>
  <w:style w:type="paragraph" w:styleId="Listafortstt4">
    <w:name w:val="List Continue 4"/>
    <w:basedOn w:val="Normal"/>
    <w:pPr>
      <w:spacing w:after="120"/>
      <w:ind w:left="1132"/>
    </w:pPr>
  </w:style>
  <w:style w:type="paragraph" w:styleId="Listafortstt5">
    <w:name w:val="List Continue 5"/>
    <w:basedOn w:val="Normal"/>
    <w:pPr>
      <w:spacing w:after="120"/>
      <w:ind w:left="1415"/>
    </w:pPr>
  </w:style>
  <w:style w:type="paragraph" w:styleId="Numreradlista">
    <w:name w:val="List Number"/>
    <w:basedOn w:val="Normal"/>
    <w:pPr>
      <w:tabs>
        <w:tab w:val="num" w:pos="709"/>
      </w:tabs>
      <w:ind w:left="709" w:hanging="709"/>
    </w:pPr>
  </w:style>
  <w:style w:type="paragraph" w:styleId="Numreradlista2">
    <w:name w:val="List Number 2"/>
    <w:basedOn w:val="Text2"/>
    <w:pPr>
      <w:tabs>
        <w:tab w:val="clear" w:pos="2302"/>
        <w:tab w:val="num" w:pos="1911"/>
      </w:tabs>
      <w:ind w:left="1911" w:hanging="709"/>
    </w:pPr>
  </w:style>
  <w:style w:type="paragraph" w:styleId="Numreradlista3">
    <w:name w:val="List Number 3"/>
    <w:basedOn w:val="Text3"/>
    <w:pPr>
      <w:tabs>
        <w:tab w:val="clear" w:pos="2302"/>
        <w:tab w:val="num" w:pos="1911"/>
      </w:tabs>
      <w:ind w:left="1911" w:hanging="709"/>
    </w:pPr>
  </w:style>
  <w:style w:type="paragraph" w:styleId="Numreradlista4">
    <w:name w:val="List Number 4"/>
    <w:basedOn w:val="Text4"/>
    <w:pPr>
      <w:tabs>
        <w:tab w:val="clear" w:pos="2302"/>
        <w:tab w:val="num" w:pos="1911"/>
      </w:tabs>
      <w:ind w:left="1911" w:hanging="709"/>
    </w:pPr>
  </w:style>
  <w:style w:type="paragraph" w:styleId="Numreradlista5">
    <w:name w:val="List Number 5"/>
    <w:basedOn w:val="Normal"/>
    <w:pPr>
      <w:tabs>
        <w:tab w:val="num" w:pos="1492"/>
      </w:tabs>
      <w:ind w:left="1492" w:hanging="360"/>
    </w:pPr>
  </w:style>
  <w:style w:type="paragraph" w:styleId="Makrotext">
    <w:name w:val="macro"/>
    <w:link w:val="Mak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character" w:customStyle="1" w:styleId="MakrotextChar">
    <w:name w:val="Makrotext Char"/>
    <w:link w:val="Makrotext"/>
    <w:rPr>
      <w:rFonts w:ascii="Courier New" w:hAnsi="Courier New"/>
      <w:lang w:eastAsia="sv-SE" w:bidi="sv-SE"/>
    </w:rPr>
  </w:style>
  <w:style w:type="paragraph" w:styleId="Meddelanderubrik">
    <w:name w:val="Message Header"/>
    <w:basedOn w:val="Normal"/>
    <w:link w:val="Meddelanderubrik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ddelanderubrikChar">
    <w:name w:val="Meddelanderubrik Char"/>
    <w:link w:val="Meddelanderubrik"/>
    <w:rPr>
      <w:rFonts w:ascii="Arial" w:hAnsi="Arial"/>
      <w:sz w:val="24"/>
      <w:shd w:val="pct20" w:color="auto" w:fill="auto"/>
      <w:lang w:eastAsia="sv-SE"/>
    </w:rPr>
  </w:style>
  <w:style w:type="paragraph" w:styleId="Normaltindrag">
    <w:name w:val="Normal Indent"/>
    <w:basedOn w:val="Normal"/>
    <w:pPr>
      <w:ind w:left="720"/>
    </w:pPr>
  </w:style>
  <w:style w:type="paragraph" w:styleId="Anteckningsrubrik">
    <w:name w:val="Note Heading"/>
    <w:basedOn w:val="Normal"/>
    <w:next w:val="Normal"/>
    <w:link w:val="AnteckningsrubrikChar"/>
  </w:style>
  <w:style w:type="character" w:customStyle="1" w:styleId="AnteckningsrubrikChar">
    <w:name w:val="Anteckningsrubrik Char"/>
    <w:link w:val="Anteckningsrubrik"/>
    <w:rPr>
      <w:sz w:val="24"/>
      <w:lang w:eastAsia="sv-SE"/>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Rubrik1"/>
    <w:next w:val="Text1"/>
    <w:pPr>
      <w:keepNext w:val="0"/>
      <w:spacing w:before="0"/>
      <w:outlineLvl w:val="9"/>
    </w:pPr>
    <w:rPr>
      <w:b w:val="0"/>
      <w:smallCaps w:val="0"/>
    </w:rPr>
  </w:style>
  <w:style w:type="paragraph" w:customStyle="1" w:styleId="NumPar2">
    <w:name w:val="NumPar 2"/>
    <w:basedOn w:val="Rubrik2"/>
    <w:next w:val="Text2"/>
    <w:pPr>
      <w:keepNext w:val="0"/>
      <w:outlineLvl w:val="9"/>
    </w:pPr>
    <w:rPr>
      <w:b w:val="0"/>
    </w:rPr>
  </w:style>
  <w:style w:type="paragraph" w:customStyle="1" w:styleId="NumPar3">
    <w:name w:val="NumPar 3"/>
    <w:basedOn w:val="Rubrik3"/>
    <w:next w:val="Text3"/>
    <w:pPr>
      <w:keepNext w:val="0"/>
      <w:outlineLvl w:val="9"/>
    </w:pPr>
    <w:rPr>
      <w:i/>
    </w:rPr>
  </w:style>
  <w:style w:type="paragraph" w:customStyle="1" w:styleId="NumPar4">
    <w:name w:val="NumPar 4"/>
    <w:basedOn w:val="Rubrik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Oformateradtext">
    <w:name w:val="Plain Text"/>
    <w:basedOn w:val="Normal"/>
    <w:link w:val="OformateradtextChar"/>
    <w:uiPriority w:val="99"/>
    <w:rPr>
      <w:rFonts w:ascii="Courier New" w:hAnsi="Courier New"/>
      <w:sz w:val="20"/>
    </w:rPr>
  </w:style>
  <w:style w:type="character" w:customStyle="1" w:styleId="OformateradtextChar">
    <w:name w:val="Oformaterad text Char"/>
    <w:link w:val="Oformateradtext"/>
    <w:uiPriority w:val="99"/>
    <w:rPr>
      <w:rFonts w:ascii="Courier New" w:hAnsi="Courier New"/>
      <w:lang w:eastAsia="sv-SE"/>
    </w:rPr>
  </w:style>
  <w:style w:type="paragraph" w:styleId="Inledning">
    <w:name w:val="Salutation"/>
    <w:basedOn w:val="Normal"/>
    <w:next w:val="Normal"/>
    <w:link w:val="InledningChar"/>
  </w:style>
  <w:style w:type="character" w:customStyle="1" w:styleId="InledningChar">
    <w:name w:val="Inledning Char"/>
    <w:link w:val="Inledning"/>
    <w:rPr>
      <w:sz w:val="24"/>
      <w:lang w:eastAsia="sv-SE"/>
    </w:rPr>
  </w:style>
  <w:style w:type="paragraph" w:styleId="Signatur">
    <w:name w:val="Signature"/>
    <w:basedOn w:val="Normal"/>
    <w:next w:val="Enclosures"/>
    <w:link w:val="SignaturChar"/>
    <w:pPr>
      <w:tabs>
        <w:tab w:val="left" w:pos="5103"/>
      </w:tabs>
      <w:spacing w:before="1200" w:after="0"/>
      <w:ind w:left="5103"/>
      <w:jc w:val="center"/>
    </w:pPr>
  </w:style>
  <w:style w:type="character" w:customStyle="1" w:styleId="SignaturChar">
    <w:name w:val="Signatur Char"/>
    <w:link w:val="Signatur"/>
    <w:rPr>
      <w:sz w:val="24"/>
      <w:lang w:eastAsia="sv-SE"/>
    </w:rPr>
  </w:style>
  <w:style w:type="paragraph" w:styleId="Underrubrik">
    <w:name w:val="Subtitle"/>
    <w:basedOn w:val="Normal"/>
    <w:link w:val="UnderrubrikChar"/>
    <w:qFormat/>
    <w:pPr>
      <w:spacing w:after="60"/>
      <w:jc w:val="center"/>
      <w:outlineLvl w:val="1"/>
    </w:pPr>
    <w:rPr>
      <w:rFonts w:ascii="Arial" w:hAnsi="Arial"/>
    </w:rPr>
  </w:style>
  <w:style w:type="character" w:customStyle="1" w:styleId="UnderrubrikChar">
    <w:name w:val="Underrubrik Char"/>
    <w:link w:val="Underrubrik"/>
    <w:rPr>
      <w:rFonts w:ascii="Arial" w:hAnsi="Arial"/>
      <w:sz w:val="24"/>
      <w:lang w:eastAsia="sv-SE"/>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Citatfrteckning">
    <w:name w:val="table of authorities"/>
    <w:basedOn w:val="Normal"/>
    <w:next w:val="Normal"/>
    <w:pPr>
      <w:ind w:left="240" w:hanging="240"/>
    </w:pPr>
  </w:style>
  <w:style w:type="paragraph" w:styleId="Figurfrteckning">
    <w:name w:val="table of figures"/>
    <w:basedOn w:val="Normal"/>
    <w:next w:val="Normal"/>
    <w:pPr>
      <w:ind w:left="480" w:hanging="480"/>
    </w:pPr>
  </w:style>
  <w:style w:type="paragraph" w:styleId="Rubrik">
    <w:name w:val="Title"/>
    <w:basedOn w:val="Normal"/>
    <w:next w:val="SubTitle1"/>
    <w:link w:val="RubrikChar"/>
    <w:qFormat/>
    <w:pPr>
      <w:spacing w:after="480"/>
      <w:jc w:val="center"/>
    </w:pPr>
    <w:rPr>
      <w:b/>
      <w:kern w:val="28"/>
      <w:sz w:val="48"/>
    </w:rPr>
  </w:style>
  <w:style w:type="character" w:customStyle="1" w:styleId="RubrikChar">
    <w:name w:val="Rubrik Char"/>
    <w:link w:val="Rubrik"/>
    <w:rPr>
      <w:b/>
      <w:kern w:val="28"/>
      <w:sz w:val="48"/>
      <w:lang w:eastAsia="sv-SE"/>
    </w:rPr>
  </w:style>
  <w:style w:type="paragraph" w:styleId="Citatfrteckningsrubrik">
    <w:name w:val="toa heading"/>
    <w:basedOn w:val="Normal"/>
    <w:next w:val="Normal"/>
    <w:pPr>
      <w:spacing w:before="120"/>
    </w:pPr>
    <w:rPr>
      <w:rFonts w:ascii="Arial" w:hAnsi="Arial"/>
      <w:b/>
    </w:rPr>
  </w:style>
  <w:style w:type="paragraph" w:styleId="Innehll1">
    <w:name w:val="toc 1"/>
    <w:basedOn w:val="Normal"/>
    <w:next w:val="Normal"/>
    <w:uiPriority w:val="39"/>
    <w:qFormat/>
    <w:pPr>
      <w:tabs>
        <w:tab w:val="right" w:leader="dot" w:pos="8640"/>
      </w:tabs>
      <w:spacing w:before="120" w:after="120"/>
      <w:ind w:left="482" w:right="720" w:hanging="482"/>
    </w:pPr>
    <w:rPr>
      <w:caps/>
    </w:rPr>
  </w:style>
  <w:style w:type="paragraph" w:styleId="Innehll2">
    <w:name w:val="toc 2"/>
    <w:basedOn w:val="Normal"/>
    <w:next w:val="Normal"/>
    <w:uiPriority w:val="39"/>
    <w:qFormat/>
    <w:pPr>
      <w:tabs>
        <w:tab w:val="right" w:leader="dot" w:pos="8640"/>
      </w:tabs>
      <w:spacing w:before="60" w:after="60"/>
      <w:ind w:left="1077" w:right="720" w:hanging="595"/>
    </w:pPr>
  </w:style>
  <w:style w:type="paragraph" w:styleId="Innehll3">
    <w:name w:val="toc 3"/>
    <w:basedOn w:val="Normal"/>
    <w:next w:val="Normal"/>
    <w:uiPriority w:val="39"/>
    <w:qFormat/>
    <w:pPr>
      <w:tabs>
        <w:tab w:val="right" w:leader="dot" w:pos="8640"/>
      </w:tabs>
      <w:spacing w:before="60" w:after="60"/>
      <w:ind w:left="1916" w:right="720" w:hanging="839"/>
    </w:pPr>
  </w:style>
  <w:style w:type="paragraph" w:styleId="Innehll4">
    <w:name w:val="toc 4"/>
    <w:basedOn w:val="Normal"/>
    <w:next w:val="Normal"/>
    <w:uiPriority w:val="39"/>
    <w:pPr>
      <w:tabs>
        <w:tab w:val="right" w:leader="dot" w:pos="8641"/>
      </w:tabs>
      <w:spacing w:before="60" w:after="60"/>
      <w:ind w:left="2880" w:right="720" w:hanging="964"/>
    </w:pPr>
  </w:style>
  <w:style w:type="paragraph" w:styleId="Innehll5">
    <w:name w:val="toc 5"/>
    <w:basedOn w:val="Normal"/>
    <w:next w:val="Normal"/>
    <w:uiPriority w:val="39"/>
    <w:pPr>
      <w:tabs>
        <w:tab w:val="right" w:leader="dot" w:pos="8641"/>
      </w:tabs>
      <w:spacing w:before="240" w:after="120"/>
      <w:ind w:right="720"/>
    </w:pPr>
    <w:rPr>
      <w:caps/>
    </w:rPr>
  </w:style>
  <w:style w:type="paragraph" w:styleId="Innehll6">
    <w:name w:val="toc 6"/>
    <w:basedOn w:val="Normal"/>
    <w:next w:val="Normal"/>
    <w:autoRedefine/>
    <w:uiPriority w:val="39"/>
    <w:pPr>
      <w:ind w:left="1200"/>
    </w:pPr>
  </w:style>
  <w:style w:type="paragraph" w:styleId="Innehll7">
    <w:name w:val="toc 7"/>
    <w:basedOn w:val="Normal"/>
    <w:next w:val="Normal"/>
    <w:autoRedefine/>
    <w:uiPriority w:val="39"/>
    <w:pPr>
      <w:ind w:left="1440"/>
    </w:pPr>
  </w:style>
  <w:style w:type="paragraph" w:styleId="Innehll8">
    <w:name w:val="toc 8"/>
    <w:basedOn w:val="Normal"/>
    <w:next w:val="Normal"/>
    <w:autoRedefine/>
    <w:uiPriority w:val="39"/>
    <w:pPr>
      <w:ind w:left="1680"/>
    </w:pPr>
  </w:style>
  <w:style w:type="paragraph" w:styleId="Innehll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tabs>
        <w:tab w:val="num" w:pos="765"/>
      </w:tabs>
      <w:ind w:left="765" w:hanging="283"/>
    </w:pPr>
  </w:style>
  <w:style w:type="paragraph" w:customStyle="1" w:styleId="ListDash">
    <w:name w:val="List Dash"/>
    <w:basedOn w:val="Normal"/>
    <w:pPr>
      <w:tabs>
        <w:tab w:val="num" w:pos="283"/>
      </w:tabs>
      <w:ind w:left="283" w:hanging="283"/>
    </w:pPr>
  </w:style>
  <w:style w:type="paragraph" w:customStyle="1" w:styleId="ListDash1">
    <w:name w:val="List Dash 1"/>
    <w:basedOn w:val="Text1"/>
    <w:pPr>
      <w:tabs>
        <w:tab w:val="num" w:pos="765"/>
      </w:tabs>
      <w:ind w:left="765" w:hanging="283"/>
    </w:pPr>
  </w:style>
  <w:style w:type="paragraph" w:customStyle="1" w:styleId="ListDash2">
    <w:name w:val="List Dash 2"/>
    <w:basedOn w:val="Text2"/>
    <w:pPr>
      <w:tabs>
        <w:tab w:val="clear" w:pos="2302"/>
        <w:tab w:val="num" w:pos="1485"/>
      </w:tabs>
      <w:ind w:left="1485" w:hanging="283"/>
    </w:pPr>
  </w:style>
  <w:style w:type="paragraph" w:customStyle="1" w:styleId="ListDash3">
    <w:name w:val="List Dash 3"/>
    <w:basedOn w:val="Text3"/>
    <w:pPr>
      <w:tabs>
        <w:tab w:val="clear" w:pos="2302"/>
        <w:tab w:val="num" w:pos="1485"/>
      </w:tabs>
      <w:ind w:left="1485" w:hanging="283"/>
    </w:pPr>
  </w:style>
  <w:style w:type="paragraph" w:customStyle="1" w:styleId="ListDash4">
    <w:name w:val="List Dash 4"/>
    <w:basedOn w:val="Text4"/>
    <w:pPr>
      <w:tabs>
        <w:tab w:val="clear" w:pos="2302"/>
        <w:tab w:val="num" w:pos="1485"/>
      </w:tabs>
      <w:ind w:left="1485" w:hanging="283"/>
    </w:pPr>
  </w:style>
  <w:style w:type="paragraph" w:customStyle="1" w:styleId="ListNumberLevel2">
    <w:name w:val="List Number (Level 2)"/>
    <w:basedOn w:val="Normal"/>
    <w:pPr>
      <w:tabs>
        <w:tab w:val="num" w:pos="1417"/>
      </w:tabs>
      <w:ind w:left="1417" w:hanging="708"/>
    </w:pPr>
  </w:style>
  <w:style w:type="paragraph" w:customStyle="1" w:styleId="ListNumberLevel3">
    <w:name w:val="List Number (Level 3)"/>
    <w:basedOn w:val="Normal"/>
    <w:pPr>
      <w:tabs>
        <w:tab w:val="num" w:pos="2126"/>
      </w:tabs>
      <w:ind w:left="2126" w:hanging="709"/>
    </w:pPr>
  </w:style>
  <w:style w:type="paragraph" w:customStyle="1" w:styleId="ListNumberLevel4">
    <w:name w:val="List Number (Level 4)"/>
    <w:basedOn w:val="Normal"/>
    <w:pPr>
      <w:tabs>
        <w:tab w:val="num" w:pos="2835"/>
      </w:tabs>
      <w:ind w:left="2835" w:hanging="709"/>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tabs>
        <w:tab w:val="num" w:pos="1899"/>
      </w:tabs>
      <w:ind w:left="1899" w:hanging="708"/>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tabs>
        <w:tab w:val="clear" w:pos="2302"/>
        <w:tab w:val="num" w:pos="3328"/>
      </w:tabs>
      <w:ind w:left="3328" w:hanging="709"/>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tabs>
        <w:tab w:val="clear" w:pos="2302"/>
        <w:tab w:val="num" w:pos="2619"/>
      </w:tabs>
      <w:ind w:left="2619" w:hanging="708"/>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tabs>
        <w:tab w:val="clear" w:pos="2302"/>
        <w:tab w:val="num" w:pos="2619"/>
      </w:tabs>
      <w:ind w:left="2619" w:hanging="708"/>
    </w:pPr>
  </w:style>
  <w:style w:type="paragraph" w:customStyle="1" w:styleId="ListNumber4Level3">
    <w:name w:val="List Number 4 (Level 3)"/>
    <w:basedOn w:val="Text4"/>
    <w:pPr>
      <w:tabs>
        <w:tab w:val="clear" w:pos="2302"/>
        <w:tab w:val="num" w:pos="3328"/>
      </w:tabs>
      <w:ind w:left="3328" w:hanging="709"/>
    </w:pPr>
  </w:style>
  <w:style w:type="paragraph" w:customStyle="1" w:styleId="ListNumber4Level4">
    <w:name w:val="List Number 4 (Level 4)"/>
    <w:basedOn w:val="Text4"/>
    <w:pPr>
      <w:tabs>
        <w:tab w:val="clear" w:pos="2302"/>
        <w:tab w:val="num" w:pos="4037"/>
      </w:tabs>
      <w:ind w:left="4037" w:hanging="709"/>
    </w:pPr>
  </w:style>
  <w:style w:type="paragraph" w:styleId="Innehllsfrteckningsrubrik">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rPr>
  </w:style>
  <w:style w:type="paragraph" w:customStyle="1" w:styleId="ZDGName">
    <w:name w:val="Z_DGName"/>
    <w:basedOn w:val="Normal"/>
    <w:uiPriority w:val="99"/>
    <w:pPr>
      <w:widowControl w:val="0"/>
      <w:autoSpaceDE w:val="0"/>
      <w:autoSpaceDN w:val="0"/>
      <w:spacing w:after="0"/>
      <w:ind w:right="85"/>
    </w:pPr>
    <w:rPr>
      <w:rFonts w:ascii="Arial" w:hAnsi="Arial" w:cs="Arial"/>
      <w:sz w:val="16"/>
      <w:szCs w:val="16"/>
    </w:rPr>
  </w:style>
  <w:style w:type="paragraph" w:styleId="Normalwebb">
    <w:name w:val="Normal (Web)"/>
    <w:basedOn w:val="Normal"/>
    <w:uiPriority w:val="99"/>
    <w:pPr>
      <w:spacing w:before="100" w:beforeAutospacing="1" w:after="100" w:afterAutospacing="1"/>
    </w:pPr>
    <w:rPr>
      <w:szCs w:val="24"/>
    </w:rPr>
  </w:style>
  <w:style w:type="character" w:styleId="Hyperlnk">
    <w:name w:val="Hyperlink"/>
    <w:uiPriority w:val="99"/>
    <w:unhideWhenUsed/>
    <w:rPr>
      <w:noProof/>
      <w:color w:val="0000FF"/>
      <w:u w:val="single"/>
    </w:rPr>
  </w:style>
  <w:style w:type="table" w:styleId="Tabellrutnt">
    <w:name w:val="Table Grid"/>
    <w:basedOn w:val="Normaltabel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tnotsreferens">
    <w:name w:val="footnote reference"/>
    <w:aliases w:val="Footnote Reference Superscript,Footnote Reference/,Footnote Reference text,Footnote symbol,Voetnootverwijzing,footnote ref,FR,Fußnotenzeichen diss neu,Times 10 Point,Exposant 3 Point,Odwołanie przypisu,number,SUPERS, Exposant 3 Point"/>
    <w:uiPriority w:val="99"/>
    <w:unhideWhenUsed/>
    <w:qFormat/>
    <w:rPr>
      <w:vertAlign w:val="superscript"/>
    </w:rPr>
  </w:style>
  <w:style w:type="paragraph" w:styleId="Ballongtext">
    <w:name w:val="Balloon Text"/>
    <w:basedOn w:val="Normal"/>
    <w:link w:val="BallongtextChar"/>
    <w:unhideWhenUsed/>
    <w:pPr>
      <w:spacing w:after="0"/>
    </w:pPr>
    <w:rPr>
      <w:rFonts w:ascii="Tahoma" w:hAnsi="Tahoma"/>
      <w:sz w:val="16"/>
      <w:szCs w:val="16"/>
    </w:rPr>
  </w:style>
  <w:style w:type="character" w:customStyle="1" w:styleId="BallongtextChar">
    <w:name w:val="Ballongtext Char"/>
    <w:link w:val="Ballongtext"/>
    <w:uiPriority w:val="99"/>
    <w:rPr>
      <w:rFonts w:ascii="Tahoma" w:hAnsi="Tahoma" w:cs="Tahoma"/>
      <w:sz w:val="16"/>
      <w:szCs w:val="16"/>
      <w:lang w:eastAsia="sv-SE"/>
    </w:rPr>
  </w:style>
  <w:style w:type="character" w:styleId="Kommentarsreferens">
    <w:name w:val="annotation reference"/>
    <w:uiPriority w:val="99"/>
    <w:unhideWhenUsed/>
    <w:rPr>
      <w:sz w:val="16"/>
      <w:szCs w:val="16"/>
    </w:rPr>
  </w:style>
  <w:style w:type="paragraph" w:styleId="Kommentarsmne">
    <w:name w:val="annotation subject"/>
    <w:basedOn w:val="Kommentarer"/>
    <w:next w:val="Kommentarer"/>
    <w:link w:val="KommentarsmneChar"/>
    <w:unhideWhenUsed/>
    <w:rPr>
      <w:b/>
      <w:bCs/>
    </w:rPr>
  </w:style>
  <w:style w:type="character" w:customStyle="1" w:styleId="KommentarsmneChar">
    <w:name w:val="Kommentarsämne Char"/>
    <w:link w:val="Kommentarsmne"/>
    <w:uiPriority w:val="99"/>
    <w:rPr>
      <w:b/>
      <w:bCs/>
      <w:lang w:eastAsia="sv-SE"/>
    </w:rPr>
  </w:style>
  <w:style w:type="paragraph" w:styleId="Revision">
    <w:name w:val="Revision"/>
    <w:hidden/>
    <w:uiPriority w:val="99"/>
    <w:semiHidden/>
    <w:rPr>
      <w:sz w:val="24"/>
    </w:rPr>
  </w:style>
  <w:style w:type="paragraph" w:customStyle="1" w:styleId="Bullet">
    <w:name w:val="Bullet"/>
    <w:basedOn w:val="Normal"/>
    <w:pPr>
      <w:tabs>
        <w:tab w:val="num" w:pos="1440"/>
      </w:tabs>
      <w:ind w:left="1440" w:hanging="360"/>
    </w:pPr>
  </w:style>
  <w:style w:type="character" w:styleId="Betoning">
    <w:name w:val="Emphasis"/>
    <w:qFormat/>
    <w:rPr>
      <w:i/>
      <w:iCs/>
    </w:rPr>
  </w:style>
  <w:style w:type="character" w:styleId="AnvndHyperlnk">
    <w:name w:val="FollowedHyperlink"/>
    <w:uiPriority w:val="99"/>
    <w:unhideWhenUsed/>
    <w:rPr>
      <w:color w:val="800080"/>
      <w:u w:val="single"/>
    </w:rPr>
  </w:style>
  <w:style w:type="paragraph" w:styleId="Liststycke">
    <w:name w:val="List Paragraph"/>
    <w:basedOn w:val="Normal"/>
    <w:uiPriority w:val="34"/>
    <w:qFormat/>
    <w:pPr>
      <w:ind w:left="720"/>
      <w:contextualSpacing/>
    </w:pPr>
  </w:style>
  <w:style w:type="paragraph" w:customStyle="1" w:styleId="CM1">
    <w:name w:val="CM1"/>
    <w:basedOn w:val="Normal"/>
    <w:next w:val="Normal"/>
    <w:uiPriority w:val="99"/>
    <w:pPr>
      <w:autoSpaceDE w:val="0"/>
      <w:autoSpaceDN w:val="0"/>
      <w:adjustRightInd w:val="0"/>
      <w:spacing w:after="0"/>
    </w:pPr>
    <w:rPr>
      <w:rFonts w:ascii="EUAlbertina" w:eastAsia="Calibri" w:hAnsi="EUAlbertina" w:cs="Arial"/>
      <w:szCs w:val="24"/>
    </w:rPr>
  </w:style>
  <w:style w:type="paragraph" w:customStyle="1" w:styleId="ListParagraph1">
    <w:name w:val="List Paragraph1"/>
    <w:basedOn w:val="Normal"/>
    <w:qFormat/>
    <w:pPr>
      <w:spacing w:after="0"/>
      <w:ind w:left="720"/>
      <w:contextualSpacing/>
    </w:pPr>
    <w:rPr>
      <w:szCs w:val="24"/>
    </w:rPr>
  </w:style>
  <w:style w:type="character" w:customStyle="1" w:styleId="BodyTextChar">
    <w:name w:val="Body Text Char"/>
    <w:uiPriority w:val="99"/>
    <w:rPr>
      <w:rFonts w:ascii="Times New Roman" w:eastAsia="Times New Roman" w:hAnsi="Times New Roman" w:cs="Times New Roman"/>
      <w:sz w:val="24"/>
    </w:rPr>
  </w:style>
  <w:style w:type="table" w:customStyle="1" w:styleId="TableGrid1">
    <w:name w:val="Table Grid1"/>
    <w:basedOn w:val="Normaltabell"/>
    <w:next w:val="Tabellrutn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ell"/>
    <w:next w:val="Tabellrutn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header21">
    <w:name w:val="elementheader21"/>
    <w:rPr>
      <w:rFonts w:ascii="Arial" w:hAnsi="Arial" w:cs="Arial" w:hint="default"/>
      <w:b/>
      <w:bCs/>
      <w:color w:val="000000"/>
      <w:sz w:val="20"/>
      <w:szCs w:val="20"/>
    </w:rPr>
  </w:style>
  <w:style w:type="character" w:customStyle="1" w:styleId="schemasubdata1">
    <w:name w:val="schemasubdata1"/>
    <w:rPr>
      <w:rFonts w:ascii="Arial" w:hAnsi="Arial" w:cs="Arial" w:hint="default"/>
      <w:color w:val="000000"/>
      <w:sz w:val="16"/>
      <w:szCs w:val="16"/>
    </w:rPr>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customStyle="1" w:styleId="CM3">
    <w:name w:val="CM3"/>
    <w:basedOn w:val="Default"/>
    <w:next w:val="Default"/>
    <w:uiPriority w:val="99"/>
    <w:rPr>
      <w:rFonts w:cs="Times New Roman"/>
      <w:color w:val="auto"/>
    </w:rPr>
  </w:style>
  <w:style w:type="character" w:styleId="Diskretbetoning">
    <w:name w:val="Subtle Emphasis"/>
    <w:uiPriority w:val="19"/>
    <w:qFormat/>
    <w:rPr>
      <w:i/>
      <w:iCs/>
      <w:color w:val="808080"/>
    </w:rPr>
  </w:style>
  <w:style w:type="character" w:customStyle="1" w:styleId="schemasubtitle1">
    <w:name w:val="schemasubtitle1"/>
    <w:rPr>
      <w:rFonts w:ascii="Arial" w:hAnsi="Arial" w:cs="Arial" w:hint="default"/>
      <w:color w:val="808080"/>
      <w:sz w:val="16"/>
      <w:szCs w:val="16"/>
    </w:rPr>
  </w:style>
  <w:style w:type="paragraph" w:customStyle="1" w:styleId="font5">
    <w:name w:val="font5"/>
    <w:basedOn w:val="Normal"/>
    <w:pPr>
      <w:spacing w:before="100" w:beforeAutospacing="1" w:after="100" w:afterAutospacing="1"/>
    </w:pPr>
    <w:rPr>
      <w:rFonts w:ascii="Arial" w:hAnsi="Arial" w:cs="Arial"/>
      <w:color w:val="000000"/>
      <w:sz w:val="20"/>
    </w:rPr>
  </w:style>
  <w:style w:type="paragraph" w:customStyle="1" w:styleId="font6">
    <w:name w:val="font6"/>
    <w:basedOn w:val="Normal"/>
    <w:pPr>
      <w:spacing w:before="100" w:beforeAutospacing="1" w:after="100" w:afterAutospacing="1"/>
    </w:pPr>
    <w:rPr>
      <w:rFonts w:ascii="Arial" w:hAnsi="Arial" w:cs="Arial"/>
      <w:color w:val="000000"/>
      <w:sz w:val="20"/>
    </w:rPr>
  </w:style>
  <w:style w:type="paragraph" w:customStyle="1" w:styleId="font7">
    <w:name w:val="font7"/>
    <w:basedOn w:val="Normal"/>
    <w:pPr>
      <w:spacing w:before="100" w:beforeAutospacing="1" w:after="100" w:afterAutospacing="1"/>
    </w:pPr>
    <w:rPr>
      <w:rFonts w:ascii="Arial" w:hAnsi="Arial" w:cs="Arial"/>
      <w:color w:val="000000"/>
      <w:sz w:val="20"/>
    </w:rPr>
  </w:style>
  <w:style w:type="paragraph" w:customStyle="1" w:styleId="font8">
    <w:name w:val="font8"/>
    <w:basedOn w:val="Normal"/>
    <w:pPr>
      <w:spacing w:before="100" w:beforeAutospacing="1" w:after="100" w:afterAutospacing="1"/>
    </w:pPr>
    <w:rPr>
      <w:rFonts w:ascii="Arial" w:hAnsi="Arial" w:cs="Arial"/>
      <w:color w:val="000000"/>
      <w:sz w:val="20"/>
      <w:u w:val="single"/>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color w:val="000000"/>
      <w:sz w:val="20"/>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sz w:val="20"/>
    </w:rPr>
  </w:style>
  <w:style w:type="paragraph" w:customStyle="1" w:styleId="xl65">
    <w:name w:val="xl65"/>
    <w:basedOn w:val="Normal"/>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b/>
      <w:bCs/>
      <w:sz w:val="20"/>
    </w:rPr>
  </w:style>
  <w:style w:type="paragraph" w:customStyle="1" w:styleId="xl66">
    <w:name w:val="xl66"/>
    <w:basedOn w:val="Normal"/>
    <w:pPr>
      <w:spacing w:before="100" w:beforeAutospacing="1" w:after="100" w:afterAutospacing="1"/>
      <w:textAlignment w:val="top"/>
    </w:pPr>
    <w:rPr>
      <w:rFonts w:ascii="Arial" w:hAnsi="Arial" w:cs="Arial"/>
      <w:sz w:val="20"/>
    </w:rPr>
  </w:style>
  <w:style w:type="paragraph" w:customStyle="1" w:styleId="xl67">
    <w:name w:val="xl67"/>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69">
    <w:name w:val="xl69"/>
    <w:basedOn w:val="Normal"/>
    <w:pPr>
      <w:pBdr>
        <w:left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71">
    <w:name w:val="xl71"/>
    <w:basedOn w:val="Normal"/>
    <w:pPr>
      <w:pBdr>
        <w:right w:val="single" w:sz="4" w:space="0" w:color="auto"/>
      </w:pBdr>
      <w:spacing w:before="100" w:beforeAutospacing="1" w:after="100" w:afterAutospacing="1"/>
      <w:textAlignment w:val="top"/>
    </w:pPr>
    <w:rPr>
      <w:rFonts w:ascii="Arial" w:hAnsi="Arial" w:cs="Arial"/>
      <w:color w:val="000000"/>
      <w:sz w:val="20"/>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73">
    <w:name w:val="xl73"/>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78">
    <w:name w:val="xl78"/>
    <w:basedOn w:val="Normal"/>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79">
    <w:name w:val="xl79"/>
    <w:basedOn w:val="Normal"/>
    <w:pPr>
      <w:pBdr>
        <w:top w:val="single" w:sz="4" w:space="0" w:color="auto"/>
        <w:left w:val="single" w:sz="4" w:space="0" w:color="auto"/>
        <w:right w:val="single" w:sz="4" w:space="0" w:color="auto"/>
      </w:pBdr>
      <w:shd w:val="clear" w:color="000000" w:fill="A6A6A6"/>
      <w:spacing w:before="100" w:beforeAutospacing="1" w:after="100" w:afterAutospacing="1"/>
    </w:pPr>
    <w:rPr>
      <w:rFonts w:ascii="Arial" w:hAnsi="Arial" w:cs="Arial"/>
      <w:color w:val="000000"/>
      <w:sz w:val="20"/>
    </w:rPr>
  </w:style>
  <w:style w:type="paragraph" w:customStyle="1" w:styleId="xl80">
    <w:name w:val="xl80"/>
    <w:basedOn w:val="Normal"/>
    <w:pPr>
      <w:pBdr>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81">
    <w:name w:val="xl81"/>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82">
    <w:name w:val="xl82"/>
    <w:basedOn w:val="Normal"/>
    <w:pPr>
      <w:pBdr>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84">
    <w:name w:val="xl84"/>
    <w:basedOn w:val="Normal"/>
    <w:pPr>
      <w:pBdr>
        <w:top w:val="single" w:sz="4" w:space="0" w:color="auto"/>
        <w:left w:val="single" w:sz="4" w:space="0" w:color="auto"/>
      </w:pBdr>
      <w:spacing w:before="100" w:beforeAutospacing="1" w:after="100" w:afterAutospacing="1"/>
      <w:textAlignment w:val="top"/>
    </w:pPr>
    <w:rPr>
      <w:rFonts w:ascii="Arial" w:hAnsi="Arial" w:cs="Arial"/>
      <w:sz w:val="20"/>
    </w:rPr>
  </w:style>
  <w:style w:type="paragraph" w:customStyle="1" w:styleId="xl85">
    <w:name w:val="xl85"/>
    <w:basedOn w:val="Normal"/>
    <w:pPr>
      <w:pBdr>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rPr>
  </w:style>
  <w:style w:type="paragraph" w:customStyle="1" w:styleId="xl89">
    <w:name w:val="xl89"/>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color w:val="000000"/>
      <w:sz w:val="20"/>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94">
    <w:name w:val="xl94"/>
    <w:basedOn w:val="Normal"/>
    <w:pPr>
      <w:spacing w:before="100" w:beforeAutospacing="1" w:after="100" w:afterAutospacing="1"/>
      <w:textAlignment w:val="top"/>
    </w:pPr>
    <w:rPr>
      <w:rFonts w:ascii="Arial" w:hAnsi="Arial" w:cs="Arial"/>
      <w:sz w:val="20"/>
    </w:rPr>
  </w:style>
  <w:style w:type="paragraph" w:customStyle="1" w:styleId="xl95">
    <w:name w:val="xl95"/>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101">
    <w:name w:val="xl101"/>
    <w:basedOn w:val="Normal"/>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103">
    <w:name w:val="xl103"/>
    <w:basedOn w:val="Normal"/>
    <w:pPr>
      <w:shd w:val="clear" w:color="000000" w:fill="A6A6A6"/>
      <w:spacing w:before="100" w:beforeAutospacing="1" w:after="100" w:afterAutospacing="1"/>
      <w:textAlignment w:val="top"/>
    </w:pPr>
    <w:rPr>
      <w:rFonts w:ascii="Arial" w:hAnsi="Arial" w:cs="Arial"/>
      <w:sz w:val="20"/>
    </w:rPr>
  </w:style>
  <w:style w:type="paragraph" w:customStyle="1" w:styleId="xl104">
    <w:name w:val="xl104"/>
    <w:basedOn w:val="Normal"/>
    <w:pPr>
      <w:shd w:val="clear" w:color="000000" w:fill="A6A6A6"/>
      <w:spacing w:before="100" w:beforeAutospacing="1" w:after="100" w:afterAutospacing="1"/>
      <w:textAlignment w:val="top"/>
    </w:pPr>
    <w:rPr>
      <w:rFonts w:ascii="Arial" w:hAnsi="Arial" w:cs="Arial"/>
      <w:sz w:val="20"/>
    </w:rPr>
  </w:style>
  <w:style w:type="paragraph" w:customStyle="1" w:styleId="xl105">
    <w:name w:val="xl105"/>
    <w:basedOn w:val="Normal"/>
    <w:pPr>
      <w:pBdr>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06">
    <w:name w:val="xl106"/>
    <w:basedOn w:val="Normal"/>
    <w:pPr>
      <w:pBdr>
        <w:right w:val="single" w:sz="4" w:space="0" w:color="auto"/>
      </w:pBdr>
      <w:spacing w:before="100" w:beforeAutospacing="1" w:after="100" w:afterAutospacing="1"/>
      <w:textAlignment w:val="top"/>
    </w:pPr>
    <w:rPr>
      <w:rFonts w:ascii="Arial" w:hAnsi="Arial" w:cs="Arial"/>
      <w:sz w:val="20"/>
    </w:rPr>
  </w:style>
  <w:style w:type="paragraph" w:customStyle="1" w:styleId="xl107">
    <w:name w:val="xl107"/>
    <w:basedOn w:val="Normal"/>
    <w:pPr>
      <w:pBdr>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08">
    <w:name w:val="xl108"/>
    <w:basedOn w:val="Normal"/>
    <w:pPr>
      <w:pBdr>
        <w:top w:val="single" w:sz="4" w:space="0" w:color="auto"/>
        <w:left w:val="single" w:sz="4" w:space="0" w:color="auto"/>
      </w:pBdr>
      <w:spacing w:before="100" w:beforeAutospacing="1" w:after="100" w:afterAutospacing="1"/>
      <w:textAlignment w:val="top"/>
    </w:pPr>
    <w:rPr>
      <w:rFonts w:ascii="Arial" w:hAnsi="Arial" w:cs="Arial"/>
      <w:sz w:val="20"/>
    </w:rPr>
  </w:style>
  <w:style w:type="paragraph" w:customStyle="1" w:styleId="xl109">
    <w:name w:val="xl109"/>
    <w:basedOn w:val="Normal"/>
    <w:pPr>
      <w:pBdr>
        <w:left w:val="single" w:sz="4" w:space="0" w:color="auto"/>
      </w:pBdr>
      <w:spacing w:before="100" w:beforeAutospacing="1" w:after="100" w:afterAutospacing="1"/>
      <w:textAlignment w:val="top"/>
    </w:pPr>
    <w:rPr>
      <w:rFonts w:ascii="Arial" w:hAnsi="Arial" w:cs="Arial"/>
      <w:sz w:val="20"/>
    </w:rPr>
  </w:style>
  <w:style w:type="paragraph" w:customStyle="1" w:styleId="xl110">
    <w:name w:val="xl110"/>
    <w:basedOn w:val="Normal"/>
    <w:pPr>
      <w:pBdr>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111">
    <w:name w:val="xl111"/>
    <w:basedOn w:val="Normal"/>
    <w:pPr>
      <w:pBdr>
        <w:top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12">
    <w:name w:val="xl112"/>
    <w:basedOn w:val="Normal"/>
    <w:pPr>
      <w:pBdr>
        <w:left w:val="single" w:sz="4" w:space="0" w:color="auto"/>
        <w:right w:val="single" w:sz="4" w:space="0" w:color="auto"/>
      </w:pBdr>
      <w:spacing w:before="100" w:beforeAutospacing="1" w:after="100" w:afterAutospacing="1"/>
      <w:textAlignment w:val="top"/>
    </w:pPr>
    <w:rPr>
      <w:rFonts w:ascii="Arial" w:hAnsi="Arial" w:cs="Arial"/>
      <w:sz w:val="20"/>
    </w:rPr>
  </w:style>
  <w:style w:type="character" w:styleId="Slutkommentarsreferens">
    <w:name w:val="endnote reference"/>
    <w:uiPriority w:val="99"/>
    <w:semiHidden/>
    <w:unhideWhenUsed/>
    <w:rPr>
      <w:vertAlign w:val="superscript"/>
    </w:rPr>
  </w:style>
  <w:style w:type="character" w:styleId="Stark">
    <w:name w:val="Strong"/>
    <w:basedOn w:val="Standardstycketeckensnitt"/>
    <w:uiPriority w:val="22"/>
    <w:qFormat/>
    <w:rPr>
      <w:b/>
      <w:bCs/>
    </w:rPr>
  </w:style>
  <w:style w:type="character" w:customStyle="1" w:styleId="apple-converted-space">
    <w:name w:val="apple-converted-space"/>
    <w:basedOn w:val="Standardstycketeckensnitt"/>
  </w:style>
  <w:style w:type="paragraph" w:customStyle="1" w:styleId="Text10">
    <w:name w:val="Text1"/>
    <w:basedOn w:val="Text"/>
    <w:link w:val="Text1Char"/>
    <w:pPr>
      <w:ind w:left="936"/>
    </w:pPr>
  </w:style>
  <w:style w:type="paragraph" w:customStyle="1" w:styleId="Text">
    <w:name w:val="Text"/>
    <w:basedOn w:val="Normal"/>
    <w:link w:val="TextChar"/>
    <w:pPr>
      <w:spacing w:after="120" w:line="269" w:lineRule="auto"/>
    </w:pPr>
    <w:rPr>
      <w:rFonts w:ascii="Arial" w:hAnsi="Arial" w:cs="Arial"/>
      <w:sz w:val="20"/>
      <w:szCs w:val="22"/>
    </w:rPr>
  </w:style>
  <w:style w:type="character" w:customStyle="1" w:styleId="TextChar">
    <w:name w:val="Text Char"/>
    <w:basedOn w:val="Standardstycketeckensnitt"/>
    <w:link w:val="Text"/>
    <w:rPr>
      <w:rFonts w:ascii="Arial" w:hAnsi="Arial" w:cs="Arial"/>
      <w:szCs w:val="22"/>
      <w:lang w:eastAsia="sv-SE"/>
    </w:rPr>
  </w:style>
  <w:style w:type="character" w:customStyle="1" w:styleId="Text1Char">
    <w:name w:val="Text1 Char"/>
    <w:basedOn w:val="TextChar"/>
    <w:link w:val="Text10"/>
    <w:rPr>
      <w:rFonts w:ascii="Arial" w:hAnsi="Arial" w:cs="Arial"/>
      <w:szCs w:val="22"/>
      <w:lang w:eastAsia="sv-SE"/>
    </w:rPr>
  </w:style>
  <w:style w:type="paragraph" w:customStyle="1" w:styleId="AppendixHeading">
    <w:name w:val="AppendixHeading"/>
    <w:basedOn w:val="Normal"/>
    <w:next w:val="Text10"/>
    <w:pPr>
      <w:spacing w:after="120" w:line="269" w:lineRule="auto"/>
      <w:jc w:val="center"/>
    </w:pPr>
    <w:rPr>
      <w:rFonts w:ascii="Arial" w:hAnsi="Arial" w:cs="Arial"/>
      <w:color w:val="394A58"/>
      <w:sz w:val="48"/>
      <w:szCs w:val="22"/>
    </w:rPr>
  </w:style>
  <w:style w:type="paragraph" w:customStyle="1" w:styleId="QAText">
    <w:name w:val="QAText"/>
    <w:basedOn w:val="Normal"/>
    <w:pPr>
      <w:spacing w:before="120" w:after="120"/>
    </w:pPr>
    <w:rPr>
      <w:rFonts w:ascii="Arial" w:hAnsi="Arial" w:cs="Arial"/>
      <w:sz w:val="20"/>
      <w:szCs w:val="22"/>
    </w:rPr>
  </w:style>
  <w:style w:type="paragraph" w:customStyle="1" w:styleId="QAProjectTitle">
    <w:name w:val="QAProject Title"/>
    <w:basedOn w:val="Normal"/>
    <w:pPr>
      <w:spacing w:after="0"/>
      <w:jc w:val="center"/>
    </w:pPr>
    <w:rPr>
      <w:rFonts w:ascii="Arial" w:hAnsi="Arial" w:cs="Arial"/>
      <w:b/>
      <w:sz w:val="48"/>
      <w:szCs w:val="22"/>
    </w:rPr>
  </w:style>
  <w:style w:type="paragraph" w:customStyle="1" w:styleId="DocHistory">
    <w:name w:val="DocHistory"/>
    <w:basedOn w:val="Normal"/>
    <w:pPr>
      <w:spacing w:after="120" w:line="269" w:lineRule="auto"/>
    </w:pPr>
    <w:rPr>
      <w:rFonts w:ascii="Arial" w:hAnsi="Arial" w:cs="Arial"/>
      <w:b/>
      <w:szCs w:val="22"/>
    </w:rPr>
  </w:style>
  <w:style w:type="paragraph" w:customStyle="1" w:styleId="Contents">
    <w:name w:val="Contents"/>
    <w:basedOn w:val="Normal"/>
    <w:next w:val="Text"/>
    <w:pPr>
      <w:spacing w:before="480" w:after="120" w:line="269" w:lineRule="auto"/>
    </w:pPr>
    <w:rPr>
      <w:rFonts w:ascii="Arial Bold" w:hAnsi="Arial Bold" w:cs="Arial"/>
      <w:b/>
      <w:color w:val="394A58"/>
      <w:sz w:val="48"/>
      <w:szCs w:val="22"/>
    </w:rPr>
  </w:style>
  <w:style w:type="paragraph" w:customStyle="1" w:styleId="StrapLine">
    <w:name w:val="Strap Line"/>
    <w:basedOn w:val="Normal"/>
    <w:pPr>
      <w:spacing w:after="0" w:line="269" w:lineRule="auto"/>
    </w:pPr>
    <w:rPr>
      <w:rFonts w:ascii="Arial" w:hAnsi="Arial" w:cs="Arial"/>
      <w:b/>
      <w:color w:val="0083BE"/>
      <w:sz w:val="16"/>
      <w:szCs w:val="22"/>
    </w:rPr>
  </w:style>
  <w:style w:type="character" w:styleId="Sidnummer">
    <w:name w:val="page number"/>
    <w:basedOn w:val="Standardstycketeckensnitt"/>
    <w:rPr>
      <w:rFonts w:ascii="Arial" w:hAnsi="Arial"/>
      <w:b/>
      <w:sz w:val="16"/>
    </w:rPr>
  </w:style>
  <w:style w:type="paragraph" w:customStyle="1" w:styleId="Contents1">
    <w:name w:val="Contents1"/>
    <w:basedOn w:val="Normal"/>
    <w:pPr>
      <w:spacing w:after="120" w:line="269" w:lineRule="auto"/>
    </w:pPr>
    <w:rPr>
      <w:rFonts w:ascii="Arial Bold" w:hAnsi="Arial Bold" w:cs="Arial"/>
      <w:b/>
      <w:color w:val="394A58"/>
      <w:sz w:val="30"/>
      <w:szCs w:val="22"/>
    </w:rPr>
  </w:style>
  <w:style w:type="paragraph" w:customStyle="1" w:styleId="ListofTabs">
    <w:name w:val="List of Tabs"/>
    <w:basedOn w:val="Normal"/>
    <w:pPr>
      <w:spacing w:after="120" w:line="269" w:lineRule="auto"/>
    </w:pPr>
    <w:rPr>
      <w:rFonts w:ascii="Arial" w:hAnsi="Arial" w:cs="Arial"/>
      <w:b/>
      <w:color w:val="394A58"/>
      <w:sz w:val="20"/>
      <w:szCs w:val="22"/>
    </w:rPr>
  </w:style>
  <w:style w:type="paragraph" w:customStyle="1" w:styleId="Exec">
    <w:name w:val="Exec"/>
    <w:basedOn w:val="Normal"/>
    <w:next w:val="Text"/>
    <w:pPr>
      <w:keepNext/>
      <w:spacing w:before="480" w:line="269" w:lineRule="auto"/>
    </w:pPr>
    <w:rPr>
      <w:rFonts w:ascii="Arial" w:hAnsi="Arial" w:cs="Arial"/>
      <w:color w:val="394A58"/>
      <w:sz w:val="48"/>
      <w:szCs w:val="22"/>
    </w:rPr>
  </w:style>
  <w:style w:type="paragraph" w:customStyle="1" w:styleId="TableText">
    <w:name w:val="Table Text"/>
    <w:basedOn w:val="Normal"/>
    <w:pPr>
      <w:spacing w:before="80" w:after="80"/>
    </w:pPr>
    <w:rPr>
      <w:rFonts w:ascii="Arial" w:hAnsi="Arial" w:cs="Arial"/>
      <w:sz w:val="20"/>
    </w:rPr>
  </w:style>
  <w:style w:type="paragraph" w:customStyle="1" w:styleId="Bullets">
    <w:name w:val="Bullets"/>
    <w:basedOn w:val="Text10"/>
    <w:link w:val="BulletsChar"/>
    <w:pPr>
      <w:numPr>
        <w:numId w:val="78"/>
      </w:numPr>
    </w:pPr>
  </w:style>
  <w:style w:type="character" w:customStyle="1" w:styleId="BulletsChar">
    <w:name w:val="Bullets Char"/>
    <w:basedOn w:val="Text1Char"/>
    <w:link w:val="Bullets"/>
    <w:rPr>
      <w:rFonts w:ascii="Arial" w:hAnsi="Arial" w:cs="Arial"/>
      <w:szCs w:val="22"/>
      <w:lang w:eastAsia="sv-SE"/>
    </w:rPr>
  </w:style>
  <w:style w:type="paragraph" w:customStyle="1" w:styleId="SubBullet">
    <w:name w:val="Sub Bullet"/>
    <w:basedOn w:val="Text10"/>
    <w:link w:val="SubBulletChar"/>
    <w:pPr>
      <w:tabs>
        <w:tab w:val="num" w:pos="1721"/>
      </w:tabs>
      <w:ind w:left="1718" w:hanging="357"/>
    </w:pPr>
  </w:style>
  <w:style w:type="character" w:customStyle="1" w:styleId="SubBulletChar">
    <w:name w:val="Sub Bullet Char"/>
    <w:basedOn w:val="Text1Char"/>
    <w:link w:val="SubBullet"/>
    <w:rPr>
      <w:rFonts w:ascii="Arial" w:hAnsi="Arial" w:cs="Arial"/>
      <w:szCs w:val="22"/>
      <w:lang w:eastAsia="sv-SE"/>
    </w:rPr>
  </w:style>
  <w:style w:type="paragraph" w:customStyle="1" w:styleId="Heading10">
    <w:name w:val="Heading 10"/>
    <w:basedOn w:val="Rubrik9"/>
    <w:next w:val="Text10"/>
    <w:pPr>
      <w:keepNext/>
      <w:tabs>
        <w:tab w:val="clear" w:pos="0"/>
      </w:tabs>
      <w:spacing w:before="0" w:after="120" w:line="269" w:lineRule="auto"/>
      <w:ind w:left="936"/>
    </w:pPr>
    <w:rPr>
      <w:rFonts w:ascii="Arial Bold" w:hAnsi="Arial Bold" w:cs="Arial"/>
      <w:b/>
      <w:i w:val="0"/>
      <w:color w:val="156570"/>
      <w:sz w:val="20"/>
      <w:szCs w:val="22"/>
    </w:rPr>
  </w:style>
  <w:style w:type="paragraph" w:customStyle="1" w:styleId="CVName">
    <w:name w:val="CV_Name"/>
    <w:basedOn w:val="Normal"/>
    <w:pPr>
      <w:spacing w:before="40" w:after="40"/>
    </w:pPr>
    <w:rPr>
      <w:rFonts w:ascii="Arial" w:eastAsia="SimSun" w:hAnsi="Arial"/>
      <w:color w:val="394A58"/>
      <w:sz w:val="48"/>
      <w:szCs w:val="48"/>
    </w:rPr>
  </w:style>
  <w:style w:type="paragraph" w:customStyle="1" w:styleId="CVTitle">
    <w:name w:val="CV_Title"/>
    <w:basedOn w:val="Normal"/>
    <w:link w:val="CVTitleChar"/>
    <w:pPr>
      <w:spacing w:before="40" w:after="40"/>
    </w:pPr>
    <w:rPr>
      <w:rFonts w:ascii="Arial" w:eastAsia="SimSun" w:hAnsi="Arial"/>
      <w:b/>
      <w:sz w:val="30"/>
      <w:szCs w:val="30"/>
    </w:rPr>
  </w:style>
  <w:style w:type="character" w:customStyle="1" w:styleId="CVTitleChar">
    <w:name w:val="CV_Title Char"/>
    <w:basedOn w:val="Standardstycketeckensnitt"/>
    <w:link w:val="CVTitle"/>
    <w:rPr>
      <w:rFonts w:ascii="Arial" w:eastAsia="SimSun" w:hAnsi="Arial"/>
      <w:b/>
      <w:sz w:val="30"/>
      <w:szCs w:val="30"/>
      <w:lang w:eastAsia="sv-SE"/>
    </w:rPr>
  </w:style>
  <w:style w:type="paragraph" w:customStyle="1" w:styleId="CVPen">
    <w:name w:val="CV_Pen"/>
    <w:basedOn w:val="Normal"/>
    <w:pPr>
      <w:spacing w:before="40" w:after="40" w:line="269" w:lineRule="auto"/>
    </w:pPr>
    <w:rPr>
      <w:rFonts w:ascii="Arial" w:eastAsia="SimSun" w:hAnsi="Arial"/>
      <w:b/>
      <w:sz w:val="18"/>
      <w:szCs w:val="18"/>
    </w:rPr>
  </w:style>
  <w:style w:type="paragraph" w:customStyle="1" w:styleId="CVBullet">
    <w:name w:val="CV_Bullet"/>
    <w:basedOn w:val="Normal"/>
    <w:pPr>
      <w:tabs>
        <w:tab w:val="num" w:pos="284"/>
      </w:tabs>
      <w:spacing w:before="40" w:after="40" w:line="269" w:lineRule="auto"/>
      <w:ind w:left="284" w:hanging="284"/>
    </w:pPr>
    <w:rPr>
      <w:rFonts w:ascii="Arial" w:eastAsia="SimSun" w:hAnsi="Arial"/>
      <w:sz w:val="18"/>
      <w:szCs w:val="18"/>
    </w:rPr>
  </w:style>
  <w:style w:type="paragraph" w:customStyle="1" w:styleId="CVText">
    <w:name w:val="CV_Text"/>
    <w:basedOn w:val="Normal"/>
    <w:link w:val="CVTextChar"/>
    <w:pPr>
      <w:spacing w:before="40" w:after="40" w:line="269" w:lineRule="auto"/>
    </w:pPr>
    <w:rPr>
      <w:rFonts w:ascii="Arial" w:eastAsia="SimSun" w:hAnsi="Arial"/>
      <w:sz w:val="18"/>
      <w:szCs w:val="18"/>
    </w:rPr>
  </w:style>
  <w:style w:type="character" w:customStyle="1" w:styleId="CVTextChar">
    <w:name w:val="CV_Text Char"/>
    <w:basedOn w:val="Standardstycketeckensnitt"/>
    <w:link w:val="CVText"/>
    <w:rPr>
      <w:rFonts w:ascii="Arial" w:eastAsia="SimSun" w:hAnsi="Arial"/>
      <w:sz w:val="18"/>
      <w:szCs w:val="18"/>
      <w:lang w:eastAsia="sv-SE"/>
    </w:rPr>
  </w:style>
  <w:style w:type="paragraph" w:customStyle="1" w:styleId="CVTitle1">
    <w:name w:val="CV_Title1"/>
    <w:basedOn w:val="Normal"/>
    <w:link w:val="CVTitle1Char"/>
    <w:pPr>
      <w:spacing w:before="40" w:after="40"/>
    </w:pPr>
    <w:rPr>
      <w:rFonts w:ascii="Arial" w:eastAsia="SimSun" w:hAnsi="Arial"/>
      <w:b/>
      <w:sz w:val="18"/>
      <w:szCs w:val="24"/>
    </w:rPr>
  </w:style>
  <w:style w:type="character" w:customStyle="1" w:styleId="CVTitle1Char">
    <w:name w:val="CV_Title1 Char"/>
    <w:basedOn w:val="Standardstycketeckensnitt"/>
    <w:link w:val="CVTitle1"/>
    <w:rPr>
      <w:rFonts w:ascii="Arial" w:eastAsia="SimSun" w:hAnsi="Arial"/>
      <w:b/>
      <w:sz w:val="18"/>
      <w:szCs w:val="24"/>
      <w:lang w:eastAsia="sv-SE"/>
    </w:rPr>
  </w:style>
  <w:style w:type="paragraph" w:customStyle="1" w:styleId="CVDepartment">
    <w:name w:val="CV_Department"/>
    <w:basedOn w:val="CVTitle"/>
    <w:rPr>
      <w:b w:val="0"/>
    </w:rPr>
  </w:style>
  <w:style w:type="paragraph" w:customStyle="1" w:styleId="CVDept">
    <w:name w:val="CV_Dept"/>
    <w:basedOn w:val="Normal"/>
    <w:pPr>
      <w:spacing w:before="40" w:after="40"/>
    </w:pPr>
    <w:rPr>
      <w:rFonts w:ascii="Arial" w:eastAsia="SimSun" w:hAnsi="Arial"/>
      <w:sz w:val="30"/>
      <w:szCs w:val="24"/>
    </w:rPr>
  </w:style>
  <w:style w:type="paragraph" w:customStyle="1" w:styleId="TableBullet">
    <w:name w:val="Table_Bullet"/>
    <w:basedOn w:val="CVBullet"/>
    <w:pPr>
      <w:ind w:left="288" w:hanging="288"/>
    </w:pPr>
    <w:rPr>
      <w:sz w:val="20"/>
    </w:rPr>
  </w:style>
  <w:style w:type="paragraph" w:customStyle="1" w:styleId="CaseStudy">
    <w:name w:val="Case Study"/>
    <w:basedOn w:val="Normal"/>
    <w:pPr>
      <w:spacing w:before="40" w:after="40"/>
    </w:pPr>
    <w:rPr>
      <w:rFonts w:ascii="Arial" w:eastAsia="SimSun" w:hAnsi="Arial"/>
      <w:color w:val="394A58"/>
      <w:sz w:val="48"/>
      <w:szCs w:val="48"/>
    </w:rPr>
  </w:style>
  <w:style w:type="paragraph" w:customStyle="1" w:styleId="CaseStudytxt">
    <w:name w:val="Case Study txt"/>
    <w:basedOn w:val="CaseStudy"/>
    <w:pPr>
      <w:tabs>
        <w:tab w:val="center" w:pos="4153"/>
        <w:tab w:val="right" w:pos="8306"/>
      </w:tabs>
    </w:pPr>
    <w:rPr>
      <w:b/>
    </w:rPr>
  </w:style>
  <w:style w:type="paragraph" w:customStyle="1" w:styleId="Client">
    <w:name w:val="Client"/>
    <w:basedOn w:val="Normal"/>
    <w:next w:val="Normal"/>
    <w:pPr>
      <w:spacing w:before="80" w:after="120" w:line="269" w:lineRule="auto"/>
    </w:pPr>
    <w:rPr>
      <w:rFonts w:ascii="Arial" w:eastAsia="SimSun" w:hAnsi="Arial"/>
      <w:sz w:val="18"/>
      <w:szCs w:val="18"/>
    </w:rPr>
  </w:style>
  <w:style w:type="paragraph" w:customStyle="1" w:styleId="CSBullet">
    <w:name w:val="CS_Bullet"/>
    <w:basedOn w:val="Normal"/>
    <w:pPr>
      <w:tabs>
        <w:tab w:val="num" w:pos="284"/>
      </w:tabs>
      <w:spacing w:before="40" w:after="40" w:line="269" w:lineRule="auto"/>
      <w:ind w:left="284" w:hanging="284"/>
    </w:pPr>
    <w:rPr>
      <w:rFonts w:ascii="Arial" w:eastAsia="SimSun" w:hAnsi="Arial"/>
      <w:sz w:val="18"/>
      <w:szCs w:val="18"/>
    </w:rPr>
  </w:style>
  <w:style w:type="paragraph" w:customStyle="1" w:styleId="CSText">
    <w:name w:val="CSText"/>
    <w:basedOn w:val="Normal"/>
    <w:pPr>
      <w:spacing w:before="40" w:after="40" w:line="269" w:lineRule="auto"/>
    </w:pPr>
    <w:rPr>
      <w:rFonts w:ascii="Arial" w:eastAsia="SimSun" w:hAnsi="Arial"/>
      <w:sz w:val="18"/>
      <w:szCs w:val="18"/>
    </w:rPr>
  </w:style>
  <w:style w:type="paragraph" w:customStyle="1" w:styleId="CSText2">
    <w:name w:val="CSText2"/>
    <w:basedOn w:val="Normal"/>
    <w:pPr>
      <w:spacing w:before="40" w:after="40" w:line="269" w:lineRule="auto"/>
      <w:ind w:left="1440" w:hanging="1440"/>
    </w:pPr>
    <w:rPr>
      <w:rFonts w:ascii="Arial" w:eastAsia="SimSun" w:hAnsi="Arial"/>
      <w:sz w:val="18"/>
      <w:szCs w:val="18"/>
    </w:rPr>
  </w:style>
  <w:style w:type="paragraph" w:customStyle="1" w:styleId="CSTitle1">
    <w:name w:val="CSTitle1"/>
    <w:basedOn w:val="Normal"/>
    <w:pPr>
      <w:keepNext/>
      <w:spacing w:before="120" w:after="20" w:line="269" w:lineRule="auto"/>
    </w:pPr>
    <w:rPr>
      <w:rFonts w:ascii="Arial" w:eastAsia="SimSun" w:hAnsi="Arial"/>
      <w:b/>
      <w:sz w:val="18"/>
      <w:szCs w:val="24"/>
    </w:rPr>
  </w:style>
  <w:style w:type="paragraph" w:customStyle="1" w:styleId="CSTitle2">
    <w:name w:val="CSTitle2"/>
    <w:basedOn w:val="Normal"/>
    <w:next w:val="CSBullet"/>
    <w:pPr>
      <w:keepNext/>
      <w:pBdr>
        <w:bottom w:val="single" w:sz="8" w:space="1" w:color="394A58"/>
      </w:pBdr>
      <w:spacing w:before="120" w:after="40" w:line="269" w:lineRule="auto"/>
    </w:pPr>
    <w:rPr>
      <w:rFonts w:ascii="Arial Bold" w:eastAsia="SimSun" w:hAnsi="Arial Bold"/>
      <w:b/>
      <w:sz w:val="18"/>
      <w:szCs w:val="24"/>
      <w:u w:color="394A58"/>
    </w:rPr>
  </w:style>
  <w:style w:type="paragraph" w:customStyle="1" w:styleId="CSTitle3">
    <w:name w:val="CSTitle3"/>
    <w:basedOn w:val="CSTitle2"/>
    <w:next w:val="CSText2"/>
  </w:style>
  <w:style w:type="paragraph" w:customStyle="1" w:styleId="CapSheettxt">
    <w:name w:val="Cap Sheet txt"/>
    <w:basedOn w:val="Normal"/>
    <w:pPr>
      <w:tabs>
        <w:tab w:val="center" w:pos="4153"/>
        <w:tab w:val="right" w:pos="8306"/>
      </w:tabs>
      <w:spacing w:before="40" w:after="40"/>
    </w:pPr>
    <w:rPr>
      <w:rFonts w:ascii="Arial" w:eastAsia="SimSun" w:hAnsi="Arial"/>
      <w:b/>
      <w:color w:val="394A58"/>
      <w:sz w:val="48"/>
      <w:szCs w:val="48"/>
    </w:rPr>
  </w:style>
  <w:style w:type="paragraph" w:customStyle="1" w:styleId="CapabilitySheet">
    <w:name w:val="Capability Sheet"/>
    <w:basedOn w:val="Normal"/>
    <w:pPr>
      <w:spacing w:before="40" w:after="40"/>
    </w:pPr>
    <w:rPr>
      <w:rFonts w:ascii="Arial" w:eastAsia="SimSun" w:hAnsi="Arial"/>
      <w:color w:val="394A58"/>
      <w:sz w:val="48"/>
      <w:szCs w:val="48"/>
    </w:rPr>
  </w:style>
  <w:style w:type="paragraph" w:customStyle="1" w:styleId="CapSText2">
    <w:name w:val="CapSText2"/>
    <w:basedOn w:val="Normal"/>
    <w:pPr>
      <w:spacing w:before="40" w:after="40" w:line="269" w:lineRule="auto"/>
    </w:pPr>
    <w:rPr>
      <w:rFonts w:ascii="Arial" w:eastAsia="SimSun" w:hAnsi="Arial"/>
      <w:sz w:val="16"/>
      <w:szCs w:val="18"/>
    </w:rPr>
  </w:style>
  <w:style w:type="paragraph" w:customStyle="1" w:styleId="SubHeading">
    <w:name w:val="SubHeading"/>
    <w:basedOn w:val="Normal"/>
    <w:next w:val="CSTitle1"/>
    <w:pPr>
      <w:spacing w:before="440" w:after="120"/>
    </w:pPr>
    <w:rPr>
      <w:rFonts w:ascii="Arial" w:eastAsia="SimSun" w:hAnsi="Arial"/>
      <w:sz w:val="30"/>
      <w:szCs w:val="24"/>
    </w:rPr>
  </w:style>
  <w:style w:type="paragraph" w:customStyle="1" w:styleId="CoverMainTitle">
    <w:name w:val="Cover Main Title"/>
    <w:basedOn w:val="Text"/>
    <w:pPr>
      <w:jc w:val="right"/>
    </w:pPr>
    <w:rPr>
      <w:color w:val="394A58"/>
      <w:sz w:val="44"/>
    </w:rPr>
  </w:style>
  <w:style w:type="paragraph" w:customStyle="1" w:styleId="CoverSubTitle">
    <w:name w:val="Cover Sub Title"/>
    <w:basedOn w:val="CoverMainTitle"/>
    <w:rPr>
      <w:sz w:val="32"/>
    </w:rPr>
  </w:style>
  <w:style w:type="paragraph" w:customStyle="1" w:styleId="level6">
    <w:name w:val="level6"/>
    <w:basedOn w:val="Normal"/>
    <w:pPr>
      <w:tabs>
        <w:tab w:val="left" w:pos="0"/>
      </w:tabs>
      <w:spacing w:before="120" w:after="120"/>
    </w:pPr>
    <w:rPr>
      <w:rFonts w:ascii="Arial" w:hAnsi="Arial" w:cs="Arial"/>
      <w:sz w:val="22"/>
      <w:szCs w:val="22"/>
    </w:rPr>
  </w:style>
  <w:style w:type="paragraph" w:customStyle="1" w:styleId="Title2">
    <w:name w:val="Title2"/>
    <w:basedOn w:val="Normal"/>
    <w:pPr>
      <w:spacing w:before="480"/>
    </w:pPr>
    <w:rPr>
      <w:b/>
      <w:caps/>
      <w:sz w:val="28"/>
    </w:rPr>
  </w:style>
  <w:style w:type="paragraph" w:customStyle="1" w:styleId="Appendix">
    <w:name w:val="Appendix"/>
    <w:basedOn w:val="Rubrik1"/>
    <w:pPr>
      <w:pageBreakBefore/>
      <w:numPr>
        <w:numId w:val="0"/>
      </w:numPr>
      <w:spacing w:after="60"/>
    </w:pPr>
    <w:rPr>
      <w:rFonts w:ascii="Arial" w:hAnsi="Arial" w:cs="Arial"/>
      <w:bCs/>
      <w:smallCaps w:val="0"/>
      <w:kern w:val="32"/>
      <w:sz w:val="32"/>
      <w:szCs w:val="32"/>
    </w:rPr>
  </w:style>
  <w:style w:type="paragraph" w:customStyle="1" w:styleId="Atkinstext">
    <w:name w:val="Atkins text"/>
    <w:basedOn w:val="Text10"/>
    <w:link w:val="AtkinstextChar"/>
    <w:qFormat/>
  </w:style>
  <w:style w:type="character" w:customStyle="1" w:styleId="AtkinstextChar">
    <w:name w:val="Atkins text Char"/>
    <w:basedOn w:val="Text1Char"/>
    <w:link w:val="Atkinstext"/>
    <w:rPr>
      <w:rFonts w:ascii="Arial" w:hAnsi="Arial" w:cs="Arial"/>
      <w:szCs w:val="22"/>
      <w:lang w:eastAsia="sv-SE"/>
    </w:rPr>
  </w:style>
  <w:style w:type="paragraph" w:customStyle="1" w:styleId="Atkinsbullet">
    <w:name w:val="Atkins bullet"/>
    <w:basedOn w:val="Bullets"/>
    <w:link w:val="AtkinsbulletChar"/>
    <w:qFormat/>
  </w:style>
  <w:style w:type="character" w:customStyle="1" w:styleId="AtkinsbulletChar">
    <w:name w:val="Atkins bullet Char"/>
    <w:basedOn w:val="BulletsChar"/>
    <w:link w:val="Atkinsbullet"/>
    <w:rPr>
      <w:rFonts w:ascii="Arial" w:hAnsi="Arial" w:cs="Arial"/>
      <w:szCs w:val="22"/>
      <w:lang w:eastAsia="sv-SE"/>
    </w:rPr>
  </w:style>
  <w:style w:type="paragraph" w:customStyle="1" w:styleId="Tablestyle2">
    <w:name w:val="Table style 2"/>
    <w:basedOn w:val="Normal"/>
    <w:qFormat/>
    <w:pPr>
      <w:spacing w:before="40" w:after="40"/>
      <w:ind w:left="113" w:right="113"/>
    </w:pPr>
    <w:rPr>
      <w:rFonts w:ascii="Calibri" w:eastAsia="Batang" w:hAnsi="Calibri"/>
      <w:sz w:val="20"/>
      <w:szCs w:val="22"/>
    </w:rPr>
  </w:style>
  <w:style w:type="paragraph" w:customStyle="1" w:styleId="EstiloTtulo2Antes18pto">
    <w:name w:val="Estilo Título 2 + Antes:  18 pto"/>
    <w:basedOn w:val="Rubrik2"/>
    <w:uiPriority w:val="99"/>
    <w:semiHidden/>
    <w:pPr>
      <w:keepLines/>
      <w:shd w:val="clear" w:color="auto" w:fill="DBE5F1"/>
      <w:tabs>
        <w:tab w:val="num" w:pos="0"/>
        <w:tab w:val="left" w:pos="1134"/>
      </w:tabs>
      <w:spacing w:before="360" w:after="120"/>
      <w:ind w:left="431" w:hanging="431"/>
    </w:pPr>
    <w:rPr>
      <w:rFonts w:ascii="Calibri" w:eastAsia="Calibri" w:hAnsi="Calibri"/>
      <w:bCs/>
      <w:color w:val="004494"/>
      <w:sz w:val="28"/>
    </w:rPr>
  </w:style>
  <w:style w:type="paragraph" w:customStyle="1" w:styleId="Bullet1">
    <w:name w:val="Bullet1"/>
    <w:basedOn w:val="Bullets"/>
    <w:link w:val="Bullet1Char"/>
    <w:qFormat/>
    <w:pPr>
      <w:numPr>
        <w:numId w:val="84"/>
      </w:numPr>
    </w:pPr>
  </w:style>
  <w:style w:type="character" w:customStyle="1" w:styleId="Bullet1Char">
    <w:name w:val="Bullet1 Char"/>
    <w:basedOn w:val="BulletsChar"/>
    <w:link w:val="Bullet1"/>
    <w:rPr>
      <w:rFonts w:ascii="Arial" w:hAnsi="Arial" w:cs="Arial"/>
      <w:szCs w:val="22"/>
      <w:lang w:eastAsia="sv-SE"/>
    </w:rPr>
  </w:style>
  <w:style w:type="paragraph" w:customStyle="1" w:styleId="titulo3">
    <w:name w:val="titulo 3"/>
    <w:basedOn w:val="Normal"/>
    <w:link w:val="titulo3Char"/>
    <w:qFormat/>
    <w:pPr>
      <w:numPr>
        <w:numId w:val="87"/>
      </w:numPr>
    </w:pPr>
  </w:style>
  <w:style w:type="character" w:customStyle="1" w:styleId="titulo3Char">
    <w:name w:val="titulo 3 Char"/>
    <w:basedOn w:val="Standardstycketeckensnitt"/>
    <w:link w:val="titulo3"/>
    <w:rPr>
      <w:rFonts w:ascii="Calibri Light" w:hAnsi="Calibri Light"/>
      <w:sz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pPr>
    <w:rPr>
      <w:rFonts w:ascii="Calibri Light" w:hAnsi="Calibri Light"/>
      <w:sz w:val="24"/>
    </w:rPr>
  </w:style>
  <w:style w:type="paragraph" w:styleId="Rubrik1">
    <w:name w:val="heading 1"/>
    <w:aliases w:val="título 1,h1,Part,1st level,Titre 1 VGX,1,Header 1,überschrift1,überschrift11,überschrift12,H1,numeroté  1.,Headline 1,main title,Heading A,Heading1,H1-Heading 1,l1,Legal Line 1,head 1,list 1,heading 1,II+,I,Head 1 (Chapter heading),Bold"/>
    <w:basedOn w:val="Normal"/>
    <w:next w:val="Text1"/>
    <w:link w:val="Rubrik1Char"/>
    <w:uiPriority w:val="99"/>
    <w:qFormat/>
    <w:pPr>
      <w:keepNext/>
      <w:numPr>
        <w:numId w:val="1"/>
      </w:numPr>
      <w:tabs>
        <w:tab w:val="left" w:pos="851"/>
      </w:tabs>
      <w:spacing w:before="240"/>
      <w:outlineLvl w:val="0"/>
    </w:pPr>
    <w:rPr>
      <w:b/>
      <w:smallCaps/>
    </w:rPr>
  </w:style>
  <w:style w:type="paragraph" w:styleId="Rubrik2">
    <w:name w:val="heading 2"/>
    <w:aliases w:val="título 2,h2,Chapter Title,H2,2nd level,2,Header 2,tučné italic 12,A.B.C.,Heading2-bio,Career Exp.,T2,Borja 2,Paspastyle 2,tνtulo 2,t?tulo 2,t,Titre 2 VGX,Heading 2 Hidden,heading 21,Heading 2 Hidden1,Chapter Number/Appendix Letter,subhead 1,l2"/>
    <w:basedOn w:val="Normal"/>
    <w:next w:val="Normal"/>
    <w:link w:val="Rubrik2Char"/>
    <w:uiPriority w:val="99"/>
    <w:qFormat/>
    <w:pPr>
      <w:keepNext/>
      <w:numPr>
        <w:ilvl w:val="1"/>
        <w:numId w:val="1"/>
      </w:numPr>
      <w:outlineLvl w:val="1"/>
    </w:pPr>
    <w:rPr>
      <w:b/>
    </w:rPr>
  </w:style>
  <w:style w:type="paragraph" w:styleId="Rubrik3">
    <w:name w:val="heading 3"/>
    <w:aliases w:val="-E Überschrift 3,H3,0,Kop 3 Char,h3,3,Nadpis_3_úroveň,Sub Paragraph,Podkapitola2,Podkapitola21,Záhlav...,Záhlaví 3,V_Head3,V_Head31,V_Head32,ASAPHeading 3,1.2.3.,T3,Titre 3 VGX,título 3,Org Heading 1,H31,H32,subhead 2,2h,l3,numéroté  1.1.1,h31"/>
    <w:basedOn w:val="Normal"/>
    <w:next w:val="Text3"/>
    <w:link w:val="Rubrik3Char"/>
    <w:autoRedefine/>
    <w:uiPriority w:val="9"/>
    <w:qFormat/>
    <w:pPr>
      <w:keepNext/>
      <w:numPr>
        <w:ilvl w:val="2"/>
        <w:numId w:val="1"/>
      </w:numPr>
      <w:ind w:left="851" w:hanging="851"/>
      <w:jc w:val="both"/>
      <w:outlineLvl w:val="2"/>
    </w:pPr>
    <w:rPr>
      <w:b/>
      <w:color w:val="000000" w:themeColor="text1"/>
    </w:rPr>
  </w:style>
  <w:style w:type="paragraph" w:styleId="Rubrik4">
    <w:name w:val="heading 4"/>
    <w:basedOn w:val="Normal"/>
    <w:next w:val="Normal"/>
    <w:link w:val="Rubrik4Char"/>
    <w:autoRedefine/>
    <w:qFormat/>
    <w:pPr>
      <w:keepNext/>
      <w:numPr>
        <w:ilvl w:val="3"/>
        <w:numId w:val="1"/>
      </w:numPr>
      <w:tabs>
        <w:tab w:val="clear" w:pos="4287"/>
      </w:tabs>
      <w:ind w:left="720"/>
      <w:jc w:val="both"/>
      <w:outlineLvl w:val="3"/>
    </w:pPr>
    <w:rPr>
      <w:b/>
    </w:rPr>
  </w:style>
  <w:style w:type="paragraph" w:styleId="Rubrik5">
    <w:name w:val="heading 5"/>
    <w:aliases w:val="Block Label,DO NOT USE_h5,Nivel 5,FAQ Question,h5,Second Subheading,H5,5,Sub-sub-sub-paragraaf,Contrat 5,Título5_Excalibur,Al margen,ds,dd,Tempo Heading 5,Level 3 - i,l5,I5,Numbered Sub-list,Table label,hm,mh2,Module heading 2,Head 5,list 5,T"/>
    <w:basedOn w:val="Normal"/>
    <w:next w:val="Normal"/>
    <w:link w:val="Rubrik5Char"/>
    <w:uiPriority w:val="99"/>
    <w:qFormat/>
    <w:pPr>
      <w:tabs>
        <w:tab w:val="num" w:pos="0"/>
      </w:tabs>
      <w:spacing w:before="240" w:after="60"/>
      <w:outlineLvl w:val="4"/>
    </w:pPr>
    <w:rPr>
      <w:rFonts w:ascii="Arial" w:hAnsi="Arial"/>
      <w:sz w:val="22"/>
    </w:rPr>
  </w:style>
  <w:style w:type="paragraph" w:styleId="Rubrik6">
    <w:name w:val="heading 6"/>
    <w:aliases w:val="H6,Ref Heading 3,rh3,Ref Heading 31,rh31,H61,h6,Third Subheading,Título 0,T1,Margin Note,sub-dash,sd,sub-dash1,sd1,51,sub-dash2,sd2,52,sub-dash3,sd3,53,sub-dash4,sd4,54,sub-dash5,sd5,55,sub-dash6,sd6,56,Bullet list,Bullet list1,cnp,E6"/>
    <w:basedOn w:val="Normal"/>
    <w:next w:val="Normal"/>
    <w:link w:val="Rubrik6Char"/>
    <w:uiPriority w:val="99"/>
    <w:qFormat/>
    <w:pPr>
      <w:tabs>
        <w:tab w:val="num" w:pos="0"/>
      </w:tabs>
      <w:spacing w:before="240" w:after="60"/>
      <w:outlineLvl w:val="5"/>
    </w:pPr>
    <w:rPr>
      <w:rFonts w:ascii="Arial" w:hAnsi="Arial"/>
      <w:i/>
      <w:sz w:val="22"/>
    </w:rPr>
  </w:style>
  <w:style w:type="paragraph" w:styleId="Rubrik7">
    <w:name w:val="heading 7"/>
    <w:aliases w:val="David1,L7,letter list,T7,Anexo 1,Titolo7,h7,SDL title,lettered list,Appendix Level 1,Appendix Level 11,Appendix Level 12,7,ExhibitTitle,Objective,heading7,req3,PIM 7,Legal Level 1.1.,marcador,cnc,Caption number (column-wide),ITT t7,heading 7"/>
    <w:basedOn w:val="Normal"/>
    <w:next w:val="Normal"/>
    <w:link w:val="Rubrik7Char"/>
    <w:uiPriority w:val="99"/>
    <w:qFormat/>
    <w:pPr>
      <w:tabs>
        <w:tab w:val="num" w:pos="0"/>
      </w:tabs>
      <w:spacing w:before="240" w:after="60"/>
      <w:outlineLvl w:val="6"/>
    </w:pPr>
    <w:rPr>
      <w:rFonts w:ascii="Arial" w:hAnsi="Arial"/>
      <w:sz w:val="20"/>
    </w:rPr>
  </w:style>
  <w:style w:type="paragraph" w:styleId="Rubrik8">
    <w:name w:val="heading 8"/>
    <w:aliases w:val="action,T8,(table no.),Anexo 2,Vedlegg,Center Bold,ft,figure title,Taula comanes,(Appendici),Titolo8,8,FigureTitle,Condition,requirement,req2,req,Legal Level 1.1.1.,ctp,Caption text (page-wide),- DI -8,h8,table Body Text,a-2,l8,l"/>
    <w:basedOn w:val="Normal"/>
    <w:next w:val="Normal"/>
    <w:link w:val="Rubrik8Char"/>
    <w:uiPriority w:val="99"/>
    <w:qFormat/>
    <w:pPr>
      <w:tabs>
        <w:tab w:val="num" w:pos="0"/>
      </w:tabs>
      <w:spacing w:before="240" w:after="60"/>
      <w:outlineLvl w:val="7"/>
    </w:pPr>
    <w:rPr>
      <w:rFonts w:ascii="Arial" w:hAnsi="Arial"/>
      <w:i/>
      <w:sz w:val="20"/>
    </w:rPr>
  </w:style>
  <w:style w:type="paragraph" w:styleId="Rubrik9">
    <w:name w:val="heading 9"/>
    <w:aliases w:val="App1,(appendix),App Heading,progress,(figure no.),Anexo 3,Uvedl,tt,table title,Taula paràmetres,(Bibliografia),Titolo9,Titre 10,9,TableTitle,Cond'l Reqt.,rb,req bullet,req1,PIM 9,Legal Level 1.1.1.1.,ctc,h9,RFP Reference"/>
    <w:basedOn w:val="Normal"/>
    <w:next w:val="Normal"/>
    <w:link w:val="Rubrik9Char"/>
    <w:uiPriority w:val="99"/>
    <w:qFormat/>
    <w:pPr>
      <w:tabs>
        <w:tab w:val="num" w:pos="0"/>
      </w:tabs>
      <w:spacing w:before="240" w:after="60"/>
      <w:outlineLvl w:val="8"/>
    </w:pPr>
    <w:rPr>
      <w:rFonts w:ascii="Arial" w:hAnsi="Arial"/>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xt1">
    <w:name w:val="Text 1"/>
    <w:basedOn w:val="Normal"/>
    <w:pPr>
      <w:ind w:left="482"/>
    </w:pPr>
  </w:style>
  <w:style w:type="character" w:customStyle="1" w:styleId="Rubrik1Char">
    <w:name w:val="Rubrik 1 Char"/>
    <w:aliases w:val="título 1 Char,h1 Char,Part Char,1st level Char,Titre 1 VGX Char,1 Char,Header 1 Char,überschrift1 Char,überschrift11 Char,überschrift12 Char,H1 Char,numeroté  1. Char,Headline 1 Char,main title Char,Heading A Char,Heading1 Char,l1 Char"/>
    <w:link w:val="Rubrik1"/>
    <w:uiPriority w:val="99"/>
    <w:rPr>
      <w:rFonts w:ascii="Calibri Light" w:hAnsi="Calibri Light"/>
      <w:b/>
      <w:smallCaps/>
      <w:sz w:val="24"/>
      <w:lang w:eastAsia="sv-SE"/>
    </w:rPr>
  </w:style>
  <w:style w:type="character" w:customStyle="1" w:styleId="Rubrik2Char">
    <w:name w:val="Rubrik 2 Char"/>
    <w:aliases w:val="título 2 Char,h2 Char,Chapter Title Char,H2 Char,2nd level Char,2 Char,Header 2 Char,tučné italic 12 Char,A.B.C. Char,Heading2-bio Char,Career Exp. Char,T2 Char,Borja 2 Char,Paspastyle 2 Char,tνtulo 2 Char,t?tulo 2 Char,t Char,l2 Char"/>
    <w:link w:val="Rubrik2"/>
    <w:uiPriority w:val="99"/>
    <w:rPr>
      <w:rFonts w:ascii="Calibri Light" w:hAnsi="Calibri Light"/>
      <w:b/>
      <w:sz w:val="24"/>
      <w:lang w:eastAsia="sv-SE"/>
    </w:rPr>
  </w:style>
  <w:style w:type="paragraph" w:customStyle="1" w:styleId="Text3">
    <w:name w:val="Text 3"/>
    <w:basedOn w:val="Normal"/>
    <w:pPr>
      <w:tabs>
        <w:tab w:val="left" w:pos="2302"/>
      </w:tabs>
      <w:ind w:left="1202"/>
    </w:pPr>
  </w:style>
  <w:style w:type="character" w:customStyle="1" w:styleId="Rubrik3Char">
    <w:name w:val="Rubrik 3 Char"/>
    <w:aliases w:val="-E Überschrift 3 Char,H3 Char,0 Char,Kop 3 Char Char,h3 Char,3 Char,Nadpis_3_úroveň Char,Sub Paragraph Char,Podkapitola2 Char,Podkapitola21 Char,Záhlav... Char,Záhlaví 3 Char,V_Head3 Char,V_Head31 Char,V_Head32 Char,ASAPHeading 3 Char"/>
    <w:link w:val="Rubrik3"/>
    <w:uiPriority w:val="9"/>
    <w:rPr>
      <w:rFonts w:ascii="Calibri Light" w:hAnsi="Calibri Light"/>
      <w:b/>
      <w:color w:val="000000" w:themeColor="text1"/>
      <w:sz w:val="24"/>
      <w:lang w:eastAsia="sv-SE"/>
    </w:rPr>
  </w:style>
  <w:style w:type="character" w:customStyle="1" w:styleId="Rubrik4Char">
    <w:name w:val="Rubrik 4 Char"/>
    <w:link w:val="Rubrik4"/>
    <w:rPr>
      <w:rFonts w:ascii="Calibri Light" w:hAnsi="Calibri Light"/>
      <w:b/>
      <w:sz w:val="24"/>
      <w:lang w:eastAsia="sv-SE"/>
    </w:rPr>
  </w:style>
  <w:style w:type="character" w:customStyle="1" w:styleId="Rubrik5Char">
    <w:name w:val="Rubrik 5 Char"/>
    <w:aliases w:val="Block Label Char,DO NOT USE_h5 Char,Nivel 5 Char,FAQ Question Char,h5 Char,Second Subheading Char,H5 Char,5 Char,Sub-sub-sub-paragraaf Char,Contrat 5 Char,Título5_Excalibur Char,Al margen Char,ds Char,dd Char,Tempo Heading 5 Char,l5 Char"/>
    <w:link w:val="Rubrik5"/>
    <w:rPr>
      <w:rFonts w:ascii="Arial" w:hAnsi="Arial"/>
      <w:sz w:val="22"/>
      <w:lang w:eastAsia="sv-SE"/>
    </w:rPr>
  </w:style>
  <w:style w:type="character" w:customStyle="1" w:styleId="Rubrik6Char">
    <w:name w:val="Rubrik 6 Char"/>
    <w:aliases w:val="H6 Char,Ref Heading 3 Char,rh3 Char,Ref Heading 31 Char,rh31 Char,H61 Char,h6 Char,Third Subheading Char,Título 0 Char,T1 Char,Margin Note Char,sub-dash Char,sd Char,sub-dash1 Char,sd1 Char,51 Char,sub-dash2 Char,sd2 Char,52 Char,sd3 Char"/>
    <w:link w:val="Rubrik6"/>
    <w:rPr>
      <w:rFonts w:ascii="Arial" w:hAnsi="Arial"/>
      <w:i/>
      <w:sz w:val="22"/>
      <w:lang w:eastAsia="sv-SE"/>
    </w:rPr>
  </w:style>
  <w:style w:type="character" w:customStyle="1" w:styleId="Rubrik7Char">
    <w:name w:val="Rubrik 7 Char"/>
    <w:aliases w:val="David1 Char,L7 Char,letter list Char,T7 Char,Anexo 1 Char,Titolo7 Char,h7 Char,SDL title Char,lettered list Char,Appendix Level 1 Char,Appendix Level 11 Char,Appendix Level 12 Char,7 Char,ExhibitTitle Char,Objective Char,heading7 Char"/>
    <w:link w:val="Rubrik7"/>
    <w:rPr>
      <w:rFonts w:ascii="Arial" w:hAnsi="Arial"/>
      <w:lang w:eastAsia="sv-SE"/>
    </w:rPr>
  </w:style>
  <w:style w:type="character" w:customStyle="1" w:styleId="Rubrik8Char">
    <w:name w:val="Rubrik 8 Char"/>
    <w:aliases w:val="action Char,T8 Char,(table no.) Char,Anexo 2 Char,Vedlegg Char,Center Bold Char,ft Char,figure title Char,Taula comanes Char,(Appendici) Char,Titolo8 Char,8 Char,FigureTitle Char,Condition Char,requirement Char,req2 Char,req Char,ctp Char"/>
    <w:link w:val="Rubrik8"/>
    <w:rPr>
      <w:rFonts w:ascii="Arial" w:hAnsi="Arial"/>
      <w:i/>
      <w:lang w:eastAsia="sv-SE"/>
    </w:rPr>
  </w:style>
  <w:style w:type="character" w:customStyle="1" w:styleId="Rubrik9Char">
    <w:name w:val="Rubrik 9 Char"/>
    <w:aliases w:val="App1 Char,(appendix) Char,App Heading Char,progress Char,(figure no.) Char,Anexo 3 Char,Uvedl Char,tt Char,table title Char,Taula paràmetres Char,(Bibliografia) Char,Titolo9 Char,Titre 10 Char,9 Char,TableTitle Char,Cond'l Reqt. Char"/>
    <w:link w:val="Rubrik9"/>
    <w:rPr>
      <w:rFonts w:ascii="Arial" w:hAnsi="Arial"/>
      <w:i/>
      <w:sz w:val="18"/>
      <w:lang w:eastAsia="sv-SE"/>
    </w:rPr>
  </w:style>
  <w:style w:type="paragraph" w:customStyle="1" w:styleId="Text2">
    <w:name w:val="Text 2"/>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Indragetstycke">
    <w:name w:val="Block Text"/>
    <w:basedOn w:val="Normal"/>
    <w:pPr>
      <w:spacing w:after="120"/>
      <w:ind w:left="1440" w:right="1440"/>
    </w:pPr>
  </w:style>
  <w:style w:type="paragraph" w:styleId="Brdtext">
    <w:name w:val="Body Text"/>
    <w:aliases w:val="Body Text A,alt+L,alt+B ja alt+L,.                 alt+L,Double indent,Cranfield CV:Body Text,Body,heading3,Body Text - Level 2"/>
    <w:basedOn w:val="Normal"/>
    <w:link w:val="BrdtextChar"/>
    <w:pPr>
      <w:spacing w:after="120"/>
    </w:pPr>
  </w:style>
  <w:style w:type="character" w:customStyle="1" w:styleId="BrdtextChar">
    <w:name w:val="Brödtext Char"/>
    <w:aliases w:val="Body Text A Char,alt+L Char,alt+B ja alt+L Char,.                 alt+L Char,Double indent Char,Cranfield CV:Body Text Char,Body Char,heading3 Char,Body Text - Level 2 Char"/>
    <w:link w:val="Brdtext"/>
    <w:rPr>
      <w:sz w:val="24"/>
      <w:lang w:eastAsia="sv-SE"/>
    </w:rPr>
  </w:style>
  <w:style w:type="paragraph" w:styleId="Brdtext2">
    <w:name w:val="Body Text 2"/>
    <w:basedOn w:val="Normal"/>
    <w:link w:val="Brdtext2Char"/>
    <w:uiPriority w:val="99"/>
    <w:pPr>
      <w:spacing w:after="120" w:line="480" w:lineRule="auto"/>
    </w:pPr>
  </w:style>
  <w:style w:type="character" w:customStyle="1" w:styleId="Brdtext2Char">
    <w:name w:val="Brödtext 2 Char"/>
    <w:link w:val="Brdtext2"/>
    <w:uiPriority w:val="99"/>
    <w:rPr>
      <w:sz w:val="24"/>
      <w:lang w:eastAsia="sv-SE"/>
    </w:rPr>
  </w:style>
  <w:style w:type="paragraph" w:styleId="Brdtext3">
    <w:name w:val="Body Text 3"/>
    <w:basedOn w:val="Normal"/>
    <w:link w:val="Brdtext3Char"/>
    <w:pPr>
      <w:spacing w:after="120"/>
    </w:pPr>
    <w:rPr>
      <w:sz w:val="16"/>
    </w:rPr>
  </w:style>
  <w:style w:type="character" w:customStyle="1" w:styleId="Brdtext3Char">
    <w:name w:val="Brödtext 3 Char"/>
    <w:link w:val="Brdtext3"/>
    <w:rPr>
      <w:sz w:val="16"/>
      <w:lang w:eastAsia="sv-SE"/>
    </w:rPr>
  </w:style>
  <w:style w:type="paragraph" w:styleId="Brdtextmedfrstaindrag">
    <w:name w:val="Body Text First Indent"/>
    <w:basedOn w:val="Brdtext"/>
    <w:link w:val="BrdtextmedfrstaindragChar"/>
    <w:pPr>
      <w:ind w:firstLine="210"/>
    </w:pPr>
  </w:style>
  <w:style w:type="character" w:customStyle="1" w:styleId="BrdtextmedfrstaindragChar">
    <w:name w:val="Brödtext med första indrag Char"/>
    <w:link w:val="Brdtextmedfrstaindrag"/>
    <w:rPr>
      <w:sz w:val="24"/>
      <w:lang w:eastAsia="sv-SE"/>
    </w:rPr>
  </w:style>
  <w:style w:type="paragraph" w:styleId="Brdtextmedindrag">
    <w:name w:val="Body Text Indent"/>
    <w:basedOn w:val="Normal"/>
    <w:link w:val="BrdtextmedindragChar"/>
    <w:pPr>
      <w:spacing w:after="120"/>
      <w:ind w:left="283"/>
    </w:pPr>
  </w:style>
  <w:style w:type="character" w:customStyle="1" w:styleId="BrdtextmedindragChar">
    <w:name w:val="Brödtext med indrag Char"/>
    <w:link w:val="Brdtextmedindrag"/>
    <w:rPr>
      <w:sz w:val="24"/>
      <w:lang w:eastAsia="sv-SE"/>
    </w:rPr>
  </w:style>
  <w:style w:type="paragraph" w:styleId="Brdtextmedfrstaindrag2">
    <w:name w:val="Body Text First Indent 2"/>
    <w:basedOn w:val="Brdtextmedindrag"/>
    <w:link w:val="Brdtextmedfrstaindrag2Char"/>
    <w:pPr>
      <w:ind w:firstLine="210"/>
    </w:pPr>
  </w:style>
  <w:style w:type="character" w:customStyle="1" w:styleId="Brdtextmedfrstaindrag2Char">
    <w:name w:val="Brödtext med första indrag 2 Char"/>
    <w:link w:val="Brdtextmedfrstaindrag2"/>
    <w:rPr>
      <w:sz w:val="24"/>
      <w:lang w:eastAsia="sv-SE"/>
    </w:rPr>
  </w:style>
  <w:style w:type="paragraph" w:styleId="Brdtextmedindrag2">
    <w:name w:val="Body Text Indent 2"/>
    <w:basedOn w:val="Normal"/>
    <w:link w:val="Brdtextmedindrag2Char"/>
    <w:pPr>
      <w:spacing w:after="120" w:line="480" w:lineRule="auto"/>
      <w:ind w:left="283"/>
    </w:pPr>
  </w:style>
  <w:style w:type="character" w:customStyle="1" w:styleId="Brdtextmedindrag2Char">
    <w:name w:val="Brödtext med indrag 2 Char"/>
    <w:link w:val="Brdtextmedindrag2"/>
    <w:rPr>
      <w:sz w:val="24"/>
      <w:lang w:eastAsia="sv-SE"/>
    </w:rPr>
  </w:style>
  <w:style w:type="paragraph" w:styleId="Brdtextmedindrag3">
    <w:name w:val="Body Text Indent 3"/>
    <w:basedOn w:val="Normal"/>
    <w:link w:val="Brdtextmedindrag3Char"/>
    <w:pPr>
      <w:spacing w:after="120"/>
      <w:ind w:left="283"/>
    </w:pPr>
    <w:rPr>
      <w:sz w:val="16"/>
    </w:rPr>
  </w:style>
  <w:style w:type="character" w:customStyle="1" w:styleId="Brdtextmedindrag3Char">
    <w:name w:val="Brödtext med indrag 3 Char"/>
    <w:link w:val="Brdtextmedindrag3"/>
    <w:rPr>
      <w:sz w:val="16"/>
      <w:lang w:eastAsia="sv-SE"/>
    </w:rPr>
  </w:style>
  <w:style w:type="paragraph" w:styleId="Beskrivning">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Rubrik1"/>
    <w:pPr>
      <w:keepNext/>
      <w:spacing w:after="480"/>
      <w:jc w:val="center"/>
    </w:pPr>
    <w:rPr>
      <w:b/>
      <w:smallCaps/>
      <w:sz w:val="28"/>
    </w:rPr>
  </w:style>
  <w:style w:type="paragraph" w:styleId="Avslutandetext">
    <w:name w:val="Closing"/>
    <w:basedOn w:val="Normal"/>
    <w:link w:val="AvslutandetextChar"/>
    <w:pPr>
      <w:ind w:left="4252"/>
    </w:pPr>
  </w:style>
  <w:style w:type="character" w:customStyle="1" w:styleId="AvslutandetextChar">
    <w:name w:val="Avslutande text Char"/>
    <w:link w:val="Avslutandetext"/>
    <w:rPr>
      <w:sz w:val="24"/>
      <w:lang w:eastAsia="sv-SE"/>
    </w:rPr>
  </w:style>
  <w:style w:type="paragraph" w:styleId="Kommentarer">
    <w:name w:val="annotation text"/>
    <w:basedOn w:val="Normal"/>
    <w:link w:val="KommentarerChar"/>
    <w:uiPriority w:val="99"/>
    <w:rPr>
      <w:sz w:val="20"/>
    </w:rPr>
  </w:style>
  <w:style w:type="character" w:customStyle="1" w:styleId="KommentarerChar">
    <w:name w:val="Kommentarer Char"/>
    <w:link w:val="Kommentarer"/>
    <w:uiPriority w:val="99"/>
    <w:rPr>
      <w:lang w:eastAsia="sv-SE"/>
    </w:rPr>
  </w:style>
  <w:style w:type="paragraph" w:styleId="Datum">
    <w:name w:val="Date"/>
    <w:basedOn w:val="Normal"/>
    <w:next w:val="References"/>
    <w:link w:val="DatumChar"/>
    <w:pPr>
      <w:spacing w:after="0"/>
      <w:ind w:left="5103" w:right="-567"/>
    </w:pPr>
  </w:style>
  <w:style w:type="paragraph" w:customStyle="1" w:styleId="References">
    <w:name w:val="References"/>
    <w:basedOn w:val="Normal"/>
    <w:next w:val="AddressTR"/>
    <w:pPr>
      <w:ind w:left="5103"/>
    </w:pPr>
    <w:rPr>
      <w:sz w:val="20"/>
    </w:rPr>
  </w:style>
  <w:style w:type="character" w:customStyle="1" w:styleId="DatumChar">
    <w:name w:val="Datum Char"/>
    <w:link w:val="Datum"/>
    <w:rPr>
      <w:sz w:val="24"/>
      <w:lang w:eastAsia="sv-SE"/>
    </w:rPr>
  </w:style>
  <w:style w:type="paragraph" w:styleId="Dokumentversikt">
    <w:name w:val="Document Map"/>
    <w:basedOn w:val="Normal"/>
    <w:link w:val="DokumentversiktChar"/>
    <w:pPr>
      <w:shd w:val="clear" w:color="auto" w:fill="000080"/>
    </w:pPr>
    <w:rPr>
      <w:rFonts w:ascii="Tahoma" w:hAnsi="Tahoma"/>
    </w:rPr>
  </w:style>
  <w:style w:type="character" w:customStyle="1" w:styleId="DokumentversiktChar">
    <w:name w:val="Dokumentöversikt Char"/>
    <w:link w:val="Dokumentversikt"/>
    <w:rPr>
      <w:rFonts w:ascii="Tahoma" w:hAnsi="Tahoma"/>
      <w:sz w:val="24"/>
      <w:shd w:val="clear" w:color="auto" w:fill="000080"/>
      <w:lang w:eastAsia="sv-SE"/>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Slutkommentar">
    <w:name w:val="endnote text"/>
    <w:basedOn w:val="Normal"/>
    <w:link w:val="SlutkommentarChar"/>
    <w:rPr>
      <w:sz w:val="20"/>
    </w:rPr>
  </w:style>
  <w:style w:type="character" w:customStyle="1" w:styleId="SlutkommentarChar">
    <w:name w:val="Slutkommentar Char"/>
    <w:link w:val="Slutkommentar"/>
    <w:rPr>
      <w:lang w:eastAsia="sv-SE"/>
    </w:rPr>
  </w:style>
  <w:style w:type="paragraph" w:styleId="Adress-brev">
    <w:name w:val="envelope address"/>
    <w:basedOn w:val="Normal"/>
    <w:pPr>
      <w:framePr w:w="7920" w:h="1980" w:hRule="exact" w:hSpace="180" w:wrap="auto" w:hAnchor="page" w:xAlign="center" w:yAlign="bottom"/>
      <w:spacing w:after="0"/>
    </w:pPr>
  </w:style>
  <w:style w:type="paragraph" w:styleId="Avsndaradress-brev">
    <w:name w:val="envelope return"/>
    <w:basedOn w:val="Normal"/>
    <w:pPr>
      <w:spacing w:after="0"/>
    </w:pPr>
    <w:rPr>
      <w:sz w:val="20"/>
    </w:rPr>
  </w:style>
  <w:style w:type="paragraph" w:styleId="Sidfot">
    <w:name w:val="footer"/>
    <w:basedOn w:val="Normal"/>
    <w:link w:val="SidfotChar"/>
    <w:pPr>
      <w:spacing w:after="0"/>
      <w:ind w:right="-567"/>
    </w:pPr>
    <w:rPr>
      <w:rFonts w:ascii="Arial" w:hAnsi="Arial"/>
      <w:sz w:val="16"/>
    </w:rPr>
  </w:style>
  <w:style w:type="character" w:customStyle="1" w:styleId="SidfotChar">
    <w:name w:val="Sidfot Char"/>
    <w:link w:val="Sidfot"/>
    <w:uiPriority w:val="99"/>
    <w:rPr>
      <w:rFonts w:ascii="Arial" w:hAnsi="Arial"/>
      <w:sz w:val="16"/>
      <w:lang w:eastAsia="sv-SE"/>
    </w:rPr>
  </w:style>
  <w:style w:type="paragraph" w:styleId="Fotnotstext">
    <w:name w:val="footnote text"/>
    <w:basedOn w:val="Normal"/>
    <w:link w:val="FotnotstextChar"/>
    <w:uiPriority w:val="99"/>
    <w:qFormat/>
    <w:pPr>
      <w:ind w:left="357" w:hanging="357"/>
    </w:pPr>
    <w:rPr>
      <w:sz w:val="20"/>
    </w:rPr>
  </w:style>
  <w:style w:type="character" w:customStyle="1" w:styleId="FotnotstextChar">
    <w:name w:val="Fotnotstext Char"/>
    <w:link w:val="Fotnotstext"/>
    <w:uiPriority w:val="99"/>
    <w:rPr>
      <w:lang w:eastAsia="sv-SE"/>
    </w:rPr>
  </w:style>
  <w:style w:type="paragraph" w:styleId="Sidhuvud">
    <w:name w:val="header"/>
    <w:basedOn w:val="Normal"/>
    <w:link w:val="SidhuvudChar"/>
    <w:pPr>
      <w:tabs>
        <w:tab w:val="center" w:pos="4153"/>
        <w:tab w:val="right" w:pos="8306"/>
      </w:tabs>
    </w:pPr>
  </w:style>
  <w:style w:type="character" w:customStyle="1" w:styleId="SidhuvudChar">
    <w:name w:val="Sidhuvud Char"/>
    <w:link w:val="Sidhuvud"/>
    <w:uiPriority w:val="99"/>
    <w:rPr>
      <w:sz w:val="24"/>
      <w:lang w:eastAsia="sv-SE"/>
    </w:rPr>
  </w:style>
  <w:style w:type="paragraph" w:styleId="Index1">
    <w:name w:val="index 1"/>
    <w:basedOn w:val="Normal"/>
    <w:next w:val="Normal"/>
    <w:link w:val="Index1Char"/>
    <w:autoRedefine/>
    <w:pPr>
      <w:ind w:left="240" w:hanging="240"/>
    </w:pPr>
  </w:style>
  <w:style w:type="character" w:customStyle="1" w:styleId="Index1Char">
    <w:name w:val="Index 1 Char"/>
    <w:basedOn w:val="Standardstycketeckensnitt"/>
    <w:link w:val="Index1"/>
    <w:rPr>
      <w:sz w:val="24"/>
      <w:lang w:eastAsia="sv-SE"/>
    </w:r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284" w:hanging="240"/>
    </w:pPr>
    <w:rPr>
      <w:sz w:val="20"/>
    </w:r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rubrik">
    <w:name w:val="index heading"/>
    <w:basedOn w:val="Normal"/>
    <w:next w:val="Index1"/>
    <w:rPr>
      <w:rFonts w:ascii="Arial" w:hAnsi="Arial"/>
      <w:b/>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Punktlista">
    <w:name w:val="List Bullet"/>
    <w:basedOn w:val="Normal"/>
    <w:pPr>
      <w:tabs>
        <w:tab w:val="num" w:pos="283"/>
      </w:tabs>
      <w:ind w:left="283" w:hanging="283"/>
    </w:pPr>
  </w:style>
  <w:style w:type="paragraph" w:styleId="Punktlista2">
    <w:name w:val="List Bullet 2"/>
    <w:basedOn w:val="Text2"/>
    <w:pPr>
      <w:tabs>
        <w:tab w:val="clear" w:pos="2302"/>
        <w:tab w:val="num" w:pos="1485"/>
      </w:tabs>
      <w:ind w:left="1485" w:hanging="283"/>
    </w:pPr>
  </w:style>
  <w:style w:type="paragraph" w:styleId="Punktlista3">
    <w:name w:val="List Bullet 3"/>
    <w:basedOn w:val="Text3"/>
    <w:pPr>
      <w:tabs>
        <w:tab w:val="clear" w:pos="2302"/>
        <w:tab w:val="num" w:pos="1485"/>
      </w:tabs>
      <w:ind w:left="1485" w:hanging="283"/>
    </w:pPr>
  </w:style>
  <w:style w:type="paragraph" w:styleId="Punktlista4">
    <w:name w:val="List Bullet 4"/>
    <w:basedOn w:val="Text4"/>
    <w:pPr>
      <w:tabs>
        <w:tab w:val="clear" w:pos="2302"/>
        <w:tab w:val="num" w:pos="1485"/>
      </w:tabs>
      <w:ind w:left="1485" w:hanging="283"/>
    </w:pPr>
  </w:style>
  <w:style w:type="paragraph" w:styleId="Punktlista5">
    <w:name w:val="List Bullet 5"/>
    <w:basedOn w:val="Normal"/>
    <w:autoRedefine/>
    <w:pPr>
      <w:tabs>
        <w:tab w:val="num" w:pos="1492"/>
      </w:tabs>
      <w:ind w:left="1492" w:hanging="360"/>
    </w:pPr>
  </w:style>
  <w:style w:type="paragraph" w:styleId="Listafortstt">
    <w:name w:val="List Continue"/>
    <w:basedOn w:val="Normal"/>
    <w:pPr>
      <w:spacing w:after="120"/>
      <w:ind w:left="283"/>
    </w:pPr>
  </w:style>
  <w:style w:type="paragraph" w:styleId="Listafortstt2">
    <w:name w:val="List Continue 2"/>
    <w:basedOn w:val="Normal"/>
    <w:pPr>
      <w:spacing w:after="120"/>
      <w:ind w:left="566"/>
    </w:pPr>
  </w:style>
  <w:style w:type="paragraph" w:styleId="Listafortstt3">
    <w:name w:val="List Continue 3"/>
    <w:basedOn w:val="Normal"/>
    <w:pPr>
      <w:spacing w:after="120"/>
      <w:ind w:left="849"/>
    </w:pPr>
  </w:style>
  <w:style w:type="paragraph" w:styleId="Listafortstt4">
    <w:name w:val="List Continue 4"/>
    <w:basedOn w:val="Normal"/>
    <w:pPr>
      <w:spacing w:after="120"/>
      <w:ind w:left="1132"/>
    </w:pPr>
  </w:style>
  <w:style w:type="paragraph" w:styleId="Listafortstt5">
    <w:name w:val="List Continue 5"/>
    <w:basedOn w:val="Normal"/>
    <w:pPr>
      <w:spacing w:after="120"/>
      <w:ind w:left="1415"/>
    </w:pPr>
  </w:style>
  <w:style w:type="paragraph" w:styleId="Numreradlista">
    <w:name w:val="List Number"/>
    <w:basedOn w:val="Normal"/>
    <w:pPr>
      <w:tabs>
        <w:tab w:val="num" w:pos="709"/>
      </w:tabs>
      <w:ind w:left="709" w:hanging="709"/>
    </w:pPr>
  </w:style>
  <w:style w:type="paragraph" w:styleId="Numreradlista2">
    <w:name w:val="List Number 2"/>
    <w:basedOn w:val="Text2"/>
    <w:pPr>
      <w:tabs>
        <w:tab w:val="clear" w:pos="2302"/>
        <w:tab w:val="num" w:pos="1911"/>
      </w:tabs>
      <w:ind w:left="1911" w:hanging="709"/>
    </w:pPr>
  </w:style>
  <w:style w:type="paragraph" w:styleId="Numreradlista3">
    <w:name w:val="List Number 3"/>
    <w:basedOn w:val="Text3"/>
    <w:pPr>
      <w:tabs>
        <w:tab w:val="clear" w:pos="2302"/>
        <w:tab w:val="num" w:pos="1911"/>
      </w:tabs>
      <w:ind w:left="1911" w:hanging="709"/>
    </w:pPr>
  </w:style>
  <w:style w:type="paragraph" w:styleId="Numreradlista4">
    <w:name w:val="List Number 4"/>
    <w:basedOn w:val="Text4"/>
    <w:pPr>
      <w:tabs>
        <w:tab w:val="clear" w:pos="2302"/>
        <w:tab w:val="num" w:pos="1911"/>
      </w:tabs>
      <w:ind w:left="1911" w:hanging="709"/>
    </w:pPr>
  </w:style>
  <w:style w:type="paragraph" w:styleId="Numreradlista5">
    <w:name w:val="List Number 5"/>
    <w:basedOn w:val="Normal"/>
    <w:pPr>
      <w:tabs>
        <w:tab w:val="num" w:pos="1492"/>
      </w:tabs>
      <w:ind w:left="1492" w:hanging="360"/>
    </w:pPr>
  </w:style>
  <w:style w:type="paragraph" w:styleId="Makrotext">
    <w:name w:val="macro"/>
    <w:link w:val="Mak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character" w:customStyle="1" w:styleId="MakrotextChar">
    <w:name w:val="Makrotext Char"/>
    <w:link w:val="Makrotext"/>
    <w:rPr>
      <w:rFonts w:ascii="Courier New" w:hAnsi="Courier New"/>
      <w:lang w:eastAsia="sv-SE" w:bidi="sv-SE"/>
    </w:rPr>
  </w:style>
  <w:style w:type="paragraph" w:styleId="Meddelanderubrik">
    <w:name w:val="Message Header"/>
    <w:basedOn w:val="Normal"/>
    <w:link w:val="Meddelanderubrik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ddelanderubrikChar">
    <w:name w:val="Meddelanderubrik Char"/>
    <w:link w:val="Meddelanderubrik"/>
    <w:rPr>
      <w:rFonts w:ascii="Arial" w:hAnsi="Arial"/>
      <w:sz w:val="24"/>
      <w:shd w:val="pct20" w:color="auto" w:fill="auto"/>
      <w:lang w:eastAsia="sv-SE"/>
    </w:rPr>
  </w:style>
  <w:style w:type="paragraph" w:styleId="Normaltindrag">
    <w:name w:val="Normal Indent"/>
    <w:basedOn w:val="Normal"/>
    <w:pPr>
      <w:ind w:left="720"/>
    </w:pPr>
  </w:style>
  <w:style w:type="paragraph" w:styleId="Anteckningsrubrik">
    <w:name w:val="Note Heading"/>
    <w:basedOn w:val="Normal"/>
    <w:next w:val="Normal"/>
    <w:link w:val="AnteckningsrubrikChar"/>
  </w:style>
  <w:style w:type="character" w:customStyle="1" w:styleId="AnteckningsrubrikChar">
    <w:name w:val="Anteckningsrubrik Char"/>
    <w:link w:val="Anteckningsrubrik"/>
    <w:rPr>
      <w:sz w:val="24"/>
      <w:lang w:eastAsia="sv-SE"/>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Rubrik1"/>
    <w:next w:val="Text1"/>
    <w:pPr>
      <w:keepNext w:val="0"/>
      <w:spacing w:before="0"/>
      <w:outlineLvl w:val="9"/>
    </w:pPr>
    <w:rPr>
      <w:b w:val="0"/>
      <w:smallCaps w:val="0"/>
    </w:rPr>
  </w:style>
  <w:style w:type="paragraph" w:customStyle="1" w:styleId="NumPar2">
    <w:name w:val="NumPar 2"/>
    <w:basedOn w:val="Rubrik2"/>
    <w:next w:val="Text2"/>
    <w:pPr>
      <w:keepNext w:val="0"/>
      <w:outlineLvl w:val="9"/>
    </w:pPr>
    <w:rPr>
      <w:b w:val="0"/>
    </w:rPr>
  </w:style>
  <w:style w:type="paragraph" w:customStyle="1" w:styleId="NumPar3">
    <w:name w:val="NumPar 3"/>
    <w:basedOn w:val="Rubrik3"/>
    <w:next w:val="Text3"/>
    <w:pPr>
      <w:keepNext w:val="0"/>
      <w:outlineLvl w:val="9"/>
    </w:pPr>
    <w:rPr>
      <w:i/>
    </w:rPr>
  </w:style>
  <w:style w:type="paragraph" w:customStyle="1" w:styleId="NumPar4">
    <w:name w:val="NumPar 4"/>
    <w:basedOn w:val="Rubrik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Oformateradtext">
    <w:name w:val="Plain Text"/>
    <w:basedOn w:val="Normal"/>
    <w:link w:val="OformateradtextChar"/>
    <w:uiPriority w:val="99"/>
    <w:rPr>
      <w:rFonts w:ascii="Courier New" w:hAnsi="Courier New"/>
      <w:sz w:val="20"/>
    </w:rPr>
  </w:style>
  <w:style w:type="character" w:customStyle="1" w:styleId="OformateradtextChar">
    <w:name w:val="Oformaterad text Char"/>
    <w:link w:val="Oformateradtext"/>
    <w:uiPriority w:val="99"/>
    <w:rPr>
      <w:rFonts w:ascii="Courier New" w:hAnsi="Courier New"/>
      <w:lang w:eastAsia="sv-SE"/>
    </w:rPr>
  </w:style>
  <w:style w:type="paragraph" w:styleId="Inledning">
    <w:name w:val="Salutation"/>
    <w:basedOn w:val="Normal"/>
    <w:next w:val="Normal"/>
    <w:link w:val="InledningChar"/>
  </w:style>
  <w:style w:type="character" w:customStyle="1" w:styleId="InledningChar">
    <w:name w:val="Inledning Char"/>
    <w:link w:val="Inledning"/>
    <w:rPr>
      <w:sz w:val="24"/>
      <w:lang w:eastAsia="sv-SE"/>
    </w:rPr>
  </w:style>
  <w:style w:type="paragraph" w:styleId="Signatur">
    <w:name w:val="Signature"/>
    <w:basedOn w:val="Normal"/>
    <w:next w:val="Enclosures"/>
    <w:link w:val="SignaturChar"/>
    <w:pPr>
      <w:tabs>
        <w:tab w:val="left" w:pos="5103"/>
      </w:tabs>
      <w:spacing w:before="1200" w:after="0"/>
      <w:ind w:left="5103"/>
      <w:jc w:val="center"/>
    </w:pPr>
  </w:style>
  <w:style w:type="character" w:customStyle="1" w:styleId="SignaturChar">
    <w:name w:val="Signatur Char"/>
    <w:link w:val="Signatur"/>
    <w:rPr>
      <w:sz w:val="24"/>
      <w:lang w:eastAsia="sv-SE"/>
    </w:rPr>
  </w:style>
  <w:style w:type="paragraph" w:styleId="Underrubrik">
    <w:name w:val="Subtitle"/>
    <w:basedOn w:val="Normal"/>
    <w:link w:val="UnderrubrikChar"/>
    <w:qFormat/>
    <w:pPr>
      <w:spacing w:after="60"/>
      <w:jc w:val="center"/>
      <w:outlineLvl w:val="1"/>
    </w:pPr>
    <w:rPr>
      <w:rFonts w:ascii="Arial" w:hAnsi="Arial"/>
    </w:rPr>
  </w:style>
  <w:style w:type="character" w:customStyle="1" w:styleId="UnderrubrikChar">
    <w:name w:val="Underrubrik Char"/>
    <w:link w:val="Underrubrik"/>
    <w:rPr>
      <w:rFonts w:ascii="Arial" w:hAnsi="Arial"/>
      <w:sz w:val="24"/>
      <w:lang w:eastAsia="sv-SE"/>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Citatfrteckning">
    <w:name w:val="table of authorities"/>
    <w:basedOn w:val="Normal"/>
    <w:next w:val="Normal"/>
    <w:pPr>
      <w:ind w:left="240" w:hanging="240"/>
    </w:pPr>
  </w:style>
  <w:style w:type="paragraph" w:styleId="Figurfrteckning">
    <w:name w:val="table of figures"/>
    <w:basedOn w:val="Normal"/>
    <w:next w:val="Normal"/>
    <w:pPr>
      <w:ind w:left="480" w:hanging="480"/>
    </w:pPr>
  </w:style>
  <w:style w:type="paragraph" w:styleId="Rubrik">
    <w:name w:val="Title"/>
    <w:basedOn w:val="Normal"/>
    <w:next w:val="SubTitle1"/>
    <w:link w:val="RubrikChar"/>
    <w:qFormat/>
    <w:pPr>
      <w:spacing w:after="480"/>
      <w:jc w:val="center"/>
    </w:pPr>
    <w:rPr>
      <w:b/>
      <w:kern w:val="28"/>
      <w:sz w:val="48"/>
    </w:rPr>
  </w:style>
  <w:style w:type="character" w:customStyle="1" w:styleId="RubrikChar">
    <w:name w:val="Rubrik Char"/>
    <w:link w:val="Rubrik"/>
    <w:rPr>
      <w:b/>
      <w:kern w:val="28"/>
      <w:sz w:val="48"/>
      <w:lang w:eastAsia="sv-SE"/>
    </w:rPr>
  </w:style>
  <w:style w:type="paragraph" w:styleId="Citatfrteckningsrubrik">
    <w:name w:val="toa heading"/>
    <w:basedOn w:val="Normal"/>
    <w:next w:val="Normal"/>
    <w:pPr>
      <w:spacing w:before="120"/>
    </w:pPr>
    <w:rPr>
      <w:rFonts w:ascii="Arial" w:hAnsi="Arial"/>
      <w:b/>
    </w:rPr>
  </w:style>
  <w:style w:type="paragraph" w:styleId="Innehll1">
    <w:name w:val="toc 1"/>
    <w:basedOn w:val="Normal"/>
    <w:next w:val="Normal"/>
    <w:uiPriority w:val="39"/>
    <w:qFormat/>
    <w:pPr>
      <w:tabs>
        <w:tab w:val="right" w:leader="dot" w:pos="8640"/>
      </w:tabs>
      <w:spacing w:before="120" w:after="120"/>
      <w:ind w:left="482" w:right="720" w:hanging="482"/>
    </w:pPr>
    <w:rPr>
      <w:caps/>
    </w:rPr>
  </w:style>
  <w:style w:type="paragraph" w:styleId="Innehll2">
    <w:name w:val="toc 2"/>
    <w:basedOn w:val="Normal"/>
    <w:next w:val="Normal"/>
    <w:uiPriority w:val="39"/>
    <w:qFormat/>
    <w:pPr>
      <w:tabs>
        <w:tab w:val="right" w:leader="dot" w:pos="8640"/>
      </w:tabs>
      <w:spacing w:before="60" w:after="60"/>
      <w:ind w:left="1077" w:right="720" w:hanging="595"/>
    </w:pPr>
  </w:style>
  <w:style w:type="paragraph" w:styleId="Innehll3">
    <w:name w:val="toc 3"/>
    <w:basedOn w:val="Normal"/>
    <w:next w:val="Normal"/>
    <w:uiPriority w:val="39"/>
    <w:qFormat/>
    <w:pPr>
      <w:tabs>
        <w:tab w:val="right" w:leader="dot" w:pos="8640"/>
      </w:tabs>
      <w:spacing w:before="60" w:after="60"/>
      <w:ind w:left="1916" w:right="720" w:hanging="839"/>
    </w:pPr>
  </w:style>
  <w:style w:type="paragraph" w:styleId="Innehll4">
    <w:name w:val="toc 4"/>
    <w:basedOn w:val="Normal"/>
    <w:next w:val="Normal"/>
    <w:uiPriority w:val="39"/>
    <w:pPr>
      <w:tabs>
        <w:tab w:val="right" w:leader="dot" w:pos="8641"/>
      </w:tabs>
      <w:spacing w:before="60" w:after="60"/>
      <w:ind w:left="2880" w:right="720" w:hanging="964"/>
    </w:pPr>
  </w:style>
  <w:style w:type="paragraph" w:styleId="Innehll5">
    <w:name w:val="toc 5"/>
    <w:basedOn w:val="Normal"/>
    <w:next w:val="Normal"/>
    <w:uiPriority w:val="39"/>
    <w:pPr>
      <w:tabs>
        <w:tab w:val="right" w:leader="dot" w:pos="8641"/>
      </w:tabs>
      <w:spacing w:before="240" w:after="120"/>
      <w:ind w:right="720"/>
    </w:pPr>
    <w:rPr>
      <w:caps/>
    </w:rPr>
  </w:style>
  <w:style w:type="paragraph" w:styleId="Innehll6">
    <w:name w:val="toc 6"/>
    <w:basedOn w:val="Normal"/>
    <w:next w:val="Normal"/>
    <w:autoRedefine/>
    <w:uiPriority w:val="39"/>
    <w:pPr>
      <w:ind w:left="1200"/>
    </w:pPr>
  </w:style>
  <w:style w:type="paragraph" w:styleId="Innehll7">
    <w:name w:val="toc 7"/>
    <w:basedOn w:val="Normal"/>
    <w:next w:val="Normal"/>
    <w:autoRedefine/>
    <w:uiPriority w:val="39"/>
    <w:pPr>
      <w:ind w:left="1440"/>
    </w:pPr>
  </w:style>
  <w:style w:type="paragraph" w:styleId="Innehll8">
    <w:name w:val="toc 8"/>
    <w:basedOn w:val="Normal"/>
    <w:next w:val="Normal"/>
    <w:autoRedefine/>
    <w:uiPriority w:val="39"/>
    <w:pPr>
      <w:ind w:left="1680"/>
    </w:pPr>
  </w:style>
  <w:style w:type="paragraph" w:styleId="Innehll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tabs>
        <w:tab w:val="num" w:pos="765"/>
      </w:tabs>
      <w:ind w:left="765" w:hanging="283"/>
    </w:pPr>
  </w:style>
  <w:style w:type="paragraph" w:customStyle="1" w:styleId="ListDash">
    <w:name w:val="List Dash"/>
    <w:basedOn w:val="Normal"/>
    <w:pPr>
      <w:tabs>
        <w:tab w:val="num" w:pos="283"/>
      </w:tabs>
      <w:ind w:left="283" w:hanging="283"/>
    </w:pPr>
  </w:style>
  <w:style w:type="paragraph" w:customStyle="1" w:styleId="ListDash1">
    <w:name w:val="List Dash 1"/>
    <w:basedOn w:val="Text1"/>
    <w:pPr>
      <w:tabs>
        <w:tab w:val="num" w:pos="765"/>
      </w:tabs>
      <w:ind w:left="765" w:hanging="283"/>
    </w:pPr>
  </w:style>
  <w:style w:type="paragraph" w:customStyle="1" w:styleId="ListDash2">
    <w:name w:val="List Dash 2"/>
    <w:basedOn w:val="Text2"/>
    <w:pPr>
      <w:tabs>
        <w:tab w:val="clear" w:pos="2302"/>
        <w:tab w:val="num" w:pos="1485"/>
      </w:tabs>
      <w:ind w:left="1485" w:hanging="283"/>
    </w:pPr>
  </w:style>
  <w:style w:type="paragraph" w:customStyle="1" w:styleId="ListDash3">
    <w:name w:val="List Dash 3"/>
    <w:basedOn w:val="Text3"/>
    <w:pPr>
      <w:tabs>
        <w:tab w:val="clear" w:pos="2302"/>
        <w:tab w:val="num" w:pos="1485"/>
      </w:tabs>
      <w:ind w:left="1485" w:hanging="283"/>
    </w:pPr>
  </w:style>
  <w:style w:type="paragraph" w:customStyle="1" w:styleId="ListDash4">
    <w:name w:val="List Dash 4"/>
    <w:basedOn w:val="Text4"/>
    <w:pPr>
      <w:tabs>
        <w:tab w:val="clear" w:pos="2302"/>
        <w:tab w:val="num" w:pos="1485"/>
      </w:tabs>
      <w:ind w:left="1485" w:hanging="283"/>
    </w:pPr>
  </w:style>
  <w:style w:type="paragraph" w:customStyle="1" w:styleId="ListNumberLevel2">
    <w:name w:val="List Number (Level 2)"/>
    <w:basedOn w:val="Normal"/>
    <w:pPr>
      <w:tabs>
        <w:tab w:val="num" w:pos="1417"/>
      </w:tabs>
      <w:ind w:left="1417" w:hanging="708"/>
    </w:pPr>
  </w:style>
  <w:style w:type="paragraph" w:customStyle="1" w:styleId="ListNumberLevel3">
    <w:name w:val="List Number (Level 3)"/>
    <w:basedOn w:val="Normal"/>
    <w:pPr>
      <w:tabs>
        <w:tab w:val="num" w:pos="2126"/>
      </w:tabs>
      <w:ind w:left="2126" w:hanging="709"/>
    </w:pPr>
  </w:style>
  <w:style w:type="paragraph" w:customStyle="1" w:styleId="ListNumberLevel4">
    <w:name w:val="List Number (Level 4)"/>
    <w:basedOn w:val="Normal"/>
    <w:pPr>
      <w:tabs>
        <w:tab w:val="num" w:pos="2835"/>
      </w:tabs>
      <w:ind w:left="2835" w:hanging="709"/>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tabs>
        <w:tab w:val="num" w:pos="1899"/>
      </w:tabs>
      <w:ind w:left="1899" w:hanging="708"/>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tabs>
        <w:tab w:val="clear" w:pos="2302"/>
        <w:tab w:val="num" w:pos="3328"/>
      </w:tabs>
      <w:ind w:left="3328" w:hanging="709"/>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tabs>
        <w:tab w:val="clear" w:pos="2302"/>
        <w:tab w:val="num" w:pos="2619"/>
      </w:tabs>
      <w:ind w:left="2619" w:hanging="708"/>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tabs>
        <w:tab w:val="clear" w:pos="2302"/>
        <w:tab w:val="num" w:pos="2619"/>
      </w:tabs>
      <w:ind w:left="2619" w:hanging="708"/>
    </w:pPr>
  </w:style>
  <w:style w:type="paragraph" w:customStyle="1" w:styleId="ListNumber4Level3">
    <w:name w:val="List Number 4 (Level 3)"/>
    <w:basedOn w:val="Text4"/>
    <w:pPr>
      <w:tabs>
        <w:tab w:val="clear" w:pos="2302"/>
        <w:tab w:val="num" w:pos="3328"/>
      </w:tabs>
      <w:ind w:left="3328" w:hanging="709"/>
    </w:pPr>
  </w:style>
  <w:style w:type="paragraph" w:customStyle="1" w:styleId="ListNumber4Level4">
    <w:name w:val="List Number 4 (Level 4)"/>
    <w:basedOn w:val="Text4"/>
    <w:pPr>
      <w:tabs>
        <w:tab w:val="clear" w:pos="2302"/>
        <w:tab w:val="num" w:pos="4037"/>
      </w:tabs>
      <w:ind w:left="4037" w:hanging="709"/>
    </w:pPr>
  </w:style>
  <w:style w:type="paragraph" w:styleId="Innehllsfrteckningsrubrik">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rPr>
  </w:style>
  <w:style w:type="paragraph" w:customStyle="1" w:styleId="ZDGName">
    <w:name w:val="Z_DGName"/>
    <w:basedOn w:val="Normal"/>
    <w:uiPriority w:val="99"/>
    <w:pPr>
      <w:widowControl w:val="0"/>
      <w:autoSpaceDE w:val="0"/>
      <w:autoSpaceDN w:val="0"/>
      <w:spacing w:after="0"/>
      <w:ind w:right="85"/>
    </w:pPr>
    <w:rPr>
      <w:rFonts w:ascii="Arial" w:hAnsi="Arial" w:cs="Arial"/>
      <w:sz w:val="16"/>
      <w:szCs w:val="16"/>
    </w:rPr>
  </w:style>
  <w:style w:type="paragraph" w:styleId="Normalwebb">
    <w:name w:val="Normal (Web)"/>
    <w:basedOn w:val="Normal"/>
    <w:uiPriority w:val="99"/>
    <w:pPr>
      <w:spacing w:before="100" w:beforeAutospacing="1" w:after="100" w:afterAutospacing="1"/>
    </w:pPr>
    <w:rPr>
      <w:szCs w:val="24"/>
    </w:rPr>
  </w:style>
  <w:style w:type="character" w:styleId="Hyperlnk">
    <w:name w:val="Hyperlink"/>
    <w:uiPriority w:val="99"/>
    <w:unhideWhenUsed/>
    <w:rPr>
      <w:noProof/>
      <w:color w:val="0000FF"/>
      <w:u w:val="single"/>
    </w:rPr>
  </w:style>
  <w:style w:type="table" w:styleId="Tabellrutnt">
    <w:name w:val="Table Grid"/>
    <w:basedOn w:val="Normaltabel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tnotsreferens">
    <w:name w:val="footnote reference"/>
    <w:aliases w:val="Footnote Reference Superscript,Footnote Reference/,Footnote Reference text,Footnote symbol,Voetnootverwijzing,footnote ref,FR,Fußnotenzeichen diss neu,Times 10 Point,Exposant 3 Point,Odwołanie przypisu,number,SUPERS, Exposant 3 Point"/>
    <w:uiPriority w:val="99"/>
    <w:unhideWhenUsed/>
    <w:qFormat/>
    <w:rPr>
      <w:vertAlign w:val="superscript"/>
    </w:rPr>
  </w:style>
  <w:style w:type="paragraph" w:styleId="Ballongtext">
    <w:name w:val="Balloon Text"/>
    <w:basedOn w:val="Normal"/>
    <w:link w:val="BallongtextChar"/>
    <w:unhideWhenUsed/>
    <w:pPr>
      <w:spacing w:after="0"/>
    </w:pPr>
    <w:rPr>
      <w:rFonts w:ascii="Tahoma" w:hAnsi="Tahoma"/>
      <w:sz w:val="16"/>
      <w:szCs w:val="16"/>
    </w:rPr>
  </w:style>
  <w:style w:type="character" w:customStyle="1" w:styleId="BallongtextChar">
    <w:name w:val="Ballongtext Char"/>
    <w:link w:val="Ballongtext"/>
    <w:uiPriority w:val="99"/>
    <w:rPr>
      <w:rFonts w:ascii="Tahoma" w:hAnsi="Tahoma" w:cs="Tahoma"/>
      <w:sz w:val="16"/>
      <w:szCs w:val="16"/>
      <w:lang w:eastAsia="sv-SE"/>
    </w:rPr>
  </w:style>
  <w:style w:type="character" w:styleId="Kommentarsreferens">
    <w:name w:val="annotation reference"/>
    <w:uiPriority w:val="99"/>
    <w:unhideWhenUsed/>
    <w:rPr>
      <w:sz w:val="16"/>
      <w:szCs w:val="16"/>
    </w:rPr>
  </w:style>
  <w:style w:type="paragraph" w:styleId="Kommentarsmne">
    <w:name w:val="annotation subject"/>
    <w:basedOn w:val="Kommentarer"/>
    <w:next w:val="Kommentarer"/>
    <w:link w:val="KommentarsmneChar"/>
    <w:unhideWhenUsed/>
    <w:rPr>
      <w:b/>
      <w:bCs/>
    </w:rPr>
  </w:style>
  <w:style w:type="character" w:customStyle="1" w:styleId="KommentarsmneChar">
    <w:name w:val="Kommentarsämne Char"/>
    <w:link w:val="Kommentarsmne"/>
    <w:uiPriority w:val="99"/>
    <w:rPr>
      <w:b/>
      <w:bCs/>
      <w:lang w:eastAsia="sv-SE"/>
    </w:rPr>
  </w:style>
  <w:style w:type="paragraph" w:styleId="Revision">
    <w:name w:val="Revision"/>
    <w:hidden/>
    <w:uiPriority w:val="99"/>
    <w:semiHidden/>
    <w:rPr>
      <w:sz w:val="24"/>
    </w:rPr>
  </w:style>
  <w:style w:type="paragraph" w:customStyle="1" w:styleId="Bullet">
    <w:name w:val="Bullet"/>
    <w:basedOn w:val="Normal"/>
    <w:pPr>
      <w:tabs>
        <w:tab w:val="num" w:pos="1440"/>
      </w:tabs>
      <w:ind w:left="1440" w:hanging="360"/>
    </w:pPr>
  </w:style>
  <w:style w:type="character" w:styleId="Betoning">
    <w:name w:val="Emphasis"/>
    <w:qFormat/>
    <w:rPr>
      <w:i/>
      <w:iCs/>
    </w:rPr>
  </w:style>
  <w:style w:type="character" w:styleId="AnvndHyperlnk">
    <w:name w:val="FollowedHyperlink"/>
    <w:uiPriority w:val="99"/>
    <w:unhideWhenUsed/>
    <w:rPr>
      <w:color w:val="800080"/>
      <w:u w:val="single"/>
    </w:rPr>
  </w:style>
  <w:style w:type="paragraph" w:styleId="Liststycke">
    <w:name w:val="List Paragraph"/>
    <w:basedOn w:val="Normal"/>
    <w:uiPriority w:val="34"/>
    <w:qFormat/>
    <w:pPr>
      <w:ind w:left="720"/>
      <w:contextualSpacing/>
    </w:pPr>
  </w:style>
  <w:style w:type="paragraph" w:customStyle="1" w:styleId="CM1">
    <w:name w:val="CM1"/>
    <w:basedOn w:val="Normal"/>
    <w:next w:val="Normal"/>
    <w:uiPriority w:val="99"/>
    <w:pPr>
      <w:autoSpaceDE w:val="0"/>
      <w:autoSpaceDN w:val="0"/>
      <w:adjustRightInd w:val="0"/>
      <w:spacing w:after="0"/>
    </w:pPr>
    <w:rPr>
      <w:rFonts w:ascii="EUAlbertina" w:eastAsia="Calibri" w:hAnsi="EUAlbertina" w:cs="Arial"/>
      <w:szCs w:val="24"/>
    </w:rPr>
  </w:style>
  <w:style w:type="paragraph" w:customStyle="1" w:styleId="ListParagraph1">
    <w:name w:val="List Paragraph1"/>
    <w:basedOn w:val="Normal"/>
    <w:qFormat/>
    <w:pPr>
      <w:spacing w:after="0"/>
      <w:ind w:left="720"/>
      <w:contextualSpacing/>
    </w:pPr>
    <w:rPr>
      <w:szCs w:val="24"/>
    </w:rPr>
  </w:style>
  <w:style w:type="character" w:customStyle="1" w:styleId="BodyTextChar">
    <w:name w:val="Body Text Char"/>
    <w:uiPriority w:val="99"/>
    <w:rPr>
      <w:rFonts w:ascii="Times New Roman" w:eastAsia="Times New Roman" w:hAnsi="Times New Roman" w:cs="Times New Roman"/>
      <w:sz w:val="24"/>
    </w:rPr>
  </w:style>
  <w:style w:type="table" w:customStyle="1" w:styleId="TableGrid1">
    <w:name w:val="Table Grid1"/>
    <w:basedOn w:val="Normaltabell"/>
    <w:next w:val="Tabellrutn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ell"/>
    <w:next w:val="Tabellrutn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header21">
    <w:name w:val="elementheader21"/>
    <w:rPr>
      <w:rFonts w:ascii="Arial" w:hAnsi="Arial" w:cs="Arial" w:hint="default"/>
      <w:b/>
      <w:bCs/>
      <w:color w:val="000000"/>
      <w:sz w:val="20"/>
      <w:szCs w:val="20"/>
    </w:rPr>
  </w:style>
  <w:style w:type="character" w:customStyle="1" w:styleId="schemasubdata1">
    <w:name w:val="schemasubdata1"/>
    <w:rPr>
      <w:rFonts w:ascii="Arial" w:hAnsi="Arial" w:cs="Arial" w:hint="default"/>
      <w:color w:val="000000"/>
      <w:sz w:val="16"/>
      <w:szCs w:val="16"/>
    </w:rPr>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customStyle="1" w:styleId="CM3">
    <w:name w:val="CM3"/>
    <w:basedOn w:val="Default"/>
    <w:next w:val="Default"/>
    <w:uiPriority w:val="99"/>
    <w:rPr>
      <w:rFonts w:cs="Times New Roman"/>
      <w:color w:val="auto"/>
    </w:rPr>
  </w:style>
  <w:style w:type="character" w:styleId="Diskretbetoning">
    <w:name w:val="Subtle Emphasis"/>
    <w:uiPriority w:val="19"/>
    <w:qFormat/>
    <w:rPr>
      <w:i/>
      <w:iCs/>
      <w:color w:val="808080"/>
    </w:rPr>
  </w:style>
  <w:style w:type="character" w:customStyle="1" w:styleId="schemasubtitle1">
    <w:name w:val="schemasubtitle1"/>
    <w:rPr>
      <w:rFonts w:ascii="Arial" w:hAnsi="Arial" w:cs="Arial" w:hint="default"/>
      <w:color w:val="808080"/>
      <w:sz w:val="16"/>
      <w:szCs w:val="16"/>
    </w:rPr>
  </w:style>
  <w:style w:type="paragraph" w:customStyle="1" w:styleId="font5">
    <w:name w:val="font5"/>
    <w:basedOn w:val="Normal"/>
    <w:pPr>
      <w:spacing w:before="100" w:beforeAutospacing="1" w:after="100" w:afterAutospacing="1"/>
    </w:pPr>
    <w:rPr>
      <w:rFonts w:ascii="Arial" w:hAnsi="Arial" w:cs="Arial"/>
      <w:color w:val="000000"/>
      <w:sz w:val="20"/>
    </w:rPr>
  </w:style>
  <w:style w:type="paragraph" w:customStyle="1" w:styleId="font6">
    <w:name w:val="font6"/>
    <w:basedOn w:val="Normal"/>
    <w:pPr>
      <w:spacing w:before="100" w:beforeAutospacing="1" w:after="100" w:afterAutospacing="1"/>
    </w:pPr>
    <w:rPr>
      <w:rFonts w:ascii="Arial" w:hAnsi="Arial" w:cs="Arial"/>
      <w:color w:val="000000"/>
      <w:sz w:val="20"/>
    </w:rPr>
  </w:style>
  <w:style w:type="paragraph" w:customStyle="1" w:styleId="font7">
    <w:name w:val="font7"/>
    <w:basedOn w:val="Normal"/>
    <w:pPr>
      <w:spacing w:before="100" w:beforeAutospacing="1" w:after="100" w:afterAutospacing="1"/>
    </w:pPr>
    <w:rPr>
      <w:rFonts w:ascii="Arial" w:hAnsi="Arial" w:cs="Arial"/>
      <w:color w:val="000000"/>
      <w:sz w:val="20"/>
    </w:rPr>
  </w:style>
  <w:style w:type="paragraph" w:customStyle="1" w:styleId="font8">
    <w:name w:val="font8"/>
    <w:basedOn w:val="Normal"/>
    <w:pPr>
      <w:spacing w:before="100" w:beforeAutospacing="1" w:after="100" w:afterAutospacing="1"/>
    </w:pPr>
    <w:rPr>
      <w:rFonts w:ascii="Arial" w:hAnsi="Arial" w:cs="Arial"/>
      <w:color w:val="000000"/>
      <w:sz w:val="20"/>
      <w:u w:val="single"/>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color w:val="000000"/>
      <w:sz w:val="20"/>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sz w:val="20"/>
    </w:rPr>
  </w:style>
  <w:style w:type="paragraph" w:customStyle="1" w:styleId="xl65">
    <w:name w:val="xl65"/>
    <w:basedOn w:val="Normal"/>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b/>
      <w:bCs/>
      <w:sz w:val="20"/>
    </w:rPr>
  </w:style>
  <w:style w:type="paragraph" w:customStyle="1" w:styleId="xl66">
    <w:name w:val="xl66"/>
    <w:basedOn w:val="Normal"/>
    <w:pPr>
      <w:spacing w:before="100" w:beforeAutospacing="1" w:after="100" w:afterAutospacing="1"/>
      <w:textAlignment w:val="top"/>
    </w:pPr>
    <w:rPr>
      <w:rFonts w:ascii="Arial" w:hAnsi="Arial" w:cs="Arial"/>
      <w:sz w:val="20"/>
    </w:rPr>
  </w:style>
  <w:style w:type="paragraph" w:customStyle="1" w:styleId="xl67">
    <w:name w:val="xl67"/>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69">
    <w:name w:val="xl69"/>
    <w:basedOn w:val="Normal"/>
    <w:pPr>
      <w:pBdr>
        <w:left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71">
    <w:name w:val="xl71"/>
    <w:basedOn w:val="Normal"/>
    <w:pPr>
      <w:pBdr>
        <w:right w:val="single" w:sz="4" w:space="0" w:color="auto"/>
      </w:pBdr>
      <w:spacing w:before="100" w:beforeAutospacing="1" w:after="100" w:afterAutospacing="1"/>
      <w:textAlignment w:val="top"/>
    </w:pPr>
    <w:rPr>
      <w:rFonts w:ascii="Arial" w:hAnsi="Arial" w:cs="Arial"/>
      <w:color w:val="000000"/>
      <w:sz w:val="20"/>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73">
    <w:name w:val="xl73"/>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78">
    <w:name w:val="xl78"/>
    <w:basedOn w:val="Normal"/>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79">
    <w:name w:val="xl79"/>
    <w:basedOn w:val="Normal"/>
    <w:pPr>
      <w:pBdr>
        <w:top w:val="single" w:sz="4" w:space="0" w:color="auto"/>
        <w:left w:val="single" w:sz="4" w:space="0" w:color="auto"/>
        <w:right w:val="single" w:sz="4" w:space="0" w:color="auto"/>
      </w:pBdr>
      <w:shd w:val="clear" w:color="000000" w:fill="A6A6A6"/>
      <w:spacing w:before="100" w:beforeAutospacing="1" w:after="100" w:afterAutospacing="1"/>
    </w:pPr>
    <w:rPr>
      <w:rFonts w:ascii="Arial" w:hAnsi="Arial" w:cs="Arial"/>
      <w:color w:val="000000"/>
      <w:sz w:val="20"/>
    </w:rPr>
  </w:style>
  <w:style w:type="paragraph" w:customStyle="1" w:styleId="xl80">
    <w:name w:val="xl80"/>
    <w:basedOn w:val="Normal"/>
    <w:pPr>
      <w:pBdr>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81">
    <w:name w:val="xl81"/>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82">
    <w:name w:val="xl82"/>
    <w:basedOn w:val="Normal"/>
    <w:pPr>
      <w:pBdr>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84">
    <w:name w:val="xl84"/>
    <w:basedOn w:val="Normal"/>
    <w:pPr>
      <w:pBdr>
        <w:top w:val="single" w:sz="4" w:space="0" w:color="auto"/>
        <w:left w:val="single" w:sz="4" w:space="0" w:color="auto"/>
      </w:pBdr>
      <w:spacing w:before="100" w:beforeAutospacing="1" w:after="100" w:afterAutospacing="1"/>
      <w:textAlignment w:val="top"/>
    </w:pPr>
    <w:rPr>
      <w:rFonts w:ascii="Arial" w:hAnsi="Arial" w:cs="Arial"/>
      <w:sz w:val="20"/>
    </w:rPr>
  </w:style>
  <w:style w:type="paragraph" w:customStyle="1" w:styleId="xl85">
    <w:name w:val="xl85"/>
    <w:basedOn w:val="Normal"/>
    <w:pPr>
      <w:pBdr>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rPr>
  </w:style>
  <w:style w:type="paragraph" w:customStyle="1" w:styleId="xl89">
    <w:name w:val="xl89"/>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color w:val="000000"/>
      <w:sz w:val="20"/>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94">
    <w:name w:val="xl94"/>
    <w:basedOn w:val="Normal"/>
    <w:pPr>
      <w:spacing w:before="100" w:beforeAutospacing="1" w:after="100" w:afterAutospacing="1"/>
      <w:textAlignment w:val="top"/>
    </w:pPr>
    <w:rPr>
      <w:rFonts w:ascii="Arial" w:hAnsi="Arial" w:cs="Arial"/>
      <w:sz w:val="20"/>
    </w:rPr>
  </w:style>
  <w:style w:type="paragraph" w:customStyle="1" w:styleId="xl95">
    <w:name w:val="xl95"/>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101">
    <w:name w:val="xl101"/>
    <w:basedOn w:val="Normal"/>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rPr>
  </w:style>
  <w:style w:type="paragraph" w:customStyle="1" w:styleId="xl103">
    <w:name w:val="xl103"/>
    <w:basedOn w:val="Normal"/>
    <w:pPr>
      <w:shd w:val="clear" w:color="000000" w:fill="A6A6A6"/>
      <w:spacing w:before="100" w:beforeAutospacing="1" w:after="100" w:afterAutospacing="1"/>
      <w:textAlignment w:val="top"/>
    </w:pPr>
    <w:rPr>
      <w:rFonts w:ascii="Arial" w:hAnsi="Arial" w:cs="Arial"/>
      <w:sz w:val="20"/>
    </w:rPr>
  </w:style>
  <w:style w:type="paragraph" w:customStyle="1" w:styleId="xl104">
    <w:name w:val="xl104"/>
    <w:basedOn w:val="Normal"/>
    <w:pPr>
      <w:shd w:val="clear" w:color="000000" w:fill="A6A6A6"/>
      <w:spacing w:before="100" w:beforeAutospacing="1" w:after="100" w:afterAutospacing="1"/>
      <w:textAlignment w:val="top"/>
    </w:pPr>
    <w:rPr>
      <w:rFonts w:ascii="Arial" w:hAnsi="Arial" w:cs="Arial"/>
      <w:sz w:val="20"/>
    </w:rPr>
  </w:style>
  <w:style w:type="paragraph" w:customStyle="1" w:styleId="xl105">
    <w:name w:val="xl105"/>
    <w:basedOn w:val="Normal"/>
    <w:pPr>
      <w:pBdr>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06">
    <w:name w:val="xl106"/>
    <w:basedOn w:val="Normal"/>
    <w:pPr>
      <w:pBdr>
        <w:right w:val="single" w:sz="4" w:space="0" w:color="auto"/>
      </w:pBdr>
      <w:spacing w:before="100" w:beforeAutospacing="1" w:after="100" w:afterAutospacing="1"/>
      <w:textAlignment w:val="top"/>
    </w:pPr>
    <w:rPr>
      <w:rFonts w:ascii="Arial" w:hAnsi="Arial" w:cs="Arial"/>
      <w:sz w:val="20"/>
    </w:rPr>
  </w:style>
  <w:style w:type="paragraph" w:customStyle="1" w:styleId="xl107">
    <w:name w:val="xl107"/>
    <w:basedOn w:val="Normal"/>
    <w:pPr>
      <w:pBdr>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08">
    <w:name w:val="xl108"/>
    <w:basedOn w:val="Normal"/>
    <w:pPr>
      <w:pBdr>
        <w:top w:val="single" w:sz="4" w:space="0" w:color="auto"/>
        <w:left w:val="single" w:sz="4" w:space="0" w:color="auto"/>
      </w:pBdr>
      <w:spacing w:before="100" w:beforeAutospacing="1" w:after="100" w:afterAutospacing="1"/>
      <w:textAlignment w:val="top"/>
    </w:pPr>
    <w:rPr>
      <w:rFonts w:ascii="Arial" w:hAnsi="Arial" w:cs="Arial"/>
      <w:sz w:val="20"/>
    </w:rPr>
  </w:style>
  <w:style w:type="paragraph" w:customStyle="1" w:styleId="xl109">
    <w:name w:val="xl109"/>
    <w:basedOn w:val="Normal"/>
    <w:pPr>
      <w:pBdr>
        <w:left w:val="single" w:sz="4" w:space="0" w:color="auto"/>
      </w:pBdr>
      <w:spacing w:before="100" w:beforeAutospacing="1" w:after="100" w:afterAutospacing="1"/>
      <w:textAlignment w:val="top"/>
    </w:pPr>
    <w:rPr>
      <w:rFonts w:ascii="Arial" w:hAnsi="Arial" w:cs="Arial"/>
      <w:sz w:val="20"/>
    </w:rPr>
  </w:style>
  <w:style w:type="paragraph" w:customStyle="1" w:styleId="xl110">
    <w:name w:val="xl110"/>
    <w:basedOn w:val="Normal"/>
    <w:pPr>
      <w:pBdr>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111">
    <w:name w:val="xl111"/>
    <w:basedOn w:val="Normal"/>
    <w:pPr>
      <w:pBdr>
        <w:top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12">
    <w:name w:val="xl112"/>
    <w:basedOn w:val="Normal"/>
    <w:pPr>
      <w:pBdr>
        <w:left w:val="single" w:sz="4" w:space="0" w:color="auto"/>
        <w:right w:val="single" w:sz="4" w:space="0" w:color="auto"/>
      </w:pBdr>
      <w:spacing w:before="100" w:beforeAutospacing="1" w:after="100" w:afterAutospacing="1"/>
      <w:textAlignment w:val="top"/>
    </w:pPr>
    <w:rPr>
      <w:rFonts w:ascii="Arial" w:hAnsi="Arial" w:cs="Arial"/>
      <w:sz w:val="20"/>
    </w:rPr>
  </w:style>
  <w:style w:type="character" w:styleId="Slutkommentarsreferens">
    <w:name w:val="endnote reference"/>
    <w:uiPriority w:val="99"/>
    <w:semiHidden/>
    <w:unhideWhenUsed/>
    <w:rPr>
      <w:vertAlign w:val="superscript"/>
    </w:rPr>
  </w:style>
  <w:style w:type="character" w:styleId="Stark">
    <w:name w:val="Strong"/>
    <w:basedOn w:val="Standardstycketeckensnitt"/>
    <w:uiPriority w:val="22"/>
    <w:qFormat/>
    <w:rPr>
      <w:b/>
      <w:bCs/>
    </w:rPr>
  </w:style>
  <w:style w:type="character" w:customStyle="1" w:styleId="apple-converted-space">
    <w:name w:val="apple-converted-space"/>
    <w:basedOn w:val="Standardstycketeckensnitt"/>
  </w:style>
  <w:style w:type="paragraph" w:customStyle="1" w:styleId="Text10">
    <w:name w:val="Text1"/>
    <w:basedOn w:val="Text"/>
    <w:link w:val="Text1Char"/>
    <w:pPr>
      <w:ind w:left="936"/>
    </w:pPr>
  </w:style>
  <w:style w:type="paragraph" w:customStyle="1" w:styleId="Text">
    <w:name w:val="Text"/>
    <w:basedOn w:val="Normal"/>
    <w:link w:val="TextChar"/>
    <w:pPr>
      <w:spacing w:after="120" w:line="269" w:lineRule="auto"/>
    </w:pPr>
    <w:rPr>
      <w:rFonts w:ascii="Arial" w:hAnsi="Arial" w:cs="Arial"/>
      <w:sz w:val="20"/>
      <w:szCs w:val="22"/>
    </w:rPr>
  </w:style>
  <w:style w:type="character" w:customStyle="1" w:styleId="TextChar">
    <w:name w:val="Text Char"/>
    <w:basedOn w:val="Standardstycketeckensnitt"/>
    <w:link w:val="Text"/>
    <w:rPr>
      <w:rFonts w:ascii="Arial" w:hAnsi="Arial" w:cs="Arial"/>
      <w:szCs w:val="22"/>
      <w:lang w:eastAsia="sv-SE"/>
    </w:rPr>
  </w:style>
  <w:style w:type="character" w:customStyle="1" w:styleId="Text1Char">
    <w:name w:val="Text1 Char"/>
    <w:basedOn w:val="TextChar"/>
    <w:link w:val="Text10"/>
    <w:rPr>
      <w:rFonts w:ascii="Arial" w:hAnsi="Arial" w:cs="Arial"/>
      <w:szCs w:val="22"/>
      <w:lang w:eastAsia="sv-SE"/>
    </w:rPr>
  </w:style>
  <w:style w:type="paragraph" w:customStyle="1" w:styleId="AppendixHeading">
    <w:name w:val="AppendixHeading"/>
    <w:basedOn w:val="Normal"/>
    <w:next w:val="Text10"/>
    <w:pPr>
      <w:spacing w:after="120" w:line="269" w:lineRule="auto"/>
      <w:jc w:val="center"/>
    </w:pPr>
    <w:rPr>
      <w:rFonts w:ascii="Arial" w:hAnsi="Arial" w:cs="Arial"/>
      <w:color w:val="394A58"/>
      <w:sz w:val="48"/>
      <w:szCs w:val="22"/>
    </w:rPr>
  </w:style>
  <w:style w:type="paragraph" w:customStyle="1" w:styleId="QAText">
    <w:name w:val="QAText"/>
    <w:basedOn w:val="Normal"/>
    <w:pPr>
      <w:spacing w:before="120" w:after="120"/>
    </w:pPr>
    <w:rPr>
      <w:rFonts w:ascii="Arial" w:hAnsi="Arial" w:cs="Arial"/>
      <w:sz w:val="20"/>
      <w:szCs w:val="22"/>
    </w:rPr>
  </w:style>
  <w:style w:type="paragraph" w:customStyle="1" w:styleId="QAProjectTitle">
    <w:name w:val="QAProject Title"/>
    <w:basedOn w:val="Normal"/>
    <w:pPr>
      <w:spacing w:after="0"/>
      <w:jc w:val="center"/>
    </w:pPr>
    <w:rPr>
      <w:rFonts w:ascii="Arial" w:hAnsi="Arial" w:cs="Arial"/>
      <w:b/>
      <w:sz w:val="48"/>
      <w:szCs w:val="22"/>
    </w:rPr>
  </w:style>
  <w:style w:type="paragraph" w:customStyle="1" w:styleId="DocHistory">
    <w:name w:val="DocHistory"/>
    <w:basedOn w:val="Normal"/>
    <w:pPr>
      <w:spacing w:after="120" w:line="269" w:lineRule="auto"/>
    </w:pPr>
    <w:rPr>
      <w:rFonts w:ascii="Arial" w:hAnsi="Arial" w:cs="Arial"/>
      <w:b/>
      <w:szCs w:val="22"/>
    </w:rPr>
  </w:style>
  <w:style w:type="paragraph" w:customStyle="1" w:styleId="Contents">
    <w:name w:val="Contents"/>
    <w:basedOn w:val="Normal"/>
    <w:next w:val="Text"/>
    <w:pPr>
      <w:spacing w:before="480" w:after="120" w:line="269" w:lineRule="auto"/>
    </w:pPr>
    <w:rPr>
      <w:rFonts w:ascii="Arial Bold" w:hAnsi="Arial Bold" w:cs="Arial"/>
      <w:b/>
      <w:color w:val="394A58"/>
      <w:sz w:val="48"/>
      <w:szCs w:val="22"/>
    </w:rPr>
  </w:style>
  <w:style w:type="paragraph" w:customStyle="1" w:styleId="StrapLine">
    <w:name w:val="Strap Line"/>
    <w:basedOn w:val="Normal"/>
    <w:pPr>
      <w:spacing w:after="0" w:line="269" w:lineRule="auto"/>
    </w:pPr>
    <w:rPr>
      <w:rFonts w:ascii="Arial" w:hAnsi="Arial" w:cs="Arial"/>
      <w:b/>
      <w:color w:val="0083BE"/>
      <w:sz w:val="16"/>
      <w:szCs w:val="22"/>
    </w:rPr>
  </w:style>
  <w:style w:type="character" w:styleId="Sidnummer">
    <w:name w:val="page number"/>
    <w:basedOn w:val="Standardstycketeckensnitt"/>
    <w:rPr>
      <w:rFonts w:ascii="Arial" w:hAnsi="Arial"/>
      <w:b/>
      <w:sz w:val="16"/>
    </w:rPr>
  </w:style>
  <w:style w:type="paragraph" w:customStyle="1" w:styleId="Contents1">
    <w:name w:val="Contents1"/>
    <w:basedOn w:val="Normal"/>
    <w:pPr>
      <w:spacing w:after="120" w:line="269" w:lineRule="auto"/>
    </w:pPr>
    <w:rPr>
      <w:rFonts w:ascii="Arial Bold" w:hAnsi="Arial Bold" w:cs="Arial"/>
      <w:b/>
      <w:color w:val="394A58"/>
      <w:sz w:val="30"/>
      <w:szCs w:val="22"/>
    </w:rPr>
  </w:style>
  <w:style w:type="paragraph" w:customStyle="1" w:styleId="ListofTabs">
    <w:name w:val="List of Tabs"/>
    <w:basedOn w:val="Normal"/>
    <w:pPr>
      <w:spacing w:after="120" w:line="269" w:lineRule="auto"/>
    </w:pPr>
    <w:rPr>
      <w:rFonts w:ascii="Arial" w:hAnsi="Arial" w:cs="Arial"/>
      <w:b/>
      <w:color w:val="394A58"/>
      <w:sz w:val="20"/>
      <w:szCs w:val="22"/>
    </w:rPr>
  </w:style>
  <w:style w:type="paragraph" w:customStyle="1" w:styleId="Exec">
    <w:name w:val="Exec"/>
    <w:basedOn w:val="Normal"/>
    <w:next w:val="Text"/>
    <w:pPr>
      <w:keepNext/>
      <w:spacing w:before="480" w:line="269" w:lineRule="auto"/>
    </w:pPr>
    <w:rPr>
      <w:rFonts w:ascii="Arial" w:hAnsi="Arial" w:cs="Arial"/>
      <w:color w:val="394A58"/>
      <w:sz w:val="48"/>
      <w:szCs w:val="22"/>
    </w:rPr>
  </w:style>
  <w:style w:type="paragraph" w:customStyle="1" w:styleId="TableText">
    <w:name w:val="Table Text"/>
    <w:basedOn w:val="Normal"/>
    <w:pPr>
      <w:spacing w:before="80" w:after="80"/>
    </w:pPr>
    <w:rPr>
      <w:rFonts w:ascii="Arial" w:hAnsi="Arial" w:cs="Arial"/>
      <w:sz w:val="20"/>
    </w:rPr>
  </w:style>
  <w:style w:type="paragraph" w:customStyle="1" w:styleId="Bullets">
    <w:name w:val="Bullets"/>
    <w:basedOn w:val="Text10"/>
    <w:link w:val="BulletsChar"/>
    <w:pPr>
      <w:numPr>
        <w:numId w:val="78"/>
      </w:numPr>
    </w:pPr>
  </w:style>
  <w:style w:type="character" w:customStyle="1" w:styleId="BulletsChar">
    <w:name w:val="Bullets Char"/>
    <w:basedOn w:val="Text1Char"/>
    <w:link w:val="Bullets"/>
    <w:rPr>
      <w:rFonts w:ascii="Arial" w:hAnsi="Arial" w:cs="Arial"/>
      <w:szCs w:val="22"/>
      <w:lang w:eastAsia="sv-SE"/>
    </w:rPr>
  </w:style>
  <w:style w:type="paragraph" w:customStyle="1" w:styleId="SubBullet">
    <w:name w:val="Sub Bullet"/>
    <w:basedOn w:val="Text10"/>
    <w:link w:val="SubBulletChar"/>
    <w:pPr>
      <w:tabs>
        <w:tab w:val="num" w:pos="1721"/>
      </w:tabs>
      <w:ind w:left="1718" w:hanging="357"/>
    </w:pPr>
  </w:style>
  <w:style w:type="character" w:customStyle="1" w:styleId="SubBulletChar">
    <w:name w:val="Sub Bullet Char"/>
    <w:basedOn w:val="Text1Char"/>
    <w:link w:val="SubBullet"/>
    <w:rPr>
      <w:rFonts w:ascii="Arial" w:hAnsi="Arial" w:cs="Arial"/>
      <w:szCs w:val="22"/>
      <w:lang w:eastAsia="sv-SE"/>
    </w:rPr>
  </w:style>
  <w:style w:type="paragraph" w:customStyle="1" w:styleId="Heading10">
    <w:name w:val="Heading 10"/>
    <w:basedOn w:val="Rubrik9"/>
    <w:next w:val="Text10"/>
    <w:pPr>
      <w:keepNext/>
      <w:tabs>
        <w:tab w:val="clear" w:pos="0"/>
      </w:tabs>
      <w:spacing w:before="0" w:after="120" w:line="269" w:lineRule="auto"/>
      <w:ind w:left="936"/>
    </w:pPr>
    <w:rPr>
      <w:rFonts w:ascii="Arial Bold" w:hAnsi="Arial Bold" w:cs="Arial"/>
      <w:b/>
      <w:i w:val="0"/>
      <w:color w:val="156570"/>
      <w:sz w:val="20"/>
      <w:szCs w:val="22"/>
    </w:rPr>
  </w:style>
  <w:style w:type="paragraph" w:customStyle="1" w:styleId="CVName">
    <w:name w:val="CV_Name"/>
    <w:basedOn w:val="Normal"/>
    <w:pPr>
      <w:spacing w:before="40" w:after="40"/>
    </w:pPr>
    <w:rPr>
      <w:rFonts w:ascii="Arial" w:eastAsia="SimSun" w:hAnsi="Arial"/>
      <w:color w:val="394A58"/>
      <w:sz w:val="48"/>
      <w:szCs w:val="48"/>
    </w:rPr>
  </w:style>
  <w:style w:type="paragraph" w:customStyle="1" w:styleId="CVTitle">
    <w:name w:val="CV_Title"/>
    <w:basedOn w:val="Normal"/>
    <w:link w:val="CVTitleChar"/>
    <w:pPr>
      <w:spacing w:before="40" w:after="40"/>
    </w:pPr>
    <w:rPr>
      <w:rFonts w:ascii="Arial" w:eastAsia="SimSun" w:hAnsi="Arial"/>
      <w:b/>
      <w:sz w:val="30"/>
      <w:szCs w:val="30"/>
    </w:rPr>
  </w:style>
  <w:style w:type="character" w:customStyle="1" w:styleId="CVTitleChar">
    <w:name w:val="CV_Title Char"/>
    <w:basedOn w:val="Standardstycketeckensnitt"/>
    <w:link w:val="CVTitle"/>
    <w:rPr>
      <w:rFonts w:ascii="Arial" w:eastAsia="SimSun" w:hAnsi="Arial"/>
      <w:b/>
      <w:sz w:val="30"/>
      <w:szCs w:val="30"/>
      <w:lang w:eastAsia="sv-SE"/>
    </w:rPr>
  </w:style>
  <w:style w:type="paragraph" w:customStyle="1" w:styleId="CVPen">
    <w:name w:val="CV_Pen"/>
    <w:basedOn w:val="Normal"/>
    <w:pPr>
      <w:spacing w:before="40" w:after="40" w:line="269" w:lineRule="auto"/>
    </w:pPr>
    <w:rPr>
      <w:rFonts w:ascii="Arial" w:eastAsia="SimSun" w:hAnsi="Arial"/>
      <w:b/>
      <w:sz w:val="18"/>
      <w:szCs w:val="18"/>
    </w:rPr>
  </w:style>
  <w:style w:type="paragraph" w:customStyle="1" w:styleId="CVBullet">
    <w:name w:val="CV_Bullet"/>
    <w:basedOn w:val="Normal"/>
    <w:pPr>
      <w:tabs>
        <w:tab w:val="num" w:pos="284"/>
      </w:tabs>
      <w:spacing w:before="40" w:after="40" w:line="269" w:lineRule="auto"/>
      <w:ind w:left="284" w:hanging="284"/>
    </w:pPr>
    <w:rPr>
      <w:rFonts w:ascii="Arial" w:eastAsia="SimSun" w:hAnsi="Arial"/>
      <w:sz w:val="18"/>
      <w:szCs w:val="18"/>
    </w:rPr>
  </w:style>
  <w:style w:type="paragraph" w:customStyle="1" w:styleId="CVText">
    <w:name w:val="CV_Text"/>
    <w:basedOn w:val="Normal"/>
    <w:link w:val="CVTextChar"/>
    <w:pPr>
      <w:spacing w:before="40" w:after="40" w:line="269" w:lineRule="auto"/>
    </w:pPr>
    <w:rPr>
      <w:rFonts w:ascii="Arial" w:eastAsia="SimSun" w:hAnsi="Arial"/>
      <w:sz w:val="18"/>
      <w:szCs w:val="18"/>
    </w:rPr>
  </w:style>
  <w:style w:type="character" w:customStyle="1" w:styleId="CVTextChar">
    <w:name w:val="CV_Text Char"/>
    <w:basedOn w:val="Standardstycketeckensnitt"/>
    <w:link w:val="CVText"/>
    <w:rPr>
      <w:rFonts w:ascii="Arial" w:eastAsia="SimSun" w:hAnsi="Arial"/>
      <w:sz w:val="18"/>
      <w:szCs w:val="18"/>
      <w:lang w:eastAsia="sv-SE"/>
    </w:rPr>
  </w:style>
  <w:style w:type="paragraph" w:customStyle="1" w:styleId="CVTitle1">
    <w:name w:val="CV_Title1"/>
    <w:basedOn w:val="Normal"/>
    <w:link w:val="CVTitle1Char"/>
    <w:pPr>
      <w:spacing w:before="40" w:after="40"/>
    </w:pPr>
    <w:rPr>
      <w:rFonts w:ascii="Arial" w:eastAsia="SimSun" w:hAnsi="Arial"/>
      <w:b/>
      <w:sz w:val="18"/>
      <w:szCs w:val="24"/>
    </w:rPr>
  </w:style>
  <w:style w:type="character" w:customStyle="1" w:styleId="CVTitle1Char">
    <w:name w:val="CV_Title1 Char"/>
    <w:basedOn w:val="Standardstycketeckensnitt"/>
    <w:link w:val="CVTitle1"/>
    <w:rPr>
      <w:rFonts w:ascii="Arial" w:eastAsia="SimSun" w:hAnsi="Arial"/>
      <w:b/>
      <w:sz w:val="18"/>
      <w:szCs w:val="24"/>
      <w:lang w:eastAsia="sv-SE"/>
    </w:rPr>
  </w:style>
  <w:style w:type="paragraph" w:customStyle="1" w:styleId="CVDepartment">
    <w:name w:val="CV_Department"/>
    <w:basedOn w:val="CVTitle"/>
    <w:rPr>
      <w:b w:val="0"/>
    </w:rPr>
  </w:style>
  <w:style w:type="paragraph" w:customStyle="1" w:styleId="CVDept">
    <w:name w:val="CV_Dept"/>
    <w:basedOn w:val="Normal"/>
    <w:pPr>
      <w:spacing w:before="40" w:after="40"/>
    </w:pPr>
    <w:rPr>
      <w:rFonts w:ascii="Arial" w:eastAsia="SimSun" w:hAnsi="Arial"/>
      <w:sz w:val="30"/>
      <w:szCs w:val="24"/>
    </w:rPr>
  </w:style>
  <w:style w:type="paragraph" w:customStyle="1" w:styleId="TableBullet">
    <w:name w:val="Table_Bullet"/>
    <w:basedOn w:val="CVBullet"/>
    <w:pPr>
      <w:ind w:left="288" w:hanging="288"/>
    </w:pPr>
    <w:rPr>
      <w:sz w:val="20"/>
    </w:rPr>
  </w:style>
  <w:style w:type="paragraph" w:customStyle="1" w:styleId="CaseStudy">
    <w:name w:val="Case Study"/>
    <w:basedOn w:val="Normal"/>
    <w:pPr>
      <w:spacing w:before="40" w:after="40"/>
    </w:pPr>
    <w:rPr>
      <w:rFonts w:ascii="Arial" w:eastAsia="SimSun" w:hAnsi="Arial"/>
      <w:color w:val="394A58"/>
      <w:sz w:val="48"/>
      <w:szCs w:val="48"/>
    </w:rPr>
  </w:style>
  <w:style w:type="paragraph" w:customStyle="1" w:styleId="CaseStudytxt">
    <w:name w:val="Case Study txt"/>
    <w:basedOn w:val="CaseStudy"/>
    <w:pPr>
      <w:tabs>
        <w:tab w:val="center" w:pos="4153"/>
        <w:tab w:val="right" w:pos="8306"/>
      </w:tabs>
    </w:pPr>
    <w:rPr>
      <w:b/>
    </w:rPr>
  </w:style>
  <w:style w:type="paragraph" w:customStyle="1" w:styleId="Client">
    <w:name w:val="Client"/>
    <w:basedOn w:val="Normal"/>
    <w:next w:val="Normal"/>
    <w:pPr>
      <w:spacing w:before="80" w:after="120" w:line="269" w:lineRule="auto"/>
    </w:pPr>
    <w:rPr>
      <w:rFonts w:ascii="Arial" w:eastAsia="SimSun" w:hAnsi="Arial"/>
      <w:sz w:val="18"/>
      <w:szCs w:val="18"/>
    </w:rPr>
  </w:style>
  <w:style w:type="paragraph" w:customStyle="1" w:styleId="CSBullet">
    <w:name w:val="CS_Bullet"/>
    <w:basedOn w:val="Normal"/>
    <w:pPr>
      <w:tabs>
        <w:tab w:val="num" w:pos="284"/>
      </w:tabs>
      <w:spacing w:before="40" w:after="40" w:line="269" w:lineRule="auto"/>
      <w:ind w:left="284" w:hanging="284"/>
    </w:pPr>
    <w:rPr>
      <w:rFonts w:ascii="Arial" w:eastAsia="SimSun" w:hAnsi="Arial"/>
      <w:sz w:val="18"/>
      <w:szCs w:val="18"/>
    </w:rPr>
  </w:style>
  <w:style w:type="paragraph" w:customStyle="1" w:styleId="CSText">
    <w:name w:val="CSText"/>
    <w:basedOn w:val="Normal"/>
    <w:pPr>
      <w:spacing w:before="40" w:after="40" w:line="269" w:lineRule="auto"/>
    </w:pPr>
    <w:rPr>
      <w:rFonts w:ascii="Arial" w:eastAsia="SimSun" w:hAnsi="Arial"/>
      <w:sz w:val="18"/>
      <w:szCs w:val="18"/>
    </w:rPr>
  </w:style>
  <w:style w:type="paragraph" w:customStyle="1" w:styleId="CSText2">
    <w:name w:val="CSText2"/>
    <w:basedOn w:val="Normal"/>
    <w:pPr>
      <w:spacing w:before="40" w:after="40" w:line="269" w:lineRule="auto"/>
      <w:ind w:left="1440" w:hanging="1440"/>
    </w:pPr>
    <w:rPr>
      <w:rFonts w:ascii="Arial" w:eastAsia="SimSun" w:hAnsi="Arial"/>
      <w:sz w:val="18"/>
      <w:szCs w:val="18"/>
    </w:rPr>
  </w:style>
  <w:style w:type="paragraph" w:customStyle="1" w:styleId="CSTitle1">
    <w:name w:val="CSTitle1"/>
    <w:basedOn w:val="Normal"/>
    <w:pPr>
      <w:keepNext/>
      <w:spacing w:before="120" w:after="20" w:line="269" w:lineRule="auto"/>
    </w:pPr>
    <w:rPr>
      <w:rFonts w:ascii="Arial" w:eastAsia="SimSun" w:hAnsi="Arial"/>
      <w:b/>
      <w:sz w:val="18"/>
      <w:szCs w:val="24"/>
    </w:rPr>
  </w:style>
  <w:style w:type="paragraph" w:customStyle="1" w:styleId="CSTitle2">
    <w:name w:val="CSTitle2"/>
    <w:basedOn w:val="Normal"/>
    <w:next w:val="CSBullet"/>
    <w:pPr>
      <w:keepNext/>
      <w:pBdr>
        <w:bottom w:val="single" w:sz="8" w:space="1" w:color="394A58"/>
      </w:pBdr>
      <w:spacing w:before="120" w:after="40" w:line="269" w:lineRule="auto"/>
    </w:pPr>
    <w:rPr>
      <w:rFonts w:ascii="Arial Bold" w:eastAsia="SimSun" w:hAnsi="Arial Bold"/>
      <w:b/>
      <w:sz w:val="18"/>
      <w:szCs w:val="24"/>
      <w:u w:color="394A58"/>
    </w:rPr>
  </w:style>
  <w:style w:type="paragraph" w:customStyle="1" w:styleId="CSTitle3">
    <w:name w:val="CSTitle3"/>
    <w:basedOn w:val="CSTitle2"/>
    <w:next w:val="CSText2"/>
  </w:style>
  <w:style w:type="paragraph" w:customStyle="1" w:styleId="CapSheettxt">
    <w:name w:val="Cap Sheet txt"/>
    <w:basedOn w:val="Normal"/>
    <w:pPr>
      <w:tabs>
        <w:tab w:val="center" w:pos="4153"/>
        <w:tab w:val="right" w:pos="8306"/>
      </w:tabs>
      <w:spacing w:before="40" w:after="40"/>
    </w:pPr>
    <w:rPr>
      <w:rFonts w:ascii="Arial" w:eastAsia="SimSun" w:hAnsi="Arial"/>
      <w:b/>
      <w:color w:val="394A58"/>
      <w:sz w:val="48"/>
      <w:szCs w:val="48"/>
    </w:rPr>
  </w:style>
  <w:style w:type="paragraph" w:customStyle="1" w:styleId="CapabilitySheet">
    <w:name w:val="Capability Sheet"/>
    <w:basedOn w:val="Normal"/>
    <w:pPr>
      <w:spacing w:before="40" w:after="40"/>
    </w:pPr>
    <w:rPr>
      <w:rFonts w:ascii="Arial" w:eastAsia="SimSun" w:hAnsi="Arial"/>
      <w:color w:val="394A58"/>
      <w:sz w:val="48"/>
      <w:szCs w:val="48"/>
    </w:rPr>
  </w:style>
  <w:style w:type="paragraph" w:customStyle="1" w:styleId="CapSText2">
    <w:name w:val="CapSText2"/>
    <w:basedOn w:val="Normal"/>
    <w:pPr>
      <w:spacing w:before="40" w:after="40" w:line="269" w:lineRule="auto"/>
    </w:pPr>
    <w:rPr>
      <w:rFonts w:ascii="Arial" w:eastAsia="SimSun" w:hAnsi="Arial"/>
      <w:sz w:val="16"/>
      <w:szCs w:val="18"/>
    </w:rPr>
  </w:style>
  <w:style w:type="paragraph" w:customStyle="1" w:styleId="SubHeading">
    <w:name w:val="SubHeading"/>
    <w:basedOn w:val="Normal"/>
    <w:next w:val="CSTitle1"/>
    <w:pPr>
      <w:spacing w:before="440" w:after="120"/>
    </w:pPr>
    <w:rPr>
      <w:rFonts w:ascii="Arial" w:eastAsia="SimSun" w:hAnsi="Arial"/>
      <w:sz w:val="30"/>
      <w:szCs w:val="24"/>
    </w:rPr>
  </w:style>
  <w:style w:type="paragraph" w:customStyle="1" w:styleId="CoverMainTitle">
    <w:name w:val="Cover Main Title"/>
    <w:basedOn w:val="Text"/>
    <w:pPr>
      <w:jc w:val="right"/>
    </w:pPr>
    <w:rPr>
      <w:color w:val="394A58"/>
      <w:sz w:val="44"/>
    </w:rPr>
  </w:style>
  <w:style w:type="paragraph" w:customStyle="1" w:styleId="CoverSubTitle">
    <w:name w:val="Cover Sub Title"/>
    <w:basedOn w:val="CoverMainTitle"/>
    <w:rPr>
      <w:sz w:val="32"/>
    </w:rPr>
  </w:style>
  <w:style w:type="paragraph" w:customStyle="1" w:styleId="level6">
    <w:name w:val="level6"/>
    <w:basedOn w:val="Normal"/>
    <w:pPr>
      <w:tabs>
        <w:tab w:val="left" w:pos="0"/>
      </w:tabs>
      <w:spacing w:before="120" w:after="120"/>
    </w:pPr>
    <w:rPr>
      <w:rFonts w:ascii="Arial" w:hAnsi="Arial" w:cs="Arial"/>
      <w:sz w:val="22"/>
      <w:szCs w:val="22"/>
    </w:rPr>
  </w:style>
  <w:style w:type="paragraph" w:customStyle="1" w:styleId="Title2">
    <w:name w:val="Title2"/>
    <w:basedOn w:val="Normal"/>
    <w:pPr>
      <w:spacing w:before="480"/>
    </w:pPr>
    <w:rPr>
      <w:b/>
      <w:caps/>
      <w:sz w:val="28"/>
    </w:rPr>
  </w:style>
  <w:style w:type="paragraph" w:customStyle="1" w:styleId="Appendix">
    <w:name w:val="Appendix"/>
    <w:basedOn w:val="Rubrik1"/>
    <w:pPr>
      <w:pageBreakBefore/>
      <w:numPr>
        <w:numId w:val="0"/>
      </w:numPr>
      <w:spacing w:after="60"/>
    </w:pPr>
    <w:rPr>
      <w:rFonts w:ascii="Arial" w:hAnsi="Arial" w:cs="Arial"/>
      <w:bCs/>
      <w:smallCaps w:val="0"/>
      <w:kern w:val="32"/>
      <w:sz w:val="32"/>
      <w:szCs w:val="32"/>
    </w:rPr>
  </w:style>
  <w:style w:type="paragraph" w:customStyle="1" w:styleId="Atkinstext">
    <w:name w:val="Atkins text"/>
    <w:basedOn w:val="Text10"/>
    <w:link w:val="AtkinstextChar"/>
    <w:qFormat/>
  </w:style>
  <w:style w:type="character" w:customStyle="1" w:styleId="AtkinstextChar">
    <w:name w:val="Atkins text Char"/>
    <w:basedOn w:val="Text1Char"/>
    <w:link w:val="Atkinstext"/>
    <w:rPr>
      <w:rFonts w:ascii="Arial" w:hAnsi="Arial" w:cs="Arial"/>
      <w:szCs w:val="22"/>
      <w:lang w:eastAsia="sv-SE"/>
    </w:rPr>
  </w:style>
  <w:style w:type="paragraph" w:customStyle="1" w:styleId="Atkinsbullet">
    <w:name w:val="Atkins bullet"/>
    <w:basedOn w:val="Bullets"/>
    <w:link w:val="AtkinsbulletChar"/>
    <w:qFormat/>
  </w:style>
  <w:style w:type="character" w:customStyle="1" w:styleId="AtkinsbulletChar">
    <w:name w:val="Atkins bullet Char"/>
    <w:basedOn w:val="BulletsChar"/>
    <w:link w:val="Atkinsbullet"/>
    <w:rPr>
      <w:rFonts w:ascii="Arial" w:hAnsi="Arial" w:cs="Arial"/>
      <w:szCs w:val="22"/>
      <w:lang w:eastAsia="sv-SE"/>
    </w:rPr>
  </w:style>
  <w:style w:type="paragraph" w:customStyle="1" w:styleId="Tablestyle2">
    <w:name w:val="Table style 2"/>
    <w:basedOn w:val="Normal"/>
    <w:qFormat/>
    <w:pPr>
      <w:spacing w:before="40" w:after="40"/>
      <w:ind w:left="113" w:right="113"/>
    </w:pPr>
    <w:rPr>
      <w:rFonts w:ascii="Calibri" w:eastAsia="Batang" w:hAnsi="Calibri"/>
      <w:sz w:val="20"/>
      <w:szCs w:val="22"/>
    </w:rPr>
  </w:style>
  <w:style w:type="paragraph" w:customStyle="1" w:styleId="EstiloTtulo2Antes18pto">
    <w:name w:val="Estilo Título 2 + Antes:  18 pto"/>
    <w:basedOn w:val="Rubrik2"/>
    <w:uiPriority w:val="99"/>
    <w:semiHidden/>
    <w:pPr>
      <w:keepLines/>
      <w:shd w:val="clear" w:color="auto" w:fill="DBE5F1"/>
      <w:tabs>
        <w:tab w:val="num" w:pos="0"/>
        <w:tab w:val="left" w:pos="1134"/>
      </w:tabs>
      <w:spacing w:before="360" w:after="120"/>
      <w:ind w:left="431" w:hanging="431"/>
    </w:pPr>
    <w:rPr>
      <w:rFonts w:ascii="Calibri" w:eastAsia="Calibri" w:hAnsi="Calibri"/>
      <w:bCs/>
      <w:color w:val="004494"/>
      <w:sz w:val="28"/>
    </w:rPr>
  </w:style>
  <w:style w:type="paragraph" w:customStyle="1" w:styleId="Bullet1">
    <w:name w:val="Bullet1"/>
    <w:basedOn w:val="Bullets"/>
    <w:link w:val="Bullet1Char"/>
    <w:qFormat/>
    <w:pPr>
      <w:numPr>
        <w:numId w:val="84"/>
      </w:numPr>
    </w:pPr>
  </w:style>
  <w:style w:type="character" w:customStyle="1" w:styleId="Bullet1Char">
    <w:name w:val="Bullet1 Char"/>
    <w:basedOn w:val="BulletsChar"/>
    <w:link w:val="Bullet1"/>
    <w:rPr>
      <w:rFonts w:ascii="Arial" w:hAnsi="Arial" w:cs="Arial"/>
      <w:szCs w:val="22"/>
      <w:lang w:eastAsia="sv-SE"/>
    </w:rPr>
  </w:style>
  <w:style w:type="paragraph" w:customStyle="1" w:styleId="titulo3">
    <w:name w:val="titulo 3"/>
    <w:basedOn w:val="Normal"/>
    <w:link w:val="titulo3Char"/>
    <w:qFormat/>
    <w:pPr>
      <w:numPr>
        <w:numId w:val="87"/>
      </w:numPr>
    </w:pPr>
  </w:style>
  <w:style w:type="character" w:customStyle="1" w:styleId="titulo3Char">
    <w:name w:val="titulo 3 Char"/>
    <w:basedOn w:val="Standardstycketeckensnitt"/>
    <w:link w:val="titulo3"/>
    <w:rPr>
      <w:rFonts w:ascii="Calibri Light" w:hAnsi="Calibri Light"/>
      <w:sz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2196">
      <w:bodyDiv w:val="1"/>
      <w:marLeft w:val="0"/>
      <w:marRight w:val="0"/>
      <w:marTop w:val="0"/>
      <w:marBottom w:val="0"/>
      <w:divBdr>
        <w:top w:val="none" w:sz="0" w:space="0" w:color="auto"/>
        <w:left w:val="none" w:sz="0" w:space="0" w:color="auto"/>
        <w:bottom w:val="none" w:sz="0" w:space="0" w:color="auto"/>
        <w:right w:val="none" w:sz="0" w:space="0" w:color="auto"/>
      </w:divBdr>
    </w:div>
    <w:div w:id="45640712">
      <w:bodyDiv w:val="1"/>
      <w:marLeft w:val="0"/>
      <w:marRight w:val="0"/>
      <w:marTop w:val="0"/>
      <w:marBottom w:val="0"/>
      <w:divBdr>
        <w:top w:val="none" w:sz="0" w:space="0" w:color="auto"/>
        <w:left w:val="none" w:sz="0" w:space="0" w:color="auto"/>
        <w:bottom w:val="none" w:sz="0" w:space="0" w:color="auto"/>
        <w:right w:val="none" w:sz="0" w:space="0" w:color="auto"/>
      </w:divBdr>
    </w:div>
    <w:div w:id="97870156">
      <w:bodyDiv w:val="1"/>
      <w:marLeft w:val="0"/>
      <w:marRight w:val="0"/>
      <w:marTop w:val="0"/>
      <w:marBottom w:val="0"/>
      <w:divBdr>
        <w:top w:val="none" w:sz="0" w:space="0" w:color="auto"/>
        <w:left w:val="none" w:sz="0" w:space="0" w:color="auto"/>
        <w:bottom w:val="none" w:sz="0" w:space="0" w:color="auto"/>
        <w:right w:val="none" w:sz="0" w:space="0" w:color="auto"/>
      </w:divBdr>
    </w:div>
    <w:div w:id="102072040">
      <w:bodyDiv w:val="1"/>
      <w:marLeft w:val="0"/>
      <w:marRight w:val="0"/>
      <w:marTop w:val="0"/>
      <w:marBottom w:val="0"/>
      <w:divBdr>
        <w:top w:val="none" w:sz="0" w:space="0" w:color="auto"/>
        <w:left w:val="none" w:sz="0" w:space="0" w:color="auto"/>
        <w:bottom w:val="none" w:sz="0" w:space="0" w:color="auto"/>
        <w:right w:val="none" w:sz="0" w:space="0" w:color="auto"/>
      </w:divBdr>
    </w:div>
    <w:div w:id="104496614">
      <w:bodyDiv w:val="1"/>
      <w:marLeft w:val="0"/>
      <w:marRight w:val="0"/>
      <w:marTop w:val="0"/>
      <w:marBottom w:val="0"/>
      <w:divBdr>
        <w:top w:val="none" w:sz="0" w:space="0" w:color="auto"/>
        <w:left w:val="none" w:sz="0" w:space="0" w:color="auto"/>
        <w:bottom w:val="none" w:sz="0" w:space="0" w:color="auto"/>
        <w:right w:val="none" w:sz="0" w:space="0" w:color="auto"/>
      </w:divBdr>
    </w:div>
    <w:div w:id="109859228">
      <w:bodyDiv w:val="1"/>
      <w:marLeft w:val="0"/>
      <w:marRight w:val="0"/>
      <w:marTop w:val="0"/>
      <w:marBottom w:val="0"/>
      <w:divBdr>
        <w:top w:val="none" w:sz="0" w:space="0" w:color="auto"/>
        <w:left w:val="none" w:sz="0" w:space="0" w:color="auto"/>
        <w:bottom w:val="none" w:sz="0" w:space="0" w:color="auto"/>
        <w:right w:val="none" w:sz="0" w:space="0" w:color="auto"/>
      </w:divBdr>
    </w:div>
    <w:div w:id="125508073">
      <w:bodyDiv w:val="1"/>
      <w:marLeft w:val="0"/>
      <w:marRight w:val="0"/>
      <w:marTop w:val="0"/>
      <w:marBottom w:val="0"/>
      <w:divBdr>
        <w:top w:val="none" w:sz="0" w:space="0" w:color="auto"/>
        <w:left w:val="none" w:sz="0" w:space="0" w:color="auto"/>
        <w:bottom w:val="none" w:sz="0" w:space="0" w:color="auto"/>
        <w:right w:val="none" w:sz="0" w:space="0" w:color="auto"/>
      </w:divBdr>
    </w:div>
    <w:div w:id="134957729">
      <w:bodyDiv w:val="1"/>
      <w:marLeft w:val="0"/>
      <w:marRight w:val="0"/>
      <w:marTop w:val="0"/>
      <w:marBottom w:val="0"/>
      <w:divBdr>
        <w:top w:val="none" w:sz="0" w:space="0" w:color="auto"/>
        <w:left w:val="none" w:sz="0" w:space="0" w:color="auto"/>
        <w:bottom w:val="none" w:sz="0" w:space="0" w:color="auto"/>
        <w:right w:val="none" w:sz="0" w:space="0" w:color="auto"/>
      </w:divBdr>
    </w:div>
    <w:div w:id="141969546">
      <w:bodyDiv w:val="1"/>
      <w:marLeft w:val="0"/>
      <w:marRight w:val="0"/>
      <w:marTop w:val="0"/>
      <w:marBottom w:val="0"/>
      <w:divBdr>
        <w:top w:val="none" w:sz="0" w:space="0" w:color="auto"/>
        <w:left w:val="none" w:sz="0" w:space="0" w:color="auto"/>
        <w:bottom w:val="none" w:sz="0" w:space="0" w:color="auto"/>
        <w:right w:val="none" w:sz="0" w:space="0" w:color="auto"/>
      </w:divBdr>
    </w:div>
    <w:div w:id="160318509">
      <w:bodyDiv w:val="1"/>
      <w:marLeft w:val="0"/>
      <w:marRight w:val="0"/>
      <w:marTop w:val="0"/>
      <w:marBottom w:val="0"/>
      <w:divBdr>
        <w:top w:val="none" w:sz="0" w:space="0" w:color="auto"/>
        <w:left w:val="none" w:sz="0" w:space="0" w:color="auto"/>
        <w:bottom w:val="none" w:sz="0" w:space="0" w:color="auto"/>
        <w:right w:val="none" w:sz="0" w:space="0" w:color="auto"/>
      </w:divBdr>
      <w:divsChild>
        <w:div w:id="147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069201">
              <w:marLeft w:val="0"/>
              <w:marRight w:val="0"/>
              <w:marTop w:val="0"/>
              <w:marBottom w:val="0"/>
              <w:divBdr>
                <w:top w:val="none" w:sz="0" w:space="0" w:color="auto"/>
                <w:left w:val="none" w:sz="0" w:space="0" w:color="auto"/>
                <w:bottom w:val="none" w:sz="0" w:space="0" w:color="auto"/>
                <w:right w:val="none" w:sz="0" w:space="0" w:color="auto"/>
              </w:divBdr>
              <w:divsChild>
                <w:div w:id="14216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529">
      <w:bodyDiv w:val="1"/>
      <w:marLeft w:val="0"/>
      <w:marRight w:val="0"/>
      <w:marTop w:val="0"/>
      <w:marBottom w:val="0"/>
      <w:divBdr>
        <w:top w:val="none" w:sz="0" w:space="0" w:color="auto"/>
        <w:left w:val="none" w:sz="0" w:space="0" w:color="auto"/>
        <w:bottom w:val="none" w:sz="0" w:space="0" w:color="auto"/>
        <w:right w:val="none" w:sz="0" w:space="0" w:color="auto"/>
      </w:divBdr>
    </w:div>
    <w:div w:id="189995799">
      <w:bodyDiv w:val="1"/>
      <w:marLeft w:val="0"/>
      <w:marRight w:val="0"/>
      <w:marTop w:val="0"/>
      <w:marBottom w:val="0"/>
      <w:divBdr>
        <w:top w:val="none" w:sz="0" w:space="0" w:color="auto"/>
        <w:left w:val="none" w:sz="0" w:space="0" w:color="auto"/>
        <w:bottom w:val="none" w:sz="0" w:space="0" w:color="auto"/>
        <w:right w:val="none" w:sz="0" w:space="0" w:color="auto"/>
      </w:divBdr>
    </w:div>
    <w:div w:id="192890126">
      <w:bodyDiv w:val="1"/>
      <w:marLeft w:val="0"/>
      <w:marRight w:val="0"/>
      <w:marTop w:val="0"/>
      <w:marBottom w:val="0"/>
      <w:divBdr>
        <w:top w:val="none" w:sz="0" w:space="0" w:color="auto"/>
        <w:left w:val="none" w:sz="0" w:space="0" w:color="auto"/>
        <w:bottom w:val="none" w:sz="0" w:space="0" w:color="auto"/>
        <w:right w:val="none" w:sz="0" w:space="0" w:color="auto"/>
      </w:divBdr>
    </w:div>
    <w:div w:id="198013169">
      <w:bodyDiv w:val="1"/>
      <w:marLeft w:val="0"/>
      <w:marRight w:val="0"/>
      <w:marTop w:val="0"/>
      <w:marBottom w:val="0"/>
      <w:divBdr>
        <w:top w:val="none" w:sz="0" w:space="0" w:color="auto"/>
        <w:left w:val="none" w:sz="0" w:space="0" w:color="auto"/>
        <w:bottom w:val="none" w:sz="0" w:space="0" w:color="auto"/>
        <w:right w:val="none" w:sz="0" w:space="0" w:color="auto"/>
      </w:divBdr>
    </w:div>
    <w:div w:id="202837880">
      <w:bodyDiv w:val="1"/>
      <w:marLeft w:val="0"/>
      <w:marRight w:val="0"/>
      <w:marTop w:val="0"/>
      <w:marBottom w:val="0"/>
      <w:divBdr>
        <w:top w:val="none" w:sz="0" w:space="0" w:color="auto"/>
        <w:left w:val="none" w:sz="0" w:space="0" w:color="auto"/>
        <w:bottom w:val="none" w:sz="0" w:space="0" w:color="auto"/>
        <w:right w:val="none" w:sz="0" w:space="0" w:color="auto"/>
      </w:divBdr>
    </w:div>
    <w:div w:id="210727520">
      <w:bodyDiv w:val="1"/>
      <w:marLeft w:val="0"/>
      <w:marRight w:val="0"/>
      <w:marTop w:val="0"/>
      <w:marBottom w:val="0"/>
      <w:divBdr>
        <w:top w:val="none" w:sz="0" w:space="0" w:color="auto"/>
        <w:left w:val="none" w:sz="0" w:space="0" w:color="auto"/>
        <w:bottom w:val="none" w:sz="0" w:space="0" w:color="auto"/>
        <w:right w:val="none" w:sz="0" w:space="0" w:color="auto"/>
      </w:divBdr>
    </w:div>
    <w:div w:id="232938564">
      <w:bodyDiv w:val="1"/>
      <w:marLeft w:val="0"/>
      <w:marRight w:val="0"/>
      <w:marTop w:val="0"/>
      <w:marBottom w:val="0"/>
      <w:divBdr>
        <w:top w:val="none" w:sz="0" w:space="0" w:color="auto"/>
        <w:left w:val="none" w:sz="0" w:space="0" w:color="auto"/>
        <w:bottom w:val="none" w:sz="0" w:space="0" w:color="auto"/>
        <w:right w:val="none" w:sz="0" w:space="0" w:color="auto"/>
      </w:divBdr>
    </w:div>
    <w:div w:id="256865120">
      <w:bodyDiv w:val="1"/>
      <w:marLeft w:val="0"/>
      <w:marRight w:val="0"/>
      <w:marTop w:val="0"/>
      <w:marBottom w:val="0"/>
      <w:divBdr>
        <w:top w:val="none" w:sz="0" w:space="0" w:color="auto"/>
        <w:left w:val="none" w:sz="0" w:space="0" w:color="auto"/>
        <w:bottom w:val="none" w:sz="0" w:space="0" w:color="auto"/>
        <w:right w:val="none" w:sz="0" w:space="0" w:color="auto"/>
      </w:divBdr>
    </w:div>
    <w:div w:id="259802216">
      <w:bodyDiv w:val="1"/>
      <w:marLeft w:val="0"/>
      <w:marRight w:val="0"/>
      <w:marTop w:val="0"/>
      <w:marBottom w:val="0"/>
      <w:divBdr>
        <w:top w:val="none" w:sz="0" w:space="0" w:color="auto"/>
        <w:left w:val="none" w:sz="0" w:space="0" w:color="auto"/>
        <w:bottom w:val="none" w:sz="0" w:space="0" w:color="auto"/>
        <w:right w:val="none" w:sz="0" w:space="0" w:color="auto"/>
      </w:divBdr>
    </w:div>
    <w:div w:id="278536001">
      <w:bodyDiv w:val="1"/>
      <w:marLeft w:val="0"/>
      <w:marRight w:val="0"/>
      <w:marTop w:val="0"/>
      <w:marBottom w:val="0"/>
      <w:divBdr>
        <w:top w:val="none" w:sz="0" w:space="0" w:color="auto"/>
        <w:left w:val="none" w:sz="0" w:space="0" w:color="auto"/>
        <w:bottom w:val="none" w:sz="0" w:space="0" w:color="auto"/>
        <w:right w:val="none" w:sz="0" w:space="0" w:color="auto"/>
      </w:divBdr>
    </w:div>
    <w:div w:id="297952784">
      <w:bodyDiv w:val="1"/>
      <w:marLeft w:val="0"/>
      <w:marRight w:val="0"/>
      <w:marTop w:val="0"/>
      <w:marBottom w:val="0"/>
      <w:divBdr>
        <w:top w:val="none" w:sz="0" w:space="0" w:color="auto"/>
        <w:left w:val="none" w:sz="0" w:space="0" w:color="auto"/>
        <w:bottom w:val="none" w:sz="0" w:space="0" w:color="auto"/>
        <w:right w:val="none" w:sz="0" w:space="0" w:color="auto"/>
      </w:divBdr>
    </w:div>
    <w:div w:id="301234728">
      <w:bodyDiv w:val="1"/>
      <w:marLeft w:val="0"/>
      <w:marRight w:val="0"/>
      <w:marTop w:val="0"/>
      <w:marBottom w:val="0"/>
      <w:divBdr>
        <w:top w:val="none" w:sz="0" w:space="0" w:color="auto"/>
        <w:left w:val="none" w:sz="0" w:space="0" w:color="auto"/>
        <w:bottom w:val="none" w:sz="0" w:space="0" w:color="auto"/>
        <w:right w:val="none" w:sz="0" w:space="0" w:color="auto"/>
      </w:divBdr>
    </w:div>
    <w:div w:id="347216706">
      <w:bodyDiv w:val="1"/>
      <w:marLeft w:val="0"/>
      <w:marRight w:val="0"/>
      <w:marTop w:val="0"/>
      <w:marBottom w:val="0"/>
      <w:divBdr>
        <w:top w:val="none" w:sz="0" w:space="0" w:color="auto"/>
        <w:left w:val="none" w:sz="0" w:space="0" w:color="auto"/>
        <w:bottom w:val="none" w:sz="0" w:space="0" w:color="auto"/>
        <w:right w:val="none" w:sz="0" w:space="0" w:color="auto"/>
      </w:divBdr>
    </w:div>
    <w:div w:id="356850968">
      <w:bodyDiv w:val="1"/>
      <w:marLeft w:val="0"/>
      <w:marRight w:val="0"/>
      <w:marTop w:val="0"/>
      <w:marBottom w:val="0"/>
      <w:divBdr>
        <w:top w:val="none" w:sz="0" w:space="0" w:color="auto"/>
        <w:left w:val="none" w:sz="0" w:space="0" w:color="auto"/>
        <w:bottom w:val="none" w:sz="0" w:space="0" w:color="auto"/>
        <w:right w:val="none" w:sz="0" w:space="0" w:color="auto"/>
      </w:divBdr>
    </w:div>
    <w:div w:id="360129705">
      <w:bodyDiv w:val="1"/>
      <w:marLeft w:val="0"/>
      <w:marRight w:val="0"/>
      <w:marTop w:val="0"/>
      <w:marBottom w:val="0"/>
      <w:divBdr>
        <w:top w:val="none" w:sz="0" w:space="0" w:color="auto"/>
        <w:left w:val="none" w:sz="0" w:space="0" w:color="auto"/>
        <w:bottom w:val="none" w:sz="0" w:space="0" w:color="auto"/>
        <w:right w:val="none" w:sz="0" w:space="0" w:color="auto"/>
      </w:divBdr>
    </w:div>
    <w:div w:id="361633211">
      <w:bodyDiv w:val="1"/>
      <w:marLeft w:val="0"/>
      <w:marRight w:val="0"/>
      <w:marTop w:val="0"/>
      <w:marBottom w:val="0"/>
      <w:divBdr>
        <w:top w:val="none" w:sz="0" w:space="0" w:color="auto"/>
        <w:left w:val="none" w:sz="0" w:space="0" w:color="auto"/>
        <w:bottom w:val="none" w:sz="0" w:space="0" w:color="auto"/>
        <w:right w:val="none" w:sz="0" w:space="0" w:color="auto"/>
      </w:divBdr>
    </w:div>
    <w:div w:id="393509905">
      <w:bodyDiv w:val="1"/>
      <w:marLeft w:val="0"/>
      <w:marRight w:val="0"/>
      <w:marTop w:val="0"/>
      <w:marBottom w:val="0"/>
      <w:divBdr>
        <w:top w:val="none" w:sz="0" w:space="0" w:color="auto"/>
        <w:left w:val="none" w:sz="0" w:space="0" w:color="auto"/>
        <w:bottom w:val="none" w:sz="0" w:space="0" w:color="auto"/>
        <w:right w:val="none" w:sz="0" w:space="0" w:color="auto"/>
      </w:divBdr>
    </w:div>
    <w:div w:id="396250556">
      <w:bodyDiv w:val="1"/>
      <w:marLeft w:val="0"/>
      <w:marRight w:val="0"/>
      <w:marTop w:val="0"/>
      <w:marBottom w:val="0"/>
      <w:divBdr>
        <w:top w:val="none" w:sz="0" w:space="0" w:color="auto"/>
        <w:left w:val="none" w:sz="0" w:space="0" w:color="auto"/>
        <w:bottom w:val="none" w:sz="0" w:space="0" w:color="auto"/>
        <w:right w:val="none" w:sz="0" w:space="0" w:color="auto"/>
      </w:divBdr>
    </w:div>
    <w:div w:id="429160213">
      <w:bodyDiv w:val="1"/>
      <w:marLeft w:val="0"/>
      <w:marRight w:val="0"/>
      <w:marTop w:val="0"/>
      <w:marBottom w:val="0"/>
      <w:divBdr>
        <w:top w:val="none" w:sz="0" w:space="0" w:color="auto"/>
        <w:left w:val="none" w:sz="0" w:space="0" w:color="auto"/>
        <w:bottom w:val="none" w:sz="0" w:space="0" w:color="auto"/>
        <w:right w:val="none" w:sz="0" w:space="0" w:color="auto"/>
      </w:divBdr>
    </w:div>
    <w:div w:id="447629485">
      <w:bodyDiv w:val="1"/>
      <w:marLeft w:val="0"/>
      <w:marRight w:val="0"/>
      <w:marTop w:val="0"/>
      <w:marBottom w:val="0"/>
      <w:divBdr>
        <w:top w:val="none" w:sz="0" w:space="0" w:color="auto"/>
        <w:left w:val="none" w:sz="0" w:space="0" w:color="auto"/>
        <w:bottom w:val="none" w:sz="0" w:space="0" w:color="auto"/>
        <w:right w:val="none" w:sz="0" w:space="0" w:color="auto"/>
      </w:divBdr>
    </w:div>
    <w:div w:id="483163345">
      <w:bodyDiv w:val="1"/>
      <w:marLeft w:val="0"/>
      <w:marRight w:val="0"/>
      <w:marTop w:val="0"/>
      <w:marBottom w:val="0"/>
      <w:divBdr>
        <w:top w:val="none" w:sz="0" w:space="0" w:color="auto"/>
        <w:left w:val="none" w:sz="0" w:space="0" w:color="auto"/>
        <w:bottom w:val="none" w:sz="0" w:space="0" w:color="auto"/>
        <w:right w:val="none" w:sz="0" w:space="0" w:color="auto"/>
      </w:divBdr>
    </w:div>
    <w:div w:id="513884415">
      <w:bodyDiv w:val="1"/>
      <w:marLeft w:val="0"/>
      <w:marRight w:val="0"/>
      <w:marTop w:val="0"/>
      <w:marBottom w:val="0"/>
      <w:divBdr>
        <w:top w:val="none" w:sz="0" w:space="0" w:color="auto"/>
        <w:left w:val="none" w:sz="0" w:space="0" w:color="auto"/>
        <w:bottom w:val="none" w:sz="0" w:space="0" w:color="auto"/>
        <w:right w:val="none" w:sz="0" w:space="0" w:color="auto"/>
      </w:divBdr>
    </w:div>
    <w:div w:id="529491582">
      <w:bodyDiv w:val="1"/>
      <w:marLeft w:val="0"/>
      <w:marRight w:val="0"/>
      <w:marTop w:val="0"/>
      <w:marBottom w:val="0"/>
      <w:divBdr>
        <w:top w:val="none" w:sz="0" w:space="0" w:color="auto"/>
        <w:left w:val="none" w:sz="0" w:space="0" w:color="auto"/>
        <w:bottom w:val="none" w:sz="0" w:space="0" w:color="auto"/>
        <w:right w:val="none" w:sz="0" w:space="0" w:color="auto"/>
      </w:divBdr>
    </w:div>
    <w:div w:id="533471196">
      <w:bodyDiv w:val="1"/>
      <w:marLeft w:val="0"/>
      <w:marRight w:val="0"/>
      <w:marTop w:val="0"/>
      <w:marBottom w:val="0"/>
      <w:divBdr>
        <w:top w:val="none" w:sz="0" w:space="0" w:color="auto"/>
        <w:left w:val="none" w:sz="0" w:space="0" w:color="auto"/>
        <w:bottom w:val="none" w:sz="0" w:space="0" w:color="auto"/>
        <w:right w:val="none" w:sz="0" w:space="0" w:color="auto"/>
      </w:divBdr>
    </w:div>
    <w:div w:id="544560545">
      <w:bodyDiv w:val="1"/>
      <w:marLeft w:val="0"/>
      <w:marRight w:val="0"/>
      <w:marTop w:val="0"/>
      <w:marBottom w:val="0"/>
      <w:divBdr>
        <w:top w:val="none" w:sz="0" w:space="0" w:color="auto"/>
        <w:left w:val="none" w:sz="0" w:space="0" w:color="auto"/>
        <w:bottom w:val="none" w:sz="0" w:space="0" w:color="auto"/>
        <w:right w:val="none" w:sz="0" w:space="0" w:color="auto"/>
      </w:divBdr>
    </w:div>
    <w:div w:id="548107685">
      <w:bodyDiv w:val="1"/>
      <w:marLeft w:val="0"/>
      <w:marRight w:val="0"/>
      <w:marTop w:val="0"/>
      <w:marBottom w:val="0"/>
      <w:divBdr>
        <w:top w:val="none" w:sz="0" w:space="0" w:color="auto"/>
        <w:left w:val="none" w:sz="0" w:space="0" w:color="auto"/>
        <w:bottom w:val="none" w:sz="0" w:space="0" w:color="auto"/>
        <w:right w:val="none" w:sz="0" w:space="0" w:color="auto"/>
      </w:divBdr>
    </w:div>
    <w:div w:id="560795654">
      <w:bodyDiv w:val="1"/>
      <w:marLeft w:val="0"/>
      <w:marRight w:val="0"/>
      <w:marTop w:val="0"/>
      <w:marBottom w:val="0"/>
      <w:divBdr>
        <w:top w:val="none" w:sz="0" w:space="0" w:color="auto"/>
        <w:left w:val="none" w:sz="0" w:space="0" w:color="auto"/>
        <w:bottom w:val="none" w:sz="0" w:space="0" w:color="auto"/>
        <w:right w:val="none" w:sz="0" w:space="0" w:color="auto"/>
      </w:divBdr>
    </w:div>
    <w:div w:id="566572459">
      <w:bodyDiv w:val="1"/>
      <w:marLeft w:val="0"/>
      <w:marRight w:val="0"/>
      <w:marTop w:val="0"/>
      <w:marBottom w:val="0"/>
      <w:divBdr>
        <w:top w:val="none" w:sz="0" w:space="0" w:color="auto"/>
        <w:left w:val="none" w:sz="0" w:space="0" w:color="auto"/>
        <w:bottom w:val="none" w:sz="0" w:space="0" w:color="auto"/>
        <w:right w:val="none" w:sz="0" w:space="0" w:color="auto"/>
      </w:divBdr>
    </w:div>
    <w:div w:id="575168451">
      <w:bodyDiv w:val="1"/>
      <w:marLeft w:val="0"/>
      <w:marRight w:val="0"/>
      <w:marTop w:val="0"/>
      <w:marBottom w:val="0"/>
      <w:divBdr>
        <w:top w:val="none" w:sz="0" w:space="0" w:color="auto"/>
        <w:left w:val="none" w:sz="0" w:space="0" w:color="auto"/>
        <w:bottom w:val="none" w:sz="0" w:space="0" w:color="auto"/>
        <w:right w:val="none" w:sz="0" w:space="0" w:color="auto"/>
      </w:divBdr>
    </w:div>
    <w:div w:id="598491918">
      <w:bodyDiv w:val="1"/>
      <w:marLeft w:val="0"/>
      <w:marRight w:val="0"/>
      <w:marTop w:val="0"/>
      <w:marBottom w:val="0"/>
      <w:divBdr>
        <w:top w:val="none" w:sz="0" w:space="0" w:color="auto"/>
        <w:left w:val="none" w:sz="0" w:space="0" w:color="auto"/>
        <w:bottom w:val="none" w:sz="0" w:space="0" w:color="auto"/>
        <w:right w:val="none" w:sz="0" w:space="0" w:color="auto"/>
      </w:divBdr>
    </w:div>
    <w:div w:id="611134011">
      <w:bodyDiv w:val="1"/>
      <w:marLeft w:val="0"/>
      <w:marRight w:val="0"/>
      <w:marTop w:val="0"/>
      <w:marBottom w:val="0"/>
      <w:divBdr>
        <w:top w:val="none" w:sz="0" w:space="0" w:color="auto"/>
        <w:left w:val="none" w:sz="0" w:space="0" w:color="auto"/>
        <w:bottom w:val="none" w:sz="0" w:space="0" w:color="auto"/>
        <w:right w:val="none" w:sz="0" w:space="0" w:color="auto"/>
      </w:divBdr>
      <w:divsChild>
        <w:div w:id="1743602190">
          <w:marLeft w:val="0"/>
          <w:marRight w:val="0"/>
          <w:marTop w:val="0"/>
          <w:marBottom w:val="0"/>
          <w:divBdr>
            <w:top w:val="none" w:sz="0" w:space="0" w:color="auto"/>
            <w:left w:val="none" w:sz="0" w:space="0" w:color="auto"/>
            <w:bottom w:val="none" w:sz="0" w:space="0" w:color="auto"/>
            <w:right w:val="none" w:sz="0" w:space="0" w:color="auto"/>
          </w:divBdr>
          <w:divsChild>
            <w:div w:id="1242373058">
              <w:marLeft w:val="0"/>
              <w:marRight w:val="0"/>
              <w:marTop w:val="0"/>
              <w:marBottom w:val="0"/>
              <w:divBdr>
                <w:top w:val="none" w:sz="0" w:space="0" w:color="auto"/>
                <w:left w:val="none" w:sz="0" w:space="0" w:color="auto"/>
                <w:bottom w:val="none" w:sz="0" w:space="0" w:color="auto"/>
                <w:right w:val="none" w:sz="0" w:space="0" w:color="auto"/>
              </w:divBdr>
              <w:divsChild>
                <w:div w:id="638535907">
                  <w:marLeft w:val="0"/>
                  <w:marRight w:val="0"/>
                  <w:marTop w:val="0"/>
                  <w:marBottom w:val="0"/>
                  <w:divBdr>
                    <w:top w:val="none" w:sz="0" w:space="0" w:color="auto"/>
                    <w:left w:val="none" w:sz="0" w:space="0" w:color="auto"/>
                    <w:bottom w:val="none" w:sz="0" w:space="0" w:color="auto"/>
                    <w:right w:val="none" w:sz="0" w:space="0" w:color="auto"/>
                  </w:divBdr>
                  <w:divsChild>
                    <w:div w:id="1429885195">
                      <w:marLeft w:val="0"/>
                      <w:marRight w:val="0"/>
                      <w:marTop w:val="0"/>
                      <w:marBottom w:val="0"/>
                      <w:divBdr>
                        <w:top w:val="none" w:sz="0" w:space="0" w:color="auto"/>
                        <w:left w:val="none" w:sz="0" w:space="0" w:color="auto"/>
                        <w:bottom w:val="none" w:sz="0" w:space="0" w:color="auto"/>
                        <w:right w:val="none" w:sz="0" w:space="0" w:color="auto"/>
                      </w:divBdr>
                      <w:divsChild>
                        <w:div w:id="1988506333">
                          <w:marLeft w:val="0"/>
                          <w:marRight w:val="0"/>
                          <w:marTop w:val="0"/>
                          <w:marBottom w:val="0"/>
                          <w:divBdr>
                            <w:top w:val="none" w:sz="0" w:space="0" w:color="auto"/>
                            <w:left w:val="none" w:sz="0" w:space="0" w:color="auto"/>
                            <w:bottom w:val="none" w:sz="0" w:space="0" w:color="auto"/>
                            <w:right w:val="none" w:sz="0" w:space="0" w:color="auto"/>
                          </w:divBdr>
                          <w:divsChild>
                            <w:div w:id="1350451444">
                              <w:marLeft w:val="0"/>
                              <w:marRight w:val="0"/>
                              <w:marTop w:val="0"/>
                              <w:marBottom w:val="0"/>
                              <w:divBdr>
                                <w:top w:val="none" w:sz="0" w:space="0" w:color="auto"/>
                                <w:left w:val="none" w:sz="0" w:space="0" w:color="auto"/>
                                <w:bottom w:val="none" w:sz="0" w:space="0" w:color="auto"/>
                                <w:right w:val="none" w:sz="0" w:space="0" w:color="auto"/>
                              </w:divBdr>
                              <w:divsChild>
                                <w:div w:id="1222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405297">
      <w:bodyDiv w:val="1"/>
      <w:marLeft w:val="0"/>
      <w:marRight w:val="0"/>
      <w:marTop w:val="0"/>
      <w:marBottom w:val="0"/>
      <w:divBdr>
        <w:top w:val="none" w:sz="0" w:space="0" w:color="auto"/>
        <w:left w:val="none" w:sz="0" w:space="0" w:color="auto"/>
        <w:bottom w:val="none" w:sz="0" w:space="0" w:color="auto"/>
        <w:right w:val="none" w:sz="0" w:space="0" w:color="auto"/>
      </w:divBdr>
    </w:div>
    <w:div w:id="637416250">
      <w:bodyDiv w:val="1"/>
      <w:marLeft w:val="0"/>
      <w:marRight w:val="0"/>
      <w:marTop w:val="0"/>
      <w:marBottom w:val="0"/>
      <w:divBdr>
        <w:top w:val="none" w:sz="0" w:space="0" w:color="auto"/>
        <w:left w:val="none" w:sz="0" w:space="0" w:color="auto"/>
        <w:bottom w:val="none" w:sz="0" w:space="0" w:color="auto"/>
        <w:right w:val="none" w:sz="0" w:space="0" w:color="auto"/>
      </w:divBdr>
    </w:div>
    <w:div w:id="692417858">
      <w:bodyDiv w:val="1"/>
      <w:marLeft w:val="0"/>
      <w:marRight w:val="0"/>
      <w:marTop w:val="0"/>
      <w:marBottom w:val="0"/>
      <w:divBdr>
        <w:top w:val="none" w:sz="0" w:space="0" w:color="auto"/>
        <w:left w:val="none" w:sz="0" w:space="0" w:color="auto"/>
        <w:bottom w:val="none" w:sz="0" w:space="0" w:color="auto"/>
        <w:right w:val="none" w:sz="0" w:space="0" w:color="auto"/>
      </w:divBdr>
    </w:div>
    <w:div w:id="712539940">
      <w:bodyDiv w:val="1"/>
      <w:marLeft w:val="0"/>
      <w:marRight w:val="0"/>
      <w:marTop w:val="0"/>
      <w:marBottom w:val="0"/>
      <w:divBdr>
        <w:top w:val="none" w:sz="0" w:space="0" w:color="auto"/>
        <w:left w:val="none" w:sz="0" w:space="0" w:color="auto"/>
        <w:bottom w:val="none" w:sz="0" w:space="0" w:color="auto"/>
        <w:right w:val="none" w:sz="0" w:space="0" w:color="auto"/>
      </w:divBdr>
    </w:div>
    <w:div w:id="730544838">
      <w:bodyDiv w:val="1"/>
      <w:marLeft w:val="0"/>
      <w:marRight w:val="0"/>
      <w:marTop w:val="0"/>
      <w:marBottom w:val="0"/>
      <w:divBdr>
        <w:top w:val="none" w:sz="0" w:space="0" w:color="auto"/>
        <w:left w:val="none" w:sz="0" w:space="0" w:color="auto"/>
        <w:bottom w:val="none" w:sz="0" w:space="0" w:color="auto"/>
        <w:right w:val="none" w:sz="0" w:space="0" w:color="auto"/>
      </w:divBdr>
    </w:div>
    <w:div w:id="732697082">
      <w:bodyDiv w:val="1"/>
      <w:marLeft w:val="0"/>
      <w:marRight w:val="0"/>
      <w:marTop w:val="0"/>
      <w:marBottom w:val="0"/>
      <w:divBdr>
        <w:top w:val="none" w:sz="0" w:space="0" w:color="auto"/>
        <w:left w:val="none" w:sz="0" w:space="0" w:color="auto"/>
        <w:bottom w:val="none" w:sz="0" w:space="0" w:color="auto"/>
        <w:right w:val="none" w:sz="0" w:space="0" w:color="auto"/>
      </w:divBdr>
    </w:div>
    <w:div w:id="753014420">
      <w:bodyDiv w:val="1"/>
      <w:marLeft w:val="0"/>
      <w:marRight w:val="0"/>
      <w:marTop w:val="0"/>
      <w:marBottom w:val="0"/>
      <w:divBdr>
        <w:top w:val="none" w:sz="0" w:space="0" w:color="auto"/>
        <w:left w:val="none" w:sz="0" w:space="0" w:color="auto"/>
        <w:bottom w:val="none" w:sz="0" w:space="0" w:color="auto"/>
        <w:right w:val="none" w:sz="0" w:space="0" w:color="auto"/>
      </w:divBdr>
    </w:div>
    <w:div w:id="762803275">
      <w:bodyDiv w:val="1"/>
      <w:marLeft w:val="0"/>
      <w:marRight w:val="0"/>
      <w:marTop w:val="0"/>
      <w:marBottom w:val="0"/>
      <w:divBdr>
        <w:top w:val="none" w:sz="0" w:space="0" w:color="auto"/>
        <w:left w:val="none" w:sz="0" w:space="0" w:color="auto"/>
        <w:bottom w:val="none" w:sz="0" w:space="0" w:color="auto"/>
        <w:right w:val="none" w:sz="0" w:space="0" w:color="auto"/>
      </w:divBdr>
    </w:div>
    <w:div w:id="800271108">
      <w:bodyDiv w:val="1"/>
      <w:marLeft w:val="0"/>
      <w:marRight w:val="0"/>
      <w:marTop w:val="0"/>
      <w:marBottom w:val="0"/>
      <w:divBdr>
        <w:top w:val="none" w:sz="0" w:space="0" w:color="auto"/>
        <w:left w:val="none" w:sz="0" w:space="0" w:color="auto"/>
        <w:bottom w:val="none" w:sz="0" w:space="0" w:color="auto"/>
        <w:right w:val="none" w:sz="0" w:space="0" w:color="auto"/>
      </w:divBdr>
    </w:div>
    <w:div w:id="801650087">
      <w:bodyDiv w:val="1"/>
      <w:marLeft w:val="0"/>
      <w:marRight w:val="0"/>
      <w:marTop w:val="0"/>
      <w:marBottom w:val="0"/>
      <w:divBdr>
        <w:top w:val="none" w:sz="0" w:space="0" w:color="auto"/>
        <w:left w:val="none" w:sz="0" w:space="0" w:color="auto"/>
        <w:bottom w:val="none" w:sz="0" w:space="0" w:color="auto"/>
        <w:right w:val="none" w:sz="0" w:space="0" w:color="auto"/>
      </w:divBdr>
    </w:div>
    <w:div w:id="806436536">
      <w:bodyDiv w:val="1"/>
      <w:marLeft w:val="0"/>
      <w:marRight w:val="0"/>
      <w:marTop w:val="0"/>
      <w:marBottom w:val="0"/>
      <w:divBdr>
        <w:top w:val="none" w:sz="0" w:space="0" w:color="auto"/>
        <w:left w:val="none" w:sz="0" w:space="0" w:color="auto"/>
        <w:bottom w:val="none" w:sz="0" w:space="0" w:color="auto"/>
        <w:right w:val="none" w:sz="0" w:space="0" w:color="auto"/>
      </w:divBdr>
    </w:div>
    <w:div w:id="859663932">
      <w:bodyDiv w:val="1"/>
      <w:marLeft w:val="0"/>
      <w:marRight w:val="0"/>
      <w:marTop w:val="0"/>
      <w:marBottom w:val="0"/>
      <w:divBdr>
        <w:top w:val="none" w:sz="0" w:space="0" w:color="auto"/>
        <w:left w:val="none" w:sz="0" w:space="0" w:color="auto"/>
        <w:bottom w:val="none" w:sz="0" w:space="0" w:color="auto"/>
        <w:right w:val="none" w:sz="0" w:space="0" w:color="auto"/>
      </w:divBdr>
    </w:div>
    <w:div w:id="877863716">
      <w:bodyDiv w:val="1"/>
      <w:marLeft w:val="0"/>
      <w:marRight w:val="0"/>
      <w:marTop w:val="0"/>
      <w:marBottom w:val="0"/>
      <w:divBdr>
        <w:top w:val="none" w:sz="0" w:space="0" w:color="auto"/>
        <w:left w:val="none" w:sz="0" w:space="0" w:color="auto"/>
        <w:bottom w:val="none" w:sz="0" w:space="0" w:color="auto"/>
        <w:right w:val="none" w:sz="0" w:space="0" w:color="auto"/>
      </w:divBdr>
    </w:div>
    <w:div w:id="974219929">
      <w:bodyDiv w:val="1"/>
      <w:marLeft w:val="0"/>
      <w:marRight w:val="0"/>
      <w:marTop w:val="0"/>
      <w:marBottom w:val="0"/>
      <w:divBdr>
        <w:top w:val="none" w:sz="0" w:space="0" w:color="auto"/>
        <w:left w:val="none" w:sz="0" w:space="0" w:color="auto"/>
        <w:bottom w:val="none" w:sz="0" w:space="0" w:color="auto"/>
        <w:right w:val="none" w:sz="0" w:space="0" w:color="auto"/>
      </w:divBdr>
    </w:div>
    <w:div w:id="1007093225">
      <w:bodyDiv w:val="1"/>
      <w:marLeft w:val="0"/>
      <w:marRight w:val="0"/>
      <w:marTop w:val="0"/>
      <w:marBottom w:val="0"/>
      <w:divBdr>
        <w:top w:val="none" w:sz="0" w:space="0" w:color="auto"/>
        <w:left w:val="none" w:sz="0" w:space="0" w:color="auto"/>
        <w:bottom w:val="none" w:sz="0" w:space="0" w:color="auto"/>
        <w:right w:val="none" w:sz="0" w:space="0" w:color="auto"/>
      </w:divBdr>
    </w:div>
    <w:div w:id="1012416488">
      <w:bodyDiv w:val="1"/>
      <w:marLeft w:val="0"/>
      <w:marRight w:val="0"/>
      <w:marTop w:val="0"/>
      <w:marBottom w:val="0"/>
      <w:divBdr>
        <w:top w:val="none" w:sz="0" w:space="0" w:color="auto"/>
        <w:left w:val="none" w:sz="0" w:space="0" w:color="auto"/>
        <w:bottom w:val="none" w:sz="0" w:space="0" w:color="auto"/>
        <w:right w:val="none" w:sz="0" w:space="0" w:color="auto"/>
      </w:divBdr>
    </w:div>
    <w:div w:id="1034158635">
      <w:bodyDiv w:val="1"/>
      <w:marLeft w:val="0"/>
      <w:marRight w:val="0"/>
      <w:marTop w:val="0"/>
      <w:marBottom w:val="0"/>
      <w:divBdr>
        <w:top w:val="none" w:sz="0" w:space="0" w:color="auto"/>
        <w:left w:val="none" w:sz="0" w:space="0" w:color="auto"/>
        <w:bottom w:val="none" w:sz="0" w:space="0" w:color="auto"/>
        <w:right w:val="none" w:sz="0" w:space="0" w:color="auto"/>
      </w:divBdr>
    </w:div>
    <w:div w:id="1040326000">
      <w:bodyDiv w:val="1"/>
      <w:marLeft w:val="0"/>
      <w:marRight w:val="0"/>
      <w:marTop w:val="0"/>
      <w:marBottom w:val="0"/>
      <w:divBdr>
        <w:top w:val="none" w:sz="0" w:space="0" w:color="auto"/>
        <w:left w:val="none" w:sz="0" w:space="0" w:color="auto"/>
        <w:bottom w:val="none" w:sz="0" w:space="0" w:color="auto"/>
        <w:right w:val="none" w:sz="0" w:space="0" w:color="auto"/>
      </w:divBdr>
    </w:div>
    <w:div w:id="1092815566">
      <w:bodyDiv w:val="1"/>
      <w:marLeft w:val="0"/>
      <w:marRight w:val="0"/>
      <w:marTop w:val="0"/>
      <w:marBottom w:val="0"/>
      <w:divBdr>
        <w:top w:val="none" w:sz="0" w:space="0" w:color="auto"/>
        <w:left w:val="none" w:sz="0" w:space="0" w:color="auto"/>
        <w:bottom w:val="none" w:sz="0" w:space="0" w:color="auto"/>
        <w:right w:val="none" w:sz="0" w:space="0" w:color="auto"/>
      </w:divBdr>
    </w:div>
    <w:div w:id="1098796296">
      <w:bodyDiv w:val="1"/>
      <w:marLeft w:val="0"/>
      <w:marRight w:val="0"/>
      <w:marTop w:val="0"/>
      <w:marBottom w:val="0"/>
      <w:divBdr>
        <w:top w:val="none" w:sz="0" w:space="0" w:color="auto"/>
        <w:left w:val="none" w:sz="0" w:space="0" w:color="auto"/>
        <w:bottom w:val="none" w:sz="0" w:space="0" w:color="auto"/>
        <w:right w:val="none" w:sz="0" w:space="0" w:color="auto"/>
      </w:divBdr>
    </w:div>
    <w:div w:id="1102603887">
      <w:bodyDiv w:val="1"/>
      <w:marLeft w:val="0"/>
      <w:marRight w:val="0"/>
      <w:marTop w:val="0"/>
      <w:marBottom w:val="0"/>
      <w:divBdr>
        <w:top w:val="none" w:sz="0" w:space="0" w:color="auto"/>
        <w:left w:val="none" w:sz="0" w:space="0" w:color="auto"/>
        <w:bottom w:val="none" w:sz="0" w:space="0" w:color="auto"/>
        <w:right w:val="none" w:sz="0" w:space="0" w:color="auto"/>
      </w:divBdr>
    </w:div>
    <w:div w:id="1105153310">
      <w:bodyDiv w:val="1"/>
      <w:marLeft w:val="0"/>
      <w:marRight w:val="0"/>
      <w:marTop w:val="0"/>
      <w:marBottom w:val="0"/>
      <w:divBdr>
        <w:top w:val="none" w:sz="0" w:space="0" w:color="auto"/>
        <w:left w:val="none" w:sz="0" w:space="0" w:color="auto"/>
        <w:bottom w:val="none" w:sz="0" w:space="0" w:color="auto"/>
        <w:right w:val="none" w:sz="0" w:space="0" w:color="auto"/>
      </w:divBdr>
    </w:div>
    <w:div w:id="1130053884">
      <w:bodyDiv w:val="1"/>
      <w:marLeft w:val="0"/>
      <w:marRight w:val="0"/>
      <w:marTop w:val="0"/>
      <w:marBottom w:val="0"/>
      <w:divBdr>
        <w:top w:val="none" w:sz="0" w:space="0" w:color="auto"/>
        <w:left w:val="none" w:sz="0" w:space="0" w:color="auto"/>
        <w:bottom w:val="none" w:sz="0" w:space="0" w:color="auto"/>
        <w:right w:val="none" w:sz="0" w:space="0" w:color="auto"/>
      </w:divBdr>
    </w:div>
    <w:div w:id="1136801788">
      <w:bodyDiv w:val="1"/>
      <w:marLeft w:val="0"/>
      <w:marRight w:val="0"/>
      <w:marTop w:val="0"/>
      <w:marBottom w:val="0"/>
      <w:divBdr>
        <w:top w:val="none" w:sz="0" w:space="0" w:color="auto"/>
        <w:left w:val="none" w:sz="0" w:space="0" w:color="auto"/>
        <w:bottom w:val="none" w:sz="0" w:space="0" w:color="auto"/>
        <w:right w:val="none" w:sz="0" w:space="0" w:color="auto"/>
      </w:divBdr>
    </w:div>
    <w:div w:id="1279679563">
      <w:bodyDiv w:val="1"/>
      <w:marLeft w:val="0"/>
      <w:marRight w:val="0"/>
      <w:marTop w:val="0"/>
      <w:marBottom w:val="0"/>
      <w:divBdr>
        <w:top w:val="none" w:sz="0" w:space="0" w:color="auto"/>
        <w:left w:val="none" w:sz="0" w:space="0" w:color="auto"/>
        <w:bottom w:val="none" w:sz="0" w:space="0" w:color="auto"/>
        <w:right w:val="none" w:sz="0" w:space="0" w:color="auto"/>
      </w:divBdr>
    </w:div>
    <w:div w:id="1335642621">
      <w:bodyDiv w:val="1"/>
      <w:marLeft w:val="0"/>
      <w:marRight w:val="0"/>
      <w:marTop w:val="0"/>
      <w:marBottom w:val="0"/>
      <w:divBdr>
        <w:top w:val="none" w:sz="0" w:space="0" w:color="auto"/>
        <w:left w:val="none" w:sz="0" w:space="0" w:color="auto"/>
        <w:bottom w:val="none" w:sz="0" w:space="0" w:color="auto"/>
        <w:right w:val="none" w:sz="0" w:space="0" w:color="auto"/>
      </w:divBdr>
    </w:div>
    <w:div w:id="1362124079">
      <w:bodyDiv w:val="1"/>
      <w:marLeft w:val="0"/>
      <w:marRight w:val="0"/>
      <w:marTop w:val="0"/>
      <w:marBottom w:val="0"/>
      <w:divBdr>
        <w:top w:val="none" w:sz="0" w:space="0" w:color="auto"/>
        <w:left w:val="none" w:sz="0" w:space="0" w:color="auto"/>
        <w:bottom w:val="none" w:sz="0" w:space="0" w:color="auto"/>
        <w:right w:val="none" w:sz="0" w:space="0" w:color="auto"/>
      </w:divBdr>
    </w:div>
    <w:div w:id="1369141467">
      <w:bodyDiv w:val="1"/>
      <w:marLeft w:val="0"/>
      <w:marRight w:val="0"/>
      <w:marTop w:val="0"/>
      <w:marBottom w:val="0"/>
      <w:divBdr>
        <w:top w:val="none" w:sz="0" w:space="0" w:color="auto"/>
        <w:left w:val="none" w:sz="0" w:space="0" w:color="auto"/>
        <w:bottom w:val="none" w:sz="0" w:space="0" w:color="auto"/>
        <w:right w:val="none" w:sz="0" w:space="0" w:color="auto"/>
      </w:divBdr>
    </w:div>
    <w:div w:id="1371882208">
      <w:bodyDiv w:val="1"/>
      <w:marLeft w:val="0"/>
      <w:marRight w:val="0"/>
      <w:marTop w:val="0"/>
      <w:marBottom w:val="0"/>
      <w:divBdr>
        <w:top w:val="none" w:sz="0" w:space="0" w:color="auto"/>
        <w:left w:val="none" w:sz="0" w:space="0" w:color="auto"/>
        <w:bottom w:val="none" w:sz="0" w:space="0" w:color="auto"/>
        <w:right w:val="none" w:sz="0" w:space="0" w:color="auto"/>
      </w:divBdr>
    </w:div>
    <w:div w:id="1380787478">
      <w:bodyDiv w:val="1"/>
      <w:marLeft w:val="0"/>
      <w:marRight w:val="0"/>
      <w:marTop w:val="0"/>
      <w:marBottom w:val="0"/>
      <w:divBdr>
        <w:top w:val="none" w:sz="0" w:space="0" w:color="auto"/>
        <w:left w:val="none" w:sz="0" w:space="0" w:color="auto"/>
        <w:bottom w:val="none" w:sz="0" w:space="0" w:color="auto"/>
        <w:right w:val="none" w:sz="0" w:space="0" w:color="auto"/>
      </w:divBdr>
    </w:div>
    <w:div w:id="1408845342">
      <w:bodyDiv w:val="1"/>
      <w:marLeft w:val="0"/>
      <w:marRight w:val="0"/>
      <w:marTop w:val="0"/>
      <w:marBottom w:val="0"/>
      <w:divBdr>
        <w:top w:val="none" w:sz="0" w:space="0" w:color="auto"/>
        <w:left w:val="none" w:sz="0" w:space="0" w:color="auto"/>
        <w:bottom w:val="none" w:sz="0" w:space="0" w:color="auto"/>
        <w:right w:val="none" w:sz="0" w:space="0" w:color="auto"/>
      </w:divBdr>
      <w:divsChild>
        <w:div w:id="1903709075">
          <w:marLeft w:val="0"/>
          <w:marRight w:val="0"/>
          <w:marTop w:val="0"/>
          <w:marBottom w:val="0"/>
          <w:divBdr>
            <w:top w:val="none" w:sz="0" w:space="0" w:color="auto"/>
            <w:left w:val="none" w:sz="0" w:space="0" w:color="auto"/>
            <w:bottom w:val="none" w:sz="0" w:space="0" w:color="auto"/>
            <w:right w:val="none" w:sz="0" w:space="0" w:color="auto"/>
          </w:divBdr>
          <w:divsChild>
            <w:div w:id="867646755">
              <w:marLeft w:val="0"/>
              <w:marRight w:val="0"/>
              <w:marTop w:val="0"/>
              <w:marBottom w:val="0"/>
              <w:divBdr>
                <w:top w:val="none" w:sz="0" w:space="0" w:color="auto"/>
                <w:left w:val="single" w:sz="6" w:space="0" w:color="065194"/>
                <w:bottom w:val="none" w:sz="0" w:space="0" w:color="auto"/>
                <w:right w:val="single" w:sz="6" w:space="0" w:color="065194"/>
              </w:divBdr>
              <w:divsChild>
                <w:div w:id="1444300386">
                  <w:marLeft w:val="0"/>
                  <w:marRight w:val="0"/>
                  <w:marTop w:val="0"/>
                  <w:marBottom w:val="0"/>
                  <w:divBdr>
                    <w:top w:val="single" w:sz="6" w:space="0" w:color="B1B6B2"/>
                    <w:left w:val="single" w:sz="6" w:space="0" w:color="B1B6B2"/>
                    <w:bottom w:val="none" w:sz="0" w:space="0" w:color="auto"/>
                    <w:right w:val="single" w:sz="6" w:space="0" w:color="B1B6B2"/>
                  </w:divBdr>
                  <w:divsChild>
                    <w:div w:id="1911386285">
                      <w:marLeft w:val="0"/>
                      <w:marRight w:val="-3675"/>
                      <w:marTop w:val="0"/>
                      <w:marBottom w:val="0"/>
                      <w:divBdr>
                        <w:top w:val="none" w:sz="0" w:space="0" w:color="auto"/>
                        <w:left w:val="none" w:sz="0" w:space="0" w:color="auto"/>
                        <w:bottom w:val="none" w:sz="0" w:space="0" w:color="auto"/>
                        <w:right w:val="none" w:sz="0" w:space="0" w:color="auto"/>
                      </w:divBdr>
                      <w:divsChild>
                        <w:div w:id="1740009906">
                          <w:marLeft w:val="0"/>
                          <w:marRight w:val="3675"/>
                          <w:marTop w:val="0"/>
                          <w:marBottom w:val="0"/>
                          <w:divBdr>
                            <w:top w:val="none" w:sz="0" w:space="0" w:color="auto"/>
                            <w:left w:val="none" w:sz="0" w:space="0" w:color="auto"/>
                            <w:bottom w:val="none" w:sz="0" w:space="0" w:color="auto"/>
                            <w:right w:val="none" w:sz="0" w:space="0" w:color="auto"/>
                          </w:divBdr>
                          <w:divsChild>
                            <w:div w:id="1158957010">
                              <w:marLeft w:val="0"/>
                              <w:marRight w:val="0"/>
                              <w:marTop w:val="0"/>
                              <w:marBottom w:val="0"/>
                              <w:divBdr>
                                <w:top w:val="none" w:sz="0" w:space="0" w:color="auto"/>
                                <w:left w:val="none" w:sz="0" w:space="0" w:color="auto"/>
                                <w:bottom w:val="none" w:sz="0" w:space="0" w:color="auto"/>
                                <w:right w:val="none" w:sz="0" w:space="0" w:color="auto"/>
                              </w:divBdr>
                              <w:divsChild>
                                <w:div w:id="1289773448">
                                  <w:marLeft w:val="3225"/>
                                  <w:marRight w:val="0"/>
                                  <w:marTop w:val="0"/>
                                  <w:marBottom w:val="0"/>
                                  <w:divBdr>
                                    <w:top w:val="none" w:sz="0" w:space="0" w:color="auto"/>
                                    <w:left w:val="none" w:sz="0" w:space="0" w:color="auto"/>
                                    <w:bottom w:val="none" w:sz="0" w:space="0" w:color="auto"/>
                                    <w:right w:val="none" w:sz="0" w:space="0" w:color="auto"/>
                                  </w:divBdr>
                                  <w:divsChild>
                                    <w:div w:id="1592006559">
                                      <w:marLeft w:val="0"/>
                                      <w:marRight w:val="0"/>
                                      <w:marTop w:val="0"/>
                                      <w:marBottom w:val="300"/>
                                      <w:divBdr>
                                        <w:top w:val="single" w:sz="6" w:space="0" w:color="B1B6B2"/>
                                        <w:left w:val="single" w:sz="6" w:space="0" w:color="B1B6B2"/>
                                        <w:bottom w:val="single" w:sz="6" w:space="0" w:color="B1B6B2"/>
                                        <w:right w:val="single" w:sz="6" w:space="0" w:color="B1B6B2"/>
                                      </w:divBdr>
                                      <w:divsChild>
                                        <w:div w:id="797913177">
                                          <w:marLeft w:val="0"/>
                                          <w:marRight w:val="0"/>
                                          <w:marTop w:val="30"/>
                                          <w:marBottom w:val="0"/>
                                          <w:divBdr>
                                            <w:top w:val="dotted"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420092">
      <w:bodyDiv w:val="1"/>
      <w:marLeft w:val="0"/>
      <w:marRight w:val="0"/>
      <w:marTop w:val="0"/>
      <w:marBottom w:val="0"/>
      <w:divBdr>
        <w:top w:val="none" w:sz="0" w:space="0" w:color="auto"/>
        <w:left w:val="none" w:sz="0" w:space="0" w:color="auto"/>
        <w:bottom w:val="none" w:sz="0" w:space="0" w:color="auto"/>
        <w:right w:val="none" w:sz="0" w:space="0" w:color="auto"/>
      </w:divBdr>
    </w:div>
    <w:div w:id="1431320005">
      <w:bodyDiv w:val="1"/>
      <w:marLeft w:val="0"/>
      <w:marRight w:val="0"/>
      <w:marTop w:val="0"/>
      <w:marBottom w:val="0"/>
      <w:divBdr>
        <w:top w:val="none" w:sz="0" w:space="0" w:color="auto"/>
        <w:left w:val="none" w:sz="0" w:space="0" w:color="auto"/>
        <w:bottom w:val="none" w:sz="0" w:space="0" w:color="auto"/>
        <w:right w:val="none" w:sz="0" w:space="0" w:color="auto"/>
      </w:divBdr>
    </w:div>
    <w:div w:id="1431587469">
      <w:bodyDiv w:val="1"/>
      <w:marLeft w:val="0"/>
      <w:marRight w:val="0"/>
      <w:marTop w:val="0"/>
      <w:marBottom w:val="0"/>
      <w:divBdr>
        <w:top w:val="none" w:sz="0" w:space="0" w:color="auto"/>
        <w:left w:val="none" w:sz="0" w:space="0" w:color="auto"/>
        <w:bottom w:val="none" w:sz="0" w:space="0" w:color="auto"/>
        <w:right w:val="none" w:sz="0" w:space="0" w:color="auto"/>
      </w:divBdr>
    </w:div>
    <w:div w:id="1471359806">
      <w:bodyDiv w:val="1"/>
      <w:marLeft w:val="0"/>
      <w:marRight w:val="0"/>
      <w:marTop w:val="0"/>
      <w:marBottom w:val="0"/>
      <w:divBdr>
        <w:top w:val="none" w:sz="0" w:space="0" w:color="auto"/>
        <w:left w:val="none" w:sz="0" w:space="0" w:color="auto"/>
        <w:bottom w:val="none" w:sz="0" w:space="0" w:color="auto"/>
        <w:right w:val="none" w:sz="0" w:space="0" w:color="auto"/>
      </w:divBdr>
    </w:div>
    <w:div w:id="1489707370">
      <w:bodyDiv w:val="1"/>
      <w:marLeft w:val="0"/>
      <w:marRight w:val="0"/>
      <w:marTop w:val="0"/>
      <w:marBottom w:val="0"/>
      <w:divBdr>
        <w:top w:val="none" w:sz="0" w:space="0" w:color="auto"/>
        <w:left w:val="none" w:sz="0" w:space="0" w:color="auto"/>
        <w:bottom w:val="none" w:sz="0" w:space="0" w:color="auto"/>
        <w:right w:val="none" w:sz="0" w:space="0" w:color="auto"/>
      </w:divBdr>
    </w:div>
    <w:div w:id="1500534676">
      <w:bodyDiv w:val="1"/>
      <w:marLeft w:val="0"/>
      <w:marRight w:val="0"/>
      <w:marTop w:val="0"/>
      <w:marBottom w:val="0"/>
      <w:divBdr>
        <w:top w:val="none" w:sz="0" w:space="0" w:color="auto"/>
        <w:left w:val="none" w:sz="0" w:space="0" w:color="auto"/>
        <w:bottom w:val="none" w:sz="0" w:space="0" w:color="auto"/>
        <w:right w:val="none" w:sz="0" w:space="0" w:color="auto"/>
      </w:divBdr>
    </w:div>
    <w:div w:id="1502282620">
      <w:bodyDiv w:val="1"/>
      <w:marLeft w:val="0"/>
      <w:marRight w:val="0"/>
      <w:marTop w:val="0"/>
      <w:marBottom w:val="0"/>
      <w:divBdr>
        <w:top w:val="none" w:sz="0" w:space="0" w:color="auto"/>
        <w:left w:val="none" w:sz="0" w:space="0" w:color="auto"/>
        <w:bottom w:val="none" w:sz="0" w:space="0" w:color="auto"/>
        <w:right w:val="none" w:sz="0" w:space="0" w:color="auto"/>
      </w:divBdr>
    </w:div>
    <w:div w:id="1527131857">
      <w:bodyDiv w:val="1"/>
      <w:marLeft w:val="0"/>
      <w:marRight w:val="0"/>
      <w:marTop w:val="0"/>
      <w:marBottom w:val="0"/>
      <w:divBdr>
        <w:top w:val="none" w:sz="0" w:space="0" w:color="auto"/>
        <w:left w:val="none" w:sz="0" w:space="0" w:color="auto"/>
        <w:bottom w:val="none" w:sz="0" w:space="0" w:color="auto"/>
        <w:right w:val="none" w:sz="0" w:space="0" w:color="auto"/>
      </w:divBdr>
    </w:div>
    <w:div w:id="1533104642">
      <w:bodyDiv w:val="1"/>
      <w:marLeft w:val="0"/>
      <w:marRight w:val="0"/>
      <w:marTop w:val="0"/>
      <w:marBottom w:val="0"/>
      <w:divBdr>
        <w:top w:val="none" w:sz="0" w:space="0" w:color="auto"/>
        <w:left w:val="none" w:sz="0" w:space="0" w:color="auto"/>
        <w:bottom w:val="none" w:sz="0" w:space="0" w:color="auto"/>
        <w:right w:val="none" w:sz="0" w:space="0" w:color="auto"/>
      </w:divBdr>
    </w:div>
    <w:div w:id="1562709824">
      <w:bodyDiv w:val="1"/>
      <w:marLeft w:val="0"/>
      <w:marRight w:val="0"/>
      <w:marTop w:val="0"/>
      <w:marBottom w:val="0"/>
      <w:divBdr>
        <w:top w:val="none" w:sz="0" w:space="0" w:color="auto"/>
        <w:left w:val="none" w:sz="0" w:space="0" w:color="auto"/>
        <w:bottom w:val="none" w:sz="0" w:space="0" w:color="auto"/>
        <w:right w:val="none" w:sz="0" w:space="0" w:color="auto"/>
      </w:divBdr>
    </w:div>
    <w:div w:id="1562715748">
      <w:bodyDiv w:val="1"/>
      <w:marLeft w:val="0"/>
      <w:marRight w:val="0"/>
      <w:marTop w:val="0"/>
      <w:marBottom w:val="0"/>
      <w:divBdr>
        <w:top w:val="none" w:sz="0" w:space="0" w:color="auto"/>
        <w:left w:val="none" w:sz="0" w:space="0" w:color="auto"/>
        <w:bottom w:val="none" w:sz="0" w:space="0" w:color="auto"/>
        <w:right w:val="none" w:sz="0" w:space="0" w:color="auto"/>
      </w:divBdr>
    </w:div>
    <w:div w:id="1586181520">
      <w:bodyDiv w:val="1"/>
      <w:marLeft w:val="0"/>
      <w:marRight w:val="0"/>
      <w:marTop w:val="0"/>
      <w:marBottom w:val="0"/>
      <w:divBdr>
        <w:top w:val="none" w:sz="0" w:space="0" w:color="auto"/>
        <w:left w:val="none" w:sz="0" w:space="0" w:color="auto"/>
        <w:bottom w:val="none" w:sz="0" w:space="0" w:color="auto"/>
        <w:right w:val="none" w:sz="0" w:space="0" w:color="auto"/>
      </w:divBdr>
    </w:div>
    <w:div w:id="1588608727">
      <w:bodyDiv w:val="1"/>
      <w:marLeft w:val="0"/>
      <w:marRight w:val="0"/>
      <w:marTop w:val="0"/>
      <w:marBottom w:val="0"/>
      <w:divBdr>
        <w:top w:val="none" w:sz="0" w:space="0" w:color="auto"/>
        <w:left w:val="none" w:sz="0" w:space="0" w:color="auto"/>
        <w:bottom w:val="none" w:sz="0" w:space="0" w:color="auto"/>
        <w:right w:val="none" w:sz="0" w:space="0" w:color="auto"/>
      </w:divBdr>
    </w:div>
    <w:div w:id="1596136602">
      <w:bodyDiv w:val="1"/>
      <w:marLeft w:val="0"/>
      <w:marRight w:val="0"/>
      <w:marTop w:val="0"/>
      <w:marBottom w:val="0"/>
      <w:divBdr>
        <w:top w:val="none" w:sz="0" w:space="0" w:color="auto"/>
        <w:left w:val="none" w:sz="0" w:space="0" w:color="auto"/>
        <w:bottom w:val="none" w:sz="0" w:space="0" w:color="auto"/>
        <w:right w:val="none" w:sz="0" w:space="0" w:color="auto"/>
      </w:divBdr>
    </w:div>
    <w:div w:id="1596554170">
      <w:bodyDiv w:val="1"/>
      <w:marLeft w:val="0"/>
      <w:marRight w:val="0"/>
      <w:marTop w:val="0"/>
      <w:marBottom w:val="0"/>
      <w:divBdr>
        <w:top w:val="none" w:sz="0" w:space="0" w:color="auto"/>
        <w:left w:val="none" w:sz="0" w:space="0" w:color="auto"/>
        <w:bottom w:val="none" w:sz="0" w:space="0" w:color="auto"/>
        <w:right w:val="none" w:sz="0" w:space="0" w:color="auto"/>
      </w:divBdr>
    </w:div>
    <w:div w:id="1602835004">
      <w:bodyDiv w:val="1"/>
      <w:marLeft w:val="0"/>
      <w:marRight w:val="0"/>
      <w:marTop w:val="0"/>
      <w:marBottom w:val="0"/>
      <w:divBdr>
        <w:top w:val="none" w:sz="0" w:space="0" w:color="auto"/>
        <w:left w:val="none" w:sz="0" w:space="0" w:color="auto"/>
        <w:bottom w:val="none" w:sz="0" w:space="0" w:color="auto"/>
        <w:right w:val="none" w:sz="0" w:space="0" w:color="auto"/>
      </w:divBdr>
    </w:div>
    <w:div w:id="1624464079">
      <w:bodyDiv w:val="1"/>
      <w:marLeft w:val="0"/>
      <w:marRight w:val="0"/>
      <w:marTop w:val="0"/>
      <w:marBottom w:val="0"/>
      <w:divBdr>
        <w:top w:val="none" w:sz="0" w:space="0" w:color="auto"/>
        <w:left w:val="none" w:sz="0" w:space="0" w:color="auto"/>
        <w:bottom w:val="none" w:sz="0" w:space="0" w:color="auto"/>
        <w:right w:val="none" w:sz="0" w:space="0" w:color="auto"/>
      </w:divBdr>
    </w:div>
    <w:div w:id="1631013258">
      <w:bodyDiv w:val="1"/>
      <w:marLeft w:val="0"/>
      <w:marRight w:val="0"/>
      <w:marTop w:val="0"/>
      <w:marBottom w:val="0"/>
      <w:divBdr>
        <w:top w:val="none" w:sz="0" w:space="0" w:color="auto"/>
        <w:left w:val="none" w:sz="0" w:space="0" w:color="auto"/>
        <w:bottom w:val="none" w:sz="0" w:space="0" w:color="auto"/>
        <w:right w:val="none" w:sz="0" w:space="0" w:color="auto"/>
      </w:divBdr>
    </w:div>
    <w:div w:id="1654871476">
      <w:bodyDiv w:val="1"/>
      <w:marLeft w:val="0"/>
      <w:marRight w:val="0"/>
      <w:marTop w:val="0"/>
      <w:marBottom w:val="0"/>
      <w:divBdr>
        <w:top w:val="none" w:sz="0" w:space="0" w:color="auto"/>
        <w:left w:val="none" w:sz="0" w:space="0" w:color="auto"/>
        <w:bottom w:val="none" w:sz="0" w:space="0" w:color="auto"/>
        <w:right w:val="none" w:sz="0" w:space="0" w:color="auto"/>
      </w:divBdr>
    </w:div>
    <w:div w:id="1672297606">
      <w:bodyDiv w:val="1"/>
      <w:marLeft w:val="0"/>
      <w:marRight w:val="0"/>
      <w:marTop w:val="0"/>
      <w:marBottom w:val="0"/>
      <w:divBdr>
        <w:top w:val="none" w:sz="0" w:space="0" w:color="auto"/>
        <w:left w:val="none" w:sz="0" w:space="0" w:color="auto"/>
        <w:bottom w:val="none" w:sz="0" w:space="0" w:color="auto"/>
        <w:right w:val="none" w:sz="0" w:space="0" w:color="auto"/>
      </w:divBdr>
    </w:div>
    <w:div w:id="1672902883">
      <w:bodyDiv w:val="1"/>
      <w:marLeft w:val="0"/>
      <w:marRight w:val="0"/>
      <w:marTop w:val="0"/>
      <w:marBottom w:val="0"/>
      <w:divBdr>
        <w:top w:val="none" w:sz="0" w:space="0" w:color="auto"/>
        <w:left w:val="none" w:sz="0" w:space="0" w:color="auto"/>
        <w:bottom w:val="none" w:sz="0" w:space="0" w:color="auto"/>
        <w:right w:val="none" w:sz="0" w:space="0" w:color="auto"/>
      </w:divBdr>
    </w:div>
    <w:div w:id="1697538249">
      <w:bodyDiv w:val="1"/>
      <w:marLeft w:val="0"/>
      <w:marRight w:val="0"/>
      <w:marTop w:val="0"/>
      <w:marBottom w:val="0"/>
      <w:divBdr>
        <w:top w:val="none" w:sz="0" w:space="0" w:color="auto"/>
        <w:left w:val="none" w:sz="0" w:space="0" w:color="auto"/>
        <w:bottom w:val="none" w:sz="0" w:space="0" w:color="auto"/>
        <w:right w:val="none" w:sz="0" w:space="0" w:color="auto"/>
      </w:divBdr>
    </w:div>
    <w:div w:id="1705715453">
      <w:bodyDiv w:val="1"/>
      <w:marLeft w:val="0"/>
      <w:marRight w:val="0"/>
      <w:marTop w:val="0"/>
      <w:marBottom w:val="0"/>
      <w:divBdr>
        <w:top w:val="none" w:sz="0" w:space="0" w:color="auto"/>
        <w:left w:val="none" w:sz="0" w:space="0" w:color="auto"/>
        <w:bottom w:val="none" w:sz="0" w:space="0" w:color="auto"/>
        <w:right w:val="none" w:sz="0" w:space="0" w:color="auto"/>
      </w:divBdr>
    </w:div>
    <w:div w:id="1727416996">
      <w:bodyDiv w:val="1"/>
      <w:marLeft w:val="0"/>
      <w:marRight w:val="0"/>
      <w:marTop w:val="0"/>
      <w:marBottom w:val="0"/>
      <w:divBdr>
        <w:top w:val="none" w:sz="0" w:space="0" w:color="auto"/>
        <w:left w:val="none" w:sz="0" w:space="0" w:color="auto"/>
        <w:bottom w:val="none" w:sz="0" w:space="0" w:color="auto"/>
        <w:right w:val="none" w:sz="0" w:space="0" w:color="auto"/>
      </w:divBdr>
    </w:div>
    <w:div w:id="1752316116">
      <w:bodyDiv w:val="1"/>
      <w:marLeft w:val="0"/>
      <w:marRight w:val="0"/>
      <w:marTop w:val="0"/>
      <w:marBottom w:val="0"/>
      <w:divBdr>
        <w:top w:val="none" w:sz="0" w:space="0" w:color="auto"/>
        <w:left w:val="none" w:sz="0" w:space="0" w:color="auto"/>
        <w:bottom w:val="none" w:sz="0" w:space="0" w:color="auto"/>
        <w:right w:val="none" w:sz="0" w:space="0" w:color="auto"/>
      </w:divBdr>
    </w:div>
    <w:div w:id="1760059245">
      <w:bodyDiv w:val="1"/>
      <w:marLeft w:val="0"/>
      <w:marRight w:val="0"/>
      <w:marTop w:val="0"/>
      <w:marBottom w:val="0"/>
      <w:divBdr>
        <w:top w:val="none" w:sz="0" w:space="0" w:color="auto"/>
        <w:left w:val="none" w:sz="0" w:space="0" w:color="auto"/>
        <w:bottom w:val="none" w:sz="0" w:space="0" w:color="auto"/>
        <w:right w:val="none" w:sz="0" w:space="0" w:color="auto"/>
      </w:divBdr>
    </w:div>
    <w:div w:id="1791121361">
      <w:bodyDiv w:val="1"/>
      <w:marLeft w:val="0"/>
      <w:marRight w:val="0"/>
      <w:marTop w:val="0"/>
      <w:marBottom w:val="0"/>
      <w:divBdr>
        <w:top w:val="none" w:sz="0" w:space="0" w:color="auto"/>
        <w:left w:val="none" w:sz="0" w:space="0" w:color="auto"/>
        <w:bottom w:val="none" w:sz="0" w:space="0" w:color="auto"/>
        <w:right w:val="none" w:sz="0" w:space="0" w:color="auto"/>
      </w:divBdr>
    </w:div>
    <w:div w:id="1815365511">
      <w:bodyDiv w:val="1"/>
      <w:marLeft w:val="0"/>
      <w:marRight w:val="0"/>
      <w:marTop w:val="0"/>
      <w:marBottom w:val="0"/>
      <w:divBdr>
        <w:top w:val="none" w:sz="0" w:space="0" w:color="auto"/>
        <w:left w:val="none" w:sz="0" w:space="0" w:color="auto"/>
        <w:bottom w:val="none" w:sz="0" w:space="0" w:color="auto"/>
        <w:right w:val="none" w:sz="0" w:space="0" w:color="auto"/>
      </w:divBdr>
    </w:div>
    <w:div w:id="1826125950">
      <w:bodyDiv w:val="1"/>
      <w:marLeft w:val="0"/>
      <w:marRight w:val="0"/>
      <w:marTop w:val="0"/>
      <w:marBottom w:val="0"/>
      <w:divBdr>
        <w:top w:val="none" w:sz="0" w:space="0" w:color="auto"/>
        <w:left w:val="none" w:sz="0" w:space="0" w:color="auto"/>
        <w:bottom w:val="none" w:sz="0" w:space="0" w:color="auto"/>
        <w:right w:val="none" w:sz="0" w:space="0" w:color="auto"/>
      </w:divBdr>
    </w:div>
    <w:div w:id="1844129041">
      <w:bodyDiv w:val="1"/>
      <w:marLeft w:val="0"/>
      <w:marRight w:val="0"/>
      <w:marTop w:val="0"/>
      <w:marBottom w:val="0"/>
      <w:divBdr>
        <w:top w:val="none" w:sz="0" w:space="0" w:color="auto"/>
        <w:left w:val="none" w:sz="0" w:space="0" w:color="auto"/>
        <w:bottom w:val="none" w:sz="0" w:space="0" w:color="auto"/>
        <w:right w:val="none" w:sz="0" w:space="0" w:color="auto"/>
      </w:divBdr>
    </w:div>
    <w:div w:id="1854758473">
      <w:bodyDiv w:val="1"/>
      <w:marLeft w:val="0"/>
      <w:marRight w:val="0"/>
      <w:marTop w:val="0"/>
      <w:marBottom w:val="0"/>
      <w:divBdr>
        <w:top w:val="none" w:sz="0" w:space="0" w:color="auto"/>
        <w:left w:val="none" w:sz="0" w:space="0" w:color="auto"/>
        <w:bottom w:val="none" w:sz="0" w:space="0" w:color="auto"/>
        <w:right w:val="none" w:sz="0" w:space="0" w:color="auto"/>
      </w:divBdr>
    </w:div>
    <w:div w:id="1865972172">
      <w:bodyDiv w:val="1"/>
      <w:marLeft w:val="0"/>
      <w:marRight w:val="0"/>
      <w:marTop w:val="0"/>
      <w:marBottom w:val="0"/>
      <w:divBdr>
        <w:top w:val="none" w:sz="0" w:space="0" w:color="auto"/>
        <w:left w:val="none" w:sz="0" w:space="0" w:color="auto"/>
        <w:bottom w:val="none" w:sz="0" w:space="0" w:color="auto"/>
        <w:right w:val="none" w:sz="0" w:space="0" w:color="auto"/>
      </w:divBdr>
    </w:div>
    <w:div w:id="1871647766">
      <w:bodyDiv w:val="1"/>
      <w:marLeft w:val="0"/>
      <w:marRight w:val="0"/>
      <w:marTop w:val="0"/>
      <w:marBottom w:val="0"/>
      <w:divBdr>
        <w:top w:val="none" w:sz="0" w:space="0" w:color="auto"/>
        <w:left w:val="none" w:sz="0" w:space="0" w:color="auto"/>
        <w:bottom w:val="none" w:sz="0" w:space="0" w:color="auto"/>
        <w:right w:val="none" w:sz="0" w:space="0" w:color="auto"/>
      </w:divBdr>
    </w:div>
    <w:div w:id="1919905541">
      <w:bodyDiv w:val="1"/>
      <w:marLeft w:val="0"/>
      <w:marRight w:val="0"/>
      <w:marTop w:val="0"/>
      <w:marBottom w:val="0"/>
      <w:divBdr>
        <w:top w:val="none" w:sz="0" w:space="0" w:color="auto"/>
        <w:left w:val="none" w:sz="0" w:space="0" w:color="auto"/>
        <w:bottom w:val="none" w:sz="0" w:space="0" w:color="auto"/>
        <w:right w:val="none" w:sz="0" w:space="0" w:color="auto"/>
      </w:divBdr>
    </w:div>
    <w:div w:id="1932733175">
      <w:bodyDiv w:val="1"/>
      <w:marLeft w:val="0"/>
      <w:marRight w:val="0"/>
      <w:marTop w:val="0"/>
      <w:marBottom w:val="0"/>
      <w:divBdr>
        <w:top w:val="none" w:sz="0" w:space="0" w:color="auto"/>
        <w:left w:val="none" w:sz="0" w:space="0" w:color="auto"/>
        <w:bottom w:val="none" w:sz="0" w:space="0" w:color="auto"/>
        <w:right w:val="none" w:sz="0" w:space="0" w:color="auto"/>
      </w:divBdr>
    </w:div>
    <w:div w:id="1950120058">
      <w:bodyDiv w:val="1"/>
      <w:marLeft w:val="0"/>
      <w:marRight w:val="0"/>
      <w:marTop w:val="0"/>
      <w:marBottom w:val="0"/>
      <w:divBdr>
        <w:top w:val="none" w:sz="0" w:space="0" w:color="auto"/>
        <w:left w:val="none" w:sz="0" w:space="0" w:color="auto"/>
        <w:bottom w:val="none" w:sz="0" w:space="0" w:color="auto"/>
        <w:right w:val="none" w:sz="0" w:space="0" w:color="auto"/>
      </w:divBdr>
    </w:div>
    <w:div w:id="200300475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80014249">
      <w:bodyDiv w:val="1"/>
      <w:marLeft w:val="0"/>
      <w:marRight w:val="0"/>
      <w:marTop w:val="0"/>
      <w:marBottom w:val="0"/>
      <w:divBdr>
        <w:top w:val="none" w:sz="0" w:space="0" w:color="auto"/>
        <w:left w:val="none" w:sz="0" w:space="0" w:color="auto"/>
        <w:bottom w:val="none" w:sz="0" w:space="0" w:color="auto"/>
        <w:right w:val="none" w:sz="0" w:space="0" w:color="auto"/>
      </w:divBdr>
    </w:div>
    <w:div w:id="2088964261">
      <w:bodyDiv w:val="1"/>
      <w:marLeft w:val="0"/>
      <w:marRight w:val="0"/>
      <w:marTop w:val="0"/>
      <w:marBottom w:val="0"/>
      <w:divBdr>
        <w:top w:val="none" w:sz="0" w:space="0" w:color="auto"/>
        <w:left w:val="none" w:sz="0" w:space="0" w:color="auto"/>
        <w:bottom w:val="none" w:sz="0" w:space="0" w:color="auto"/>
        <w:right w:val="none" w:sz="0" w:space="0" w:color="auto"/>
      </w:divBdr>
    </w:div>
    <w:div w:id="2129661337">
      <w:bodyDiv w:val="1"/>
      <w:marLeft w:val="0"/>
      <w:marRight w:val="0"/>
      <w:marTop w:val="0"/>
      <w:marBottom w:val="0"/>
      <w:divBdr>
        <w:top w:val="none" w:sz="0" w:space="0" w:color="auto"/>
        <w:left w:val="none" w:sz="0" w:space="0" w:color="auto"/>
        <w:bottom w:val="none" w:sz="0" w:space="0" w:color="auto"/>
        <w:right w:val="none" w:sz="0" w:space="0" w:color="auto"/>
      </w:divBdr>
    </w:div>
    <w:div w:id="2136756321">
      <w:bodyDiv w:val="1"/>
      <w:marLeft w:val="0"/>
      <w:marRight w:val="0"/>
      <w:marTop w:val="0"/>
      <w:marBottom w:val="0"/>
      <w:divBdr>
        <w:top w:val="none" w:sz="0" w:space="0" w:color="auto"/>
        <w:left w:val="none" w:sz="0" w:space="0" w:color="auto"/>
        <w:bottom w:val="none" w:sz="0" w:space="0" w:color="auto"/>
        <w:right w:val="none" w:sz="0" w:space="0" w:color="auto"/>
      </w:divBdr>
    </w:div>
    <w:div w:id="2139298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eur-lex.europa.eu/LexUriServ/LexUriServ.do?uri=OJ:L:2009:201:0036:0038:SV:PDF"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cdr.eionet.europa.eu/help/WFD/WFD_521_2016/UML/SWB_2016.png" TargetMode="External"/><Relationship Id="rId68" Type="http://schemas.openxmlformats.org/officeDocument/2006/relationships/hyperlink" Target="http://cdr.eionet.europa.eu/help/WFD/WFD_521_2016/UML/RBMPPoM_2016.pn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ircabc.europa.eu/sd/a/655e3e31-3b5d-4053-be19-15bd22b15ba9/Guidance%20No%202%20-%20Identification%20of%20water%20bodies.pdf" TargetMode="External"/><Relationship Id="rId29" Type="http://schemas.openxmlformats.org/officeDocument/2006/relationships/header" Target="header2.xml"/><Relationship Id="rId11" Type="http://schemas.openxmlformats.org/officeDocument/2006/relationships/hyperlink" Target="http://www.eea.europa.eu/soer/soer-structure-overview" TargetMode="External"/><Relationship Id="rId24" Type="http://schemas.openxmlformats.org/officeDocument/2006/relationships/hyperlink" Target="http://eur-lex.europa.eu/LexUriServ/LexUriServ.do?uri=OJ:L:2008:024:0008:0029:SV:PDF" TargetMode="External"/><Relationship Id="rId32" Type="http://schemas.openxmlformats.org/officeDocument/2006/relationships/footer" Target="footer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yperlink" Target="http://dd.eionet.europa.eu/datasets/latest/Emissions" TargetMode="External"/><Relationship Id="rId66" Type="http://schemas.openxmlformats.org/officeDocument/2006/relationships/hyperlink" Target="http://cdr.eionet.europa.eu/help/WFD/WFD_521_2016/UML/SWMET_2016.png" TargetMode="External"/><Relationship Id="rId5" Type="http://schemas.openxmlformats.org/officeDocument/2006/relationships/settings" Target="settings.xml"/><Relationship Id="rId61" Type="http://schemas.openxmlformats.org/officeDocument/2006/relationships/hyperlink" Target="http://www.loc.gov/standards/iso639-2/"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https://circabc.europa.eu/sd/d/78ce94bb-6f1c-4379-87ac-88a18967c4c3/Technical%20Background%20Document%20on%20the%20Identification%20of%20Mixing%20Zones.doc"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cdr.eionet.europa.eu/help/WFD/WFD_521_2016/UML/GWB_2016.pn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forum.eionet.europa.eu/nrc-state-environment/library/soer-2015" TargetMode="External"/><Relationship Id="rId17" Type="http://schemas.openxmlformats.org/officeDocument/2006/relationships/hyperlink" Target="https://circabc.europa.eu/sd/a/7e01a7e0-9ccb-4f3d-8cec-aeef1335c2f7/Guidance%20No%203%20-%20pressures%20and%20impacts%20-%20IMPRESS%20(WG%202.1).pdf" TargetMode="External"/><Relationship Id="rId25" Type="http://schemas.openxmlformats.org/officeDocument/2006/relationships/image" Target="media/image6.png"/><Relationship Id="rId33" Type="http://schemas.openxmlformats.org/officeDocument/2006/relationships/header" Target="header3.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eader" Target="header4.xml"/><Relationship Id="rId67" Type="http://schemas.openxmlformats.org/officeDocument/2006/relationships/hyperlink" Target="http://cdr.eionet.europa.eu/help/WFD/WFD_521_2016/UML/GWMET_2016.png" TargetMode="External"/><Relationship Id="rId20" Type="http://schemas.openxmlformats.org/officeDocument/2006/relationships/hyperlink" Target="http://eur-lex.europa.eu/LexUriServ/LexUriServ.do?uri=OJ:L:2009:201:0036:0038:SV:PDF"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yperlink" Target="http://cdr.eionet.europa.eu/help/WFD/WFD_521_2016/UML/RBDSUCA_2016.pn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ea.europa.eu/publications/eionet-priority-data-flows-2012-2013" TargetMode="External"/><Relationship Id="rId23" Type="http://schemas.openxmlformats.org/officeDocument/2006/relationships/hyperlink" Target="https://circabc.europa.eu/sd/d/78ce94bb-6f1c-4379-87ac-88a18967c4c3/Technical%20Background%20Document%20on%20the%20Identification%20of%20Mixing%20Zones.doc" TargetMode="External"/><Relationship Id="rId28" Type="http://schemas.openxmlformats.org/officeDocument/2006/relationships/footer" Target="footer1.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http://icm.eionet.europa.eu/schemas/dir200060ec/resources/Reporting%20User%20Manual%20RBMP%20v2.0.pdf" TargetMode="External"/><Relationship Id="rId10" Type="http://schemas.openxmlformats.org/officeDocument/2006/relationships/image" Target="media/image2.emf"/><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inspire.ec.europa.eu/documents/Metadata/MD_IR_and_ISO_20131029.pdf" TargetMode="External"/><Relationship Id="rId65" Type="http://schemas.openxmlformats.org/officeDocument/2006/relationships/hyperlink" Target="http://cdr.eionet.europa.eu/help/WFD/WFD_521_2016/UML/SWMonitoring_2016.pn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circabc.europa.eu/sd/a/230cff2b-457e-4436-b9a2-3a467d181d5e/SOE%20guidance%20document%20final%20by%20NFPs%20Feb%202009.pdf" TargetMode="External"/><Relationship Id="rId18" Type="http://schemas.openxmlformats.org/officeDocument/2006/relationships/image" Target="media/image4.png"/><Relationship Id="rId39" Type="http://schemas.openxmlformats.org/officeDocument/2006/relationships/image" Target="media/image13.png"/><Relationship Id="rId34" Type="http://schemas.openxmlformats.org/officeDocument/2006/relationships/footer" Target="footer4.xml"/><Relationship Id="rId50" Type="http://schemas.openxmlformats.org/officeDocument/2006/relationships/image" Target="media/image24.png"/><Relationship Id="rId55" Type="http://schemas.openxmlformats.org/officeDocument/2006/relationships/image" Target="media/image29.png"/></Relationships>
</file>

<file path=word/_rels/footnotes.xml.rels><?xml version="1.0" encoding="UTF-8" standalone="yes"?>
<Relationships xmlns="http://schemas.openxmlformats.org/package/2006/relationships"><Relationship Id="rId26" Type="http://schemas.openxmlformats.org/officeDocument/2006/relationships/hyperlink" Target="http://eur-lex.europa.eu/legal-content/SV/TXT/PDF/?uri=CELEX:32009L0090&amp;rid=1" TargetMode="External"/><Relationship Id="rId21" Type="http://schemas.openxmlformats.org/officeDocument/2006/relationships/hyperlink" Target="https://circabc.europa.eu/sd/a/f9b057f4-4a91-46a3-b69a-e23b4cada8ef/Guidance%20No%204%20-%20heavily%20modified%20water%20bodies%20-%20HMWB%20(WG%202.2).pdf" TargetMode="External"/><Relationship Id="rId42" Type="http://schemas.openxmlformats.org/officeDocument/2006/relationships/hyperlink" Target="https://circabc.europa.eu/sd/a/e409710d-f1c1-4672-9480-e2b9e93f30ad/Groundwater%20Monitoring%20Guidance%20Nov-2006_FINAL-2.pdf" TargetMode="External"/><Relationship Id="rId47" Type="http://schemas.openxmlformats.org/officeDocument/2006/relationships/hyperlink" Target="http://eur-lex.europa.eu/legal-content/SV/TXT/?qid=1410784732488&amp;uri=CELEX:02008L0105-20130913" TargetMode="External"/><Relationship Id="rId63" Type="http://schemas.openxmlformats.org/officeDocument/2006/relationships/hyperlink" Target="https://circabc.europa.eu/sd/a/6a3fb5a0-4dec-4fde-a69d-5ac93dfbbadd/Guidance%20document%20n28.pdf" TargetMode="External"/><Relationship Id="rId68" Type="http://schemas.openxmlformats.org/officeDocument/2006/relationships/hyperlink" Target="http://weiss.vmm.be/" TargetMode="External"/><Relationship Id="rId7" Type="http://schemas.openxmlformats.org/officeDocument/2006/relationships/hyperlink" Target="http://eur-lex.europa.eu/legal-content/SV/TXT/PDF/?uri=CELEX:31991L0676&amp;from=EN" TargetMode="External"/><Relationship Id="rId71" Type="http://schemas.openxmlformats.org/officeDocument/2006/relationships/hyperlink" Target="https://circabc.europa.eu/sd/a/6a3fb5a0-4dec-4fde-a69d-5ac93dfbbadd/Guidance%20document%20n28.pdf" TargetMode="External"/><Relationship Id="rId2" Type="http://schemas.openxmlformats.org/officeDocument/2006/relationships/hyperlink" Target="http://eur-lex.europa.eu/legal-content/SV/TXT/?qid=1410784732488&amp;uri=CELEX:02008L0105-20130913" TargetMode="External"/><Relationship Id="rId16" Type="http://schemas.openxmlformats.org/officeDocument/2006/relationships/hyperlink" Target="https://circabc.europa.eu/sd/a/7e01a7e0-9ccb-4f3d-8cec-aeef1335c2f7/Guidance%20No%203%20-%20pressures%20and%20impacts%20-%20IMPRESS%20(WG%202.1).pdf" TargetMode="External"/><Relationship Id="rId29" Type="http://schemas.openxmlformats.org/officeDocument/2006/relationships/hyperlink" Target="http://bookshop.europa.eu/en/technical-report-on-groundwater-dependent-terrestrial-ecosystems-pbKHAV12006/" TargetMode="External"/><Relationship Id="rId11" Type="http://schemas.openxmlformats.org/officeDocument/2006/relationships/hyperlink" Target="http://eur-lex.europa.eu/legal-content/SV/TXT/PDF/?uri=CELEX:32009R0401&amp;qid=1439550465427&amp;from=EN" TargetMode="External"/><Relationship Id="rId24" Type="http://schemas.openxmlformats.org/officeDocument/2006/relationships/hyperlink" Target="http://eur-lex.europa.eu/legal-content/SV/TXT/PDF/?uri=CELEX:02008L0105-20130913&amp;rid=1" TargetMode="External"/><Relationship Id="rId32" Type="http://schemas.openxmlformats.org/officeDocument/2006/relationships/hyperlink" Target="https://circabc.europa.eu/sd/a/8564a357-0e17-4619-bd76-a54a23fa7885/Guidance%20No%2026%20-%20GW%20risk%20assessment%20and%20conceptual%20models.pdf" TargetMode="External"/><Relationship Id="rId37" Type="http://schemas.openxmlformats.org/officeDocument/2006/relationships/hyperlink" Target="https://circabc.europa.eu/sd/a/2a3ec00a-d0e6-405f-bf66-60e212555db1/Guidance_documentN%C2%B020_Mars09.pdf" TargetMode="External"/><Relationship Id="rId40" Type="http://schemas.openxmlformats.org/officeDocument/2006/relationships/hyperlink" Target="https://circabc.europa.eu/sd/a/8564a357-0e17-4619-bd76-a54a23fa7885/Guidance%20No%2026%20-%20GW%20risk%20assessment%20and%20conceptual%20models.pdf" TargetMode="External"/><Relationship Id="rId45" Type="http://schemas.openxmlformats.org/officeDocument/2006/relationships/hyperlink" Target="http://icm.eionet.europa.eu/ETC_Reports/EcoChemStatusPressInEurWaters_201211/Ecological_and_chemical_status_and_pressures_ETC_13112012_Published.pdf" TargetMode="External"/><Relationship Id="rId53" Type="http://schemas.openxmlformats.org/officeDocument/2006/relationships/hyperlink" Target="http://publications.europa.eu/code/sv/sv-370100.htm" TargetMode="External"/><Relationship Id="rId58" Type="http://schemas.openxmlformats.org/officeDocument/2006/relationships/hyperlink" Target="http://eur-lex.europa.eu/LexUriServ/LexUriServ.do?uri=OJ:L:2009:201:0036:0038:SV:PDF" TargetMode="External"/><Relationship Id="rId66" Type="http://schemas.openxmlformats.org/officeDocument/2006/relationships/hyperlink" Target="http://rod.eionet.europa.eu/obligations/632" TargetMode="External"/><Relationship Id="rId5" Type="http://schemas.openxmlformats.org/officeDocument/2006/relationships/hyperlink" Target="http://eur-lex.europa.eu/legal-content/SV/TXT/?qid=1410785085516&amp;uri=CELEX:32009L0090" TargetMode="External"/><Relationship Id="rId61" Type="http://schemas.openxmlformats.org/officeDocument/2006/relationships/hyperlink" Target="http://eur-lex.europa.eu/LexUriServ/LexUriServ.do?uri=OJ:L:2008:348:0084:0097:sv:PDF" TargetMode="External"/><Relationship Id="rId19" Type="http://schemas.openxmlformats.org/officeDocument/2006/relationships/hyperlink" Target="https://circabc.europa.eu/sd/a/655e3e31-3b5d-4053-be19-15bd22b15ba9/Guidance%20No%202%20-%20Identification%20of%20water%20bodies.pdf" TargetMode="External"/><Relationship Id="rId14" Type="http://schemas.openxmlformats.org/officeDocument/2006/relationships/hyperlink" Target="https://circabc.europa.eu/sd/a/655e3e31-3b5d-4053-be19-15bd22b15ba9/Guidance%20No%202%20-%20Identification%20of%20water%20bodies.pdf" TargetMode="External"/><Relationship Id="rId22" Type="http://schemas.openxmlformats.org/officeDocument/2006/relationships/hyperlink" Target="https://circabc.europa.eu/sd/a/2a3ec00a-d0e6-405f-bf66-60e212555db1/Guidance_documentN%C2%B020_Mars09.pdf" TargetMode="External"/><Relationship Id="rId27" Type="http://schemas.openxmlformats.org/officeDocument/2006/relationships/hyperlink" Target="http://eur-lex.europa.eu/legal-content/SV/TXT/PDF/?uri=CELEX:32013L0039&amp;rid=1" TargetMode="External"/><Relationship Id="rId30" Type="http://schemas.openxmlformats.org/officeDocument/2006/relationships/hyperlink" Target="https://circabc.europa.eu/sd/a/2a3ec00a-d0e6-405f-bf66-60e212555db1/Guidance_documentN%C2%B020_Mars09.pdf" TargetMode="External"/><Relationship Id="rId35" Type="http://schemas.openxmlformats.org/officeDocument/2006/relationships/hyperlink" Target="https://circabc.europa.eu/sd/a/e409710d-f1c1-4672-9480-e2b9e93f30ad/Groundwater%20Monitoring%20Guidance%20Nov-2006_FINAL-2.pdf" TargetMode="External"/><Relationship Id="rId43" Type="http://schemas.openxmlformats.org/officeDocument/2006/relationships/hyperlink" Target="http://bookshop.europa.eu/en/technical-report-on-groundwater-dep" TargetMode="External"/><Relationship Id="rId48" Type="http://schemas.openxmlformats.org/officeDocument/2006/relationships/hyperlink" Target="http://eur-lex.europa.eu/legal-content/SV/TXT/?qid=1410784774193&amp;uri=CELEX:32013L0039" TargetMode="External"/><Relationship Id="rId56" Type="http://schemas.openxmlformats.org/officeDocument/2006/relationships/hyperlink" Target="https://circabc.europa.eu/sd/a/0cc3581b-5f65-4b6f-91c6-433a1e947838/TGD-EQS%20CIS-WFD%2027%20EC%202011.pdf" TargetMode="External"/><Relationship Id="rId64" Type="http://schemas.openxmlformats.org/officeDocument/2006/relationships/hyperlink" Target="http://rod.eionet.europa.eu/obligations/632" TargetMode="External"/><Relationship Id="rId69" Type="http://schemas.openxmlformats.org/officeDocument/2006/relationships/hyperlink" Target="http://publications.europa.eu/code/sv/sv-370100.htm" TargetMode="External"/><Relationship Id="rId8" Type="http://schemas.openxmlformats.org/officeDocument/2006/relationships/hyperlink" Target="http://eur-lex.europa.eu/legal-content/SV/TXT/PDF/?uri=CELEX:31998L0083&amp;from=en" TargetMode="External"/><Relationship Id="rId51" Type="http://schemas.openxmlformats.org/officeDocument/2006/relationships/hyperlink" Target="http://eur-lex.europa.eu/legal-content/SV/TXT/PDF/?uri=CELEX:32009L0147&amp;qid=1439559916722&amp;from=SV" TargetMode="External"/><Relationship Id="rId3" Type="http://schemas.openxmlformats.org/officeDocument/2006/relationships/hyperlink" Target="http://eur-lex.europa.eu/legal-content/SV/TXT/?qid=1410784774193&amp;uri=CELEX:32013L0039" TargetMode="External"/><Relationship Id="rId12" Type="http://schemas.openxmlformats.org/officeDocument/2006/relationships/hyperlink" Target="http://ec.europa.eu/environment/archives/water/implrep2007/index_en.htm" TargetMode="External"/><Relationship Id="rId17" Type="http://schemas.openxmlformats.org/officeDocument/2006/relationships/hyperlink" Target="https://circabc.europa.eu/sd/a/dce34c8d-6e3d-469a-a6f3-b733b829b691/Guidance%20No%2010%20-%20references%20conditions%20inland%20waters%20-%20REFCOND%20(WG%202.3).pdf" TargetMode="External"/><Relationship Id="rId25" Type="http://schemas.openxmlformats.org/officeDocument/2006/relationships/hyperlink" Target="http://eur-lex.europa.eu/legal-content/SV/TXT/PDF/?uri=CELEX:01976L0464-20060324&amp;rid=1" TargetMode="External"/><Relationship Id="rId33" Type="http://schemas.openxmlformats.org/officeDocument/2006/relationships/hyperlink" Target="https://circabc.europa.eu/sd/a/8564a357-0e17-4619-bd76-a54a23fa7885/Guidance%20No%2026%20-%20GW%20risk%20assessment%20and%20conceptual%20models.pdf" TargetMode="External"/><Relationship Id="rId38" Type="http://schemas.openxmlformats.org/officeDocument/2006/relationships/hyperlink" Target="https://circabc.europa.eu/sd/a/8564a357-0e17-4619-bd76-a54a23fa7885/Guidance%20No%2026%20-%20GW%20risk%20assessment%20and%20conceptual%20models.pdf" TargetMode="External"/><Relationship Id="rId46" Type="http://schemas.openxmlformats.org/officeDocument/2006/relationships/hyperlink" Target="http://publications.europa.eu/code/sv/sv-370100.htm" TargetMode="External"/><Relationship Id="rId59" Type="http://schemas.openxmlformats.org/officeDocument/2006/relationships/hyperlink" Target="https://circabc.europa.eu/sd/a/cd419883-ff4d-4d43-a82b-aef3d33e04ed/Conclusions%20HMWB%20workshop%20Brussels%20March%202009.pdf" TargetMode="External"/><Relationship Id="rId67" Type="http://schemas.openxmlformats.org/officeDocument/2006/relationships/hyperlink" Target="http://prtr.ec.europa.eu/DiffuseSourcesWater.aspx" TargetMode="External"/><Relationship Id="rId20" Type="http://schemas.openxmlformats.org/officeDocument/2006/relationships/hyperlink" Target="http://publications.europa.eu/code/sv/sv-370100.htm" TargetMode="External"/><Relationship Id="rId41" Type="http://schemas.openxmlformats.org/officeDocument/2006/relationships/hyperlink" Target="https://circabc.europa.eu/sd/a/63f7715f-0f45-4955-b7cb-58ca305e42a8/Guidance%20No%207%20-%20Monitoring%20(WG%202.7).pdf" TargetMode="External"/><Relationship Id="rId54" Type="http://schemas.openxmlformats.org/officeDocument/2006/relationships/hyperlink" Target="http://publications.europa.eu/code/sv/sv-370100.htm" TargetMode="External"/><Relationship Id="rId62" Type="http://schemas.openxmlformats.org/officeDocument/2006/relationships/hyperlink" Target="http://eur-lex.europa.eu/LexUriServ/LexUriServ.do?uri=OJ:L:2006:033:0001:0017:SV:PDF" TargetMode="External"/><Relationship Id="rId70" Type="http://schemas.openxmlformats.org/officeDocument/2006/relationships/hyperlink" Target="http://curia.europa.eu/juris/document/document.jsf?text=&amp;docid=157518&amp;pageIndex=0&amp;doclang=SV&amp;mode=lst&amp;dir=&amp;occ=first&amp;part=1&amp;cid=90467" TargetMode="External"/><Relationship Id="rId1" Type="http://schemas.openxmlformats.org/officeDocument/2006/relationships/hyperlink" Target="http://eur-lex.europa.eu/legal-content/SV/TXT/?qid=1410784650720&amp;uri=CELEX:32006L0118" TargetMode="External"/><Relationship Id="rId6" Type="http://schemas.openxmlformats.org/officeDocument/2006/relationships/hyperlink" Target="http://eur-lex.europa.eu/legal-content/SV/TXT/PDF/?uri=CELEX:31991L0271&amp;qid=1439549071803&amp;from=EN" TargetMode="External"/><Relationship Id="rId15" Type="http://schemas.openxmlformats.org/officeDocument/2006/relationships/hyperlink" Target="https://circabc.europa.eu/sd/a/7e01a7e0-9ccb-4f3d-8cec-aeef1335c2f7/Guidance%20No%203%20-%20pressures%20and%20impacts%20-%20IMPRESS%20(WG%202.1).pdf" TargetMode="External"/><Relationship Id="rId23" Type="http://schemas.openxmlformats.org/officeDocument/2006/relationships/hyperlink" Target="http://eur-lex.europa.eu/legal-content/EN/TXT/PDF/?uri=CELEX:32001D2455&amp;rid=1" TargetMode="External"/><Relationship Id="rId28" Type="http://schemas.openxmlformats.org/officeDocument/2006/relationships/hyperlink" Target="http://publications.europa.eu/code/sv/sv-370100.htm" TargetMode="External"/><Relationship Id="rId36" Type="http://schemas.openxmlformats.org/officeDocument/2006/relationships/hyperlink" Target="http://eur-lex.europa.eu/legal-content/SV/TXT/?qid=1410784650720&amp;uri=CELEX:32006L0118" TargetMode="External"/><Relationship Id="rId49" Type="http://schemas.openxmlformats.org/officeDocument/2006/relationships/hyperlink" Target="http://eur-lex.europa.eu/legal-content/SV/TXT/PDF/?uri=CELEX:32006L0113&amp;from=SV" TargetMode="External"/><Relationship Id="rId57" Type="http://schemas.openxmlformats.org/officeDocument/2006/relationships/hyperlink" Target="http://eur-lex.europa.eu/LexUriServ/LexUriServ.do?uri=OJ:L:2009:201:0036:0038:SV:PDF" TargetMode="External"/><Relationship Id="rId10" Type="http://schemas.openxmlformats.org/officeDocument/2006/relationships/hyperlink" Target="http://eur-lex.europa.eu/legal-content/SV/TXT/PDF/?uri=CELEX:32008L0056&amp;qid=1439550339839&amp;from=EN" TargetMode="External"/><Relationship Id="rId31" Type="http://schemas.openxmlformats.org/officeDocument/2006/relationships/hyperlink" Target="https://circabc.europa.eu/sd/a/8564a357-0e17-4619-bd76-a54a23fa7885/Guidance%20No%2026%20-%20GW%20risk%20assessment%20and%20conceptual%20models.pdf" TargetMode="External"/><Relationship Id="rId44" Type="http://schemas.openxmlformats.org/officeDocument/2006/relationships/hyperlink" Target="http://eur-lex.europa.eu/legal-content/SV/TXT/?qid=1411979700659&amp;uri=CELEX:32009L0090" TargetMode="External"/><Relationship Id="rId52" Type="http://schemas.openxmlformats.org/officeDocument/2006/relationships/hyperlink" Target="http://eur-lex.europa.eu/legal-content/SV/TXT/PDF/?uri=CELEX:31992L0043&amp;qid=1439559990883&amp;from=SV" TargetMode="External"/><Relationship Id="rId60" Type="http://schemas.openxmlformats.org/officeDocument/2006/relationships/hyperlink" Target="http://ec.europa.eu/environment/archives/water/implrep2007/background.htm." TargetMode="External"/><Relationship Id="rId65" Type="http://schemas.openxmlformats.org/officeDocument/2006/relationships/hyperlink" Target="https://circabc.europa.eu/sd/a/6a3fb5a0-4dec-4fde-a69d-5ac93dfbbadd/Guidance%20document%20n28.pdf" TargetMode="External"/><Relationship Id="rId4" Type="http://schemas.openxmlformats.org/officeDocument/2006/relationships/hyperlink" Target="http://eur-lex.europa.eu/legal-content/SV/TXT/?qid=1410784832288&amp;uri=CELEX:02000L0060-20140101" TargetMode="External"/><Relationship Id="rId9" Type="http://schemas.openxmlformats.org/officeDocument/2006/relationships/hyperlink" Target="http://eur-lex.europa.eu/legal-content/SV/TXT/PDF/?uri=CELEX:32006L0007&amp;qid=1439550272397&amp;from=EN" TargetMode="External"/><Relationship Id="rId13" Type="http://schemas.openxmlformats.org/officeDocument/2006/relationships/hyperlink" Target="http://publications.europa.eu/code/sv/sv-370100.htm" TargetMode="External"/><Relationship Id="rId18" Type="http://schemas.openxmlformats.org/officeDocument/2006/relationships/hyperlink" Target="https://circabc.europa.eu/sd/a/85912f96-4dca-432e-84d6-a4dded785da5/Guidance%20No%205%20-%20characterisation%20of%20coastal%20waters%20-%20COAST%20(WG%202.4).pdf" TargetMode="External"/><Relationship Id="rId39" Type="http://schemas.openxmlformats.org/officeDocument/2006/relationships/hyperlink" Target="https://circabc.europa.eu/sd/a/8564a357-0e17-4619-bd76-a54a23fa7885/Guidance%20No%2026%20-%20GW%20risk%20assessment%20and%20conceptual%20models.pdf" TargetMode="External"/><Relationship Id="rId34" Type="http://schemas.openxmlformats.org/officeDocument/2006/relationships/hyperlink" Target="https://circabc.europa.eu/sd/a/63f7715f-0f45-4955-b7cb-58ca305e42a8/Guidance%20No%207%20-%20Monitoring%20(WG%202.7).pdf" TargetMode="External"/><Relationship Id="rId50" Type="http://schemas.openxmlformats.org/officeDocument/2006/relationships/hyperlink" Target="http://eur-lex.europa.eu/legal-content/SV/TXT/PDF/?uri=CELEX:32006L0044&amp;qid=1439559844301&amp;from=SV" TargetMode="External"/><Relationship Id="rId55" Type="http://schemas.openxmlformats.org/officeDocument/2006/relationships/hyperlink" Target="http://publications.europa.eu/code/sv/sv-370100.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0ACB0B-AF31-482E-9AF6-1CBE0A7E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1</TotalTime>
  <Pages>3</Pages>
  <Words>133135</Words>
  <Characters>705619</Characters>
  <Application>Microsoft Office Word</Application>
  <DocSecurity>4</DocSecurity>
  <PresentationFormat>Microsoft Word 14.0</PresentationFormat>
  <Lines>5880</Lines>
  <Paragraphs>1674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837080</CharactersWithSpaces>
  <SharedDoc>false</SharedDoc>
  <HLinks>
    <vt:vector size="666" baseType="variant">
      <vt:variant>
        <vt:i4>4259924</vt:i4>
      </vt:variant>
      <vt:variant>
        <vt:i4>792</vt:i4>
      </vt:variant>
      <vt:variant>
        <vt:i4>0</vt:i4>
      </vt:variant>
      <vt:variant>
        <vt:i4>5</vt:i4>
      </vt:variant>
      <vt:variant>
        <vt:lpwstr>http://icm.eionet.europa.eu/schemas/dir200060ec/resources/Reporting User Manual RBMP v2.0.pdf</vt:lpwstr>
      </vt:variant>
      <vt:variant>
        <vt:lpwstr/>
      </vt:variant>
      <vt:variant>
        <vt:i4>4587604</vt:i4>
      </vt:variant>
      <vt:variant>
        <vt:i4>789</vt:i4>
      </vt:variant>
      <vt:variant>
        <vt:i4>0</vt:i4>
      </vt:variant>
      <vt:variant>
        <vt:i4>5</vt:i4>
      </vt:variant>
      <vt:variant>
        <vt:lpwstr>http://icm.eionet.europa.eu/schemas/dir200060ec/resources/WFD Guidance on reporting spatial data v3.0.pdf</vt:lpwstr>
      </vt:variant>
      <vt:variant>
        <vt:lpwstr/>
      </vt:variant>
      <vt:variant>
        <vt:i4>5308534</vt:i4>
      </vt:variant>
      <vt:variant>
        <vt:i4>747</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744</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741</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738</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4849681</vt:i4>
      </vt:variant>
      <vt:variant>
        <vt:i4>696</vt:i4>
      </vt:variant>
      <vt:variant>
        <vt:i4>0</vt:i4>
      </vt:variant>
      <vt:variant>
        <vt:i4>5</vt:i4>
      </vt:variant>
      <vt:variant>
        <vt:lpwstr>https://circabc.europa.eu/sd/a/b81cb8ec-2655-4013-ac40-d6266ed33523/Update on Water Scarcity and Droughts indicator development May 2012.doc</vt:lpwstr>
      </vt:variant>
      <vt:variant>
        <vt:lpwstr/>
      </vt:variant>
      <vt:variant>
        <vt:i4>786510</vt:i4>
      </vt:variant>
      <vt:variant>
        <vt:i4>693</vt:i4>
      </vt:variant>
      <vt:variant>
        <vt:i4>0</vt:i4>
      </vt:variant>
      <vt:variant>
        <vt:i4>5</vt:i4>
      </vt:variant>
      <vt:variant>
        <vt:lpwstr>https://circabc.europa.eu/sd/a/6a3fb5a0-4dec-4fde-a69d-5ac93dfbbadd/Guidance document n28.pdf</vt:lpwstr>
      </vt:variant>
      <vt:variant>
        <vt:lpwstr/>
      </vt:variant>
      <vt:variant>
        <vt:i4>6029328</vt:i4>
      </vt:variant>
      <vt:variant>
        <vt:i4>666</vt:i4>
      </vt:variant>
      <vt:variant>
        <vt:i4>0</vt:i4>
      </vt:variant>
      <vt:variant>
        <vt:i4>5</vt:i4>
      </vt:variant>
      <vt:variant>
        <vt:lpwstr>http://eur-lex.europa.eu/LexUriServ/LexUriServ.do?uri=OJ:L:2008:024:0008:0029:EN:PDF</vt:lpwstr>
      </vt:variant>
      <vt:variant>
        <vt:lpwstr/>
      </vt:variant>
      <vt:variant>
        <vt:i4>6553657</vt:i4>
      </vt:variant>
      <vt:variant>
        <vt:i4>663</vt:i4>
      </vt:variant>
      <vt:variant>
        <vt:i4>0</vt:i4>
      </vt:variant>
      <vt:variant>
        <vt:i4>5</vt:i4>
      </vt:variant>
      <vt:variant>
        <vt:lpwstr>https://circabc.europa.eu/sd/d/78ce94bb-6f1c-4379-87ac-88a18967c4c3/Technical Background Document on the Identification of Mixing Zones.doc</vt:lpwstr>
      </vt:variant>
      <vt:variant>
        <vt:lpwstr/>
      </vt:variant>
      <vt:variant>
        <vt:i4>5308436</vt:i4>
      </vt:variant>
      <vt:variant>
        <vt:i4>660</vt:i4>
      </vt:variant>
      <vt:variant>
        <vt:i4>0</vt:i4>
      </vt:variant>
      <vt:variant>
        <vt:i4>5</vt:i4>
      </vt:variant>
      <vt:variant>
        <vt:lpwstr>http://eur-lex.europa.eu/LexUriServ/LexUriServ.do?uri=OJ:L:2009:201:0036:0038:EN:PDF</vt:lpwstr>
      </vt:variant>
      <vt:variant>
        <vt:lpwstr/>
      </vt:variant>
      <vt:variant>
        <vt:i4>5308436</vt:i4>
      </vt:variant>
      <vt:variant>
        <vt:i4>657</vt:i4>
      </vt:variant>
      <vt:variant>
        <vt:i4>0</vt:i4>
      </vt:variant>
      <vt:variant>
        <vt:i4>5</vt:i4>
      </vt:variant>
      <vt:variant>
        <vt:lpwstr>http://eur-lex.europa.eu/LexUriServ/LexUriServ.do?uri=OJ:L:2009:201:0036:0038:EN:PDF</vt:lpwstr>
      </vt:variant>
      <vt:variant>
        <vt:lpwstr/>
      </vt:variant>
      <vt:variant>
        <vt:i4>5308436</vt:i4>
      </vt:variant>
      <vt:variant>
        <vt:i4>651</vt:i4>
      </vt:variant>
      <vt:variant>
        <vt:i4>0</vt:i4>
      </vt:variant>
      <vt:variant>
        <vt:i4>5</vt:i4>
      </vt:variant>
      <vt:variant>
        <vt:lpwstr>http://eur-lex.europa.eu/LexUriServ/LexUriServ.do?uri=OJ:L:2009:201:0036:0038:EN:PDF</vt:lpwstr>
      </vt:variant>
      <vt:variant>
        <vt:lpwstr/>
      </vt:variant>
      <vt:variant>
        <vt:i4>5308436</vt:i4>
      </vt:variant>
      <vt:variant>
        <vt:i4>639</vt:i4>
      </vt:variant>
      <vt:variant>
        <vt:i4>0</vt:i4>
      </vt:variant>
      <vt:variant>
        <vt:i4>5</vt:i4>
      </vt:variant>
      <vt:variant>
        <vt:lpwstr>http://eur-lex.europa.eu/LexUriServ/LexUriServ.do?uri=OJ:L:2009:201:0036:0038:EN:PDF</vt:lpwstr>
      </vt:variant>
      <vt:variant>
        <vt:lpwstr/>
      </vt:variant>
      <vt:variant>
        <vt:i4>5308436</vt:i4>
      </vt:variant>
      <vt:variant>
        <vt:i4>636</vt:i4>
      </vt:variant>
      <vt:variant>
        <vt:i4>0</vt:i4>
      </vt:variant>
      <vt:variant>
        <vt:i4>5</vt:i4>
      </vt:variant>
      <vt:variant>
        <vt:lpwstr>http://eur-lex.europa.eu/LexUriServ/LexUriServ.do?uri=OJ:L:2009:201:0036:0038:EN:PDF</vt:lpwstr>
      </vt:variant>
      <vt:variant>
        <vt:lpwstr/>
      </vt:variant>
      <vt:variant>
        <vt:i4>3866682</vt:i4>
      </vt:variant>
      <vt:variant>
        <vt:i4>579</vt:i4>
      </vt:variant>
      <vt:variant>
        <vt:i4>0</vt:i4>
      </vt:variant>
      <vt:variant>
        <vt:i4>5</vt:i4>
      </vt:variant>
      <vt:variant>
        <vt:lpwstr>http://rod.eionet.europa.eu/obligations/14</vt:lpwstr>
      </vt:variant>
      <vt:variant>
        <vt:lpwstr/>
      </vt:variant>
      <vt:variant>
        <vt:i4>3539001</vt:i4>
      </vt:variant>
      <vt:variant>
        <vt:i4>576</vt:i4>
      </vt:variant>
      <vt:variant>
        <vt:i4>0</vt:i4>
      </vt:variant>
      <vt:variant>
        <vt:i4>5</vt:i4>
      </vt:variant>
      <vt:variant>
        <vt:lpwstr>http://rod.eionet.europa.eu/obligations/29</vt:lpwstr>
      </vt:variant>
      <vt:variant>
        <vt:lpwstr/>
      </vt:variant>
      <vt:variant>
        <vt:i4>3604537</vt:i4>
      </vt:variant>
      <vt:variant>
        <vt:i4>573</vt:i4>
      </vt:variant>
      <vt:variant>
        <vt:i4>0</vt:i4>
      </vt:variant>
      <vt:variant>
        <vt:i4>5</vt:i4>
      </vt:variant>
      <vt:variant>
        <vt:lpwstr>http://rod.eionet.europa.eu/obligations/28</vt:lpwstr>
      </vt:variant>
      <vt:variant>
        <vt:lpwstr/>
      </vt:variant>
      <vt:variant>
        <vt:i4>4128824</vt:i4>
      </vt:variant>
      <vt:variant>
        <vt:i4>570</vt:i4>
      </vt:variant>
      <vt:variant>
        <vt:i4>0</vt:i4>
      </vt:variant>
      <vt:variant>
        <vt:i4>5</vt:i4>
      </vt:variant>
      <vt:variant>
        <vt:lpwstr>http://rod.eionet.europa.eu/obligations/30</vt:lpwstr>
      </vt:variant>
      <vt:variant>
        <vt:lpwstr/>
      </vt:variant>
      <vt:variant>
        <vt:i4>6881304</vt:i4>
      </vt:variant>
      <vt:variant>
        <vt:i4>543</vt:i4>
      </vt:variant>
      <vt:variant>
        <vt:i4>0</vt:i4>
      </vt:variant>
      <vt:variant>
        <vt:i4>5</vt:i4>
      </vt:variant>
      <vt:variant>
        <vt:lpwstr>http://discomap.eea.europa.eu/report/wfd/gwb_status</vt:lpwstr>
      </vt:variant>
      <vt:variant>
        <vt:lpwstr/>
      </vt:variant>
      <vt:variant>
        <vt:i4>1900625</vt:i4>
      </vt:variant>
      <vt:variant>
        <vt:i4>540</vt:i4>
      </vt:variant>
      <vt:variant>
        <vt:i4>0</vt:i4>
      </vt:variant>
      <vt:variant>
        <vt:i4>5</vt:i4>
      </vt:variant>
      <vt:variant>
        <vt:lpwstr>http://bookshop.europa.eu/en/guidance-on-groundwater-status-and-trend-assessment-pbKHAN09018/</vt:lpwstr>
      </vt:variant>
      <vt:variant>
        <vt:lpwstr/>
      </vt:variant>
      <vt:variant>
        <vt:i4>1900625</vt:i4>
      </vt:variant>
      <vt:variant>
        <vt:i4>537</vt:i4>
      </vt:variant>
      <vt:variant>
        <vt:i4>0</vt:i4>
      </vt:variant>
      <vt:variant>
        <vt:i4>5</vt:i4>
      </vt:variant>
      <vt:variant>
        <vt:lpwstr>http://bookshop.europa.eu/en/guidance-on-groundwater-status-and-trend-assessment-pbKHAN09018/</vt:lpwstr>
      </vt:variant>
      <vt:variant>
        <vt:lpwstr/>
      </vt:variant>
      <vt:variant>
        <vt:i4>7733368</vt:i4>
      </vt:variant>
      <vt:variant>
        <vt:i4>528</vt:i4>
      </vt:variant>
      <vt:variant>
        <vt:i4>0</vt:i4>
      </vt:variant>
      <vt:variant>
        <vt:i4>5</vt:i4>
      </vt:variant>
      <vt:variant>
        <vt:lpwstr>http://bookshop.europa.eu/en/technical-report-on-groundwater-dependent-terrestrial-ecosystems-pbKHAV12006/</vt:lpwstr>
      </vt:variant>
      <vt:variant>
        <vt:lpwstr/>
      </vt:variant>
      <vt:variant>
        <vt:i4>5570574</vt:i4>
      </vt:variant>
      <vt:variant>
        <vt:i4>522</vt:i4>
      </vt:variant>
      <vt:variant>
        <vt:i4>0</vt:i4>
      </vt:variant>
      <vt:variant>
        <vt:i4>5</vt:i4>
      </vt:variant>
      <vt:variant>
        <vt:lpwstr>http://www.eea.europa.eu/themes/water/interactive/water-live-maps/wfd</vt:lpwstr>
      </vt:variant>
      <vt:variant>
        <vt:lpwstr/>
      </vt:variant>
      <vt:variant>
        <vt:i4>3080305</vt:i4>
      </vt:variant>
      <vt:variant>
        <vt:i4>519</vt:i4>
      </vt:variant>
      <vt:variant>
        <vt:i4>0</vt:i4>
      </vt:variant>
      <vt:variant>
        <vt:i4>5</vt:i4>
      </vt:variant>
      <vt:variant>
        <vt:lpwstr>http://discomap.eea.europa.eu/report/wfd/SWB_SIZE_AVERAGE</vt:lpwstr>
      </vt:variant>
      <vt:variant>
        <vt:lpwstr/>
      </vt:variant>
      <vt:variant>
        <vt:i4>8192024</vt:i4>
      </vt:variant>
      <vt:variant>
        <vt:i4>507</vt:i4>
      </vt:variant>
      <vt:variant>
        <vt:i4>0</vt:i4>
      </vt:variant>
      <vt:variant>
        <vt:i4>5</vt:i4>
      </vt:variant>
      <vt:variant>
        <vt:lpwstr>http://discomap.eea.europa.eu/report/wfd/swb_status</vt:lpwstr>
      </vt:variant>
      <vt:variant>
        <vt:lpwstr/>
      </vt:variant>
      <vt:variant>
        <vt:i4>8192024</vt:i4>
      </vt:variant>
      <vt:variant>
        <vt:i4>504</vt:i4>
      </vt:variant>
      <vt:variant>
        <vt:i4>0</vt:i4>
      </vt:variant>
      <vt:variant>
        <vt:i4>5</vt:i4>
      </vt:variant>
      <vt:variant>
        <vt:lpwstr>http://discomap.eea.europa.eu/report/wfd/swb_status</vt:lpwstr>
      </vt:variant>
      <vt:variant>
        <vt:lpwstr/>
      </vt:variant>
      <vt:variant>
        <vt:i4>4980743</vt:i4>
      </vt:variant>
      <vt:variant>
        <vt:i4>483</vt:i4>
      </vt:variant>
      <vt:variant>
        <vt:i4>0</vt:i4>
      </vt:variant>
      <vt:variant>
        <vt:i4>5</vt:i4>
      </vt:variant>
      <vt:variant>
        <vt:lpwstr>http://discomap.eea.europa.eu/report/wfd/SWB_IMPACT_STATUS</vt:lpwstr>
      </vt:variant>
      <vt:variant>
        <vt:lpwstr/>
      </vt:variant>
      <vt:variant>
        <vt:i4>1704044</vt:i4>
      </vt:variant>
      <vt:variant>
        <vt:i4>480</vt:i4>
      </vt:variant>
      <vt:variant>
        <vt:i4>0</vt:i4>
      </vt:variant>
      <vt:variant>
        <vt:i4>5</vt:i4>
      </vt:variant>
      <vt:variant>
        <vt:lpwstr>http://discomap.eea.europa.eu/report/wfd/GWB_PRESSURE</vt:lpwstr>
      </vt:variant>
      <vt:variant>
        <vt:lpwstr/>
      </vt:variant>
      <vt:variant>
        <vt:i4>2228334</vt:i4>
      </vt:variant>
      <vt:variant>
        <vt:i4>477</vt:i4>
      </vt:variant>
      <vt:variant>
        <vt:i4>0</vt:i4>
      </vt:variant>
      <vt:variant>
        <vt:i4>5</vt:i4>
      </vt:variant>
      <vt:variant>
        <vt:lpwstr>http://discomap.eea.europa.eu/report/wfd/SWB_PRESSURE_STATUS</vt:lpwstr>
      </vt:variant>
      <vt:variant>
        <vt:lpwstr/>
      </vt:variant>
      <vt:variant>
        <vt:i4>2949238</vt:i4>
      </vt:variant>
      <vt:variant>
        <vt:i4>474</vt:i4>
      </vt:variant>
      <vt:variant>
        <vt:i4>0</vt:i4>
      </vt:variant>
      <vt:variant>
        <vt:i4>5</vt:i4>
      </vt:variant>
      <vt:variant>
        <vt:lpwstr>http://discomap.eea.europa.eu/report/wfd/SWB_HMWB_AWB</vt:lpwstr>
      </vt:variant>
      <vt:variant>
        <vt:lpwstr/>
      </vt:variant>
      <vt:variant>
        <vt:i4>5570574</vt:i4>
      </vt:variant>
      <vt:variant>
        <vt:i4>471</vt:i4>
      </vt:variant>
      <vt:variant>
        <vt:i4>0</vt:i4>
      </vt:variant>
      <vt:variant>
        <vt:i4>5</vt:i4>
      </vt:variant>
      <vt:variant>
        <vt:lpwstr>http://www.eea.europa.eu/themes/water/interactive/water-live-maps/wfd</vt:lpwstr>
      </vt:variant>
      <vt:variant>
        <vt:lpwstr/>
      </vt:variant>
      <vt:variant>
        <vt:i4>5570574</vt:i4>
      </vt:variant>
      <vt:variant>
        <vt:i4>468</vt:i4>
      </vt:variant>
      <vt:variant>
        <vt:i4>0</vt:i4>
      </vt:variant>
      <vt:variant>
        <vt:i4>5</vt:i4>
      </vt:variant>
      <vt:variant>
        <vt:lpwstr>http://www.eea.europa.eu/themes/water/interactive/water-live-maps/wfd</vt:lpwstr>
      </vt:variant>
      <vt:variant>
        <vt:lpwstr/>
      </vt:variant>
      <vt:variant>
        <vt:i4>3080305</vt:i4>
      </vt:variant>
      <vt:variant>
        <vt:i4>465</vt:i4>
      </vt:variant>
      <vt:variant>
        <vt:i4>0</vt:i4>
      </vt:variant>
      <vt:variant>
        <vt:i4>5</vt:i4>
      </vt:variant>
      <vt:variant>
        <vt:lpwstr>http://discomap.eea.europa.eu/report/wfd/SWB_SIZE_AVERAGE</vt:lpwstr>
      </vt:variant>
      <vt:variant>
        <vt:lpwstr/>
      </vt:variant>
      <vt:variant>
        <vt:i4>1245272</vt:i4>
      </vt:variant>
      <vt:variant>
        <vt:i4>462</vt:i4>
      </vt:variant>
      <vt:variant>
        <vt:i4>0</vt:i4>
      </vt:variant>
      <vt:variant>
        <vt:i4>5</vt:i4>
      </vt:variant>
      <vt:variant>
        <vt:lpwstr>https://circabc.europa.eu/sd/a/7e01a7e0-9ccb-4f3d-8cec-aeef1335c2f7/Guidance No 3 - pressures and impacts - IMPRESS (WG 2.1).pdf</vt:lpwstr>
      </vt:variant>
      <vt:variant>
        <vt:lpwstr/>
      </vt:variant>
      <vt:variant>
        <vt:i4>7536739</vt:i4>
      </vt:variant>
      <vt:variant>
        <vt:i4>459</vt:i4>
      </vt:variant>
      <vt:variant>
        <vt:i4>0</vt:i4>
      </vt:variant>
      <vt:variant>
        <vt:i4>5</vt:i4>
      </vt:variant>
      <vt:variant>
        <vt:lpwstr>https://circabc.europa.eu/sd/a/655e3e31-3b5d-4053-be19-15bd22b15ba9/Guidance No 2 - Identification of water bodies.pdf</vt:lpwstr>
      </vt:variant>
      <vt:variant>
        <vt:lpwstr/>
      </vt:variant>
      <vt:variant>
        <vt:i4>3604605</vt:i4>
      </vt:variant>
      <vt:variant>
        <vt:i4>408</vt:i4>
      </vt:variant>
      <vt:variant>
        <vt:i4>0</vt:i4>
      </vt:variant>
      <vt:variant>
        <vt:i4>5</vt:i4>
      </vt:variant>
      <vt:variant>
        <vt:lpwstr>http://www.eea.europa.eu/publications/eionet-priority-data-flows-2012-2013</vt:lpwstr>
      </vt:variant>
      <vt:variant>
        <vt:lpwstr/>
      </vt:variant>
      <vt:variant>
        <vt:i4>458766</vt:i4>
      </vt:variant>
      <vt:variant>
        <vt:i4>402</vt:i4>
      </vt:variant>
      <vt:variant>
        <vt:i4>0</vt:i4>
      </vt:variant>
      <vt:variant>
        <vt:i4>5</vt:i4>
      </vt:variant>
      <vt:variant>
        <vt:lpwstr>https://circabc.europa.eu/sd/a/230cff2b-457e-4436-b9a2-3a467d181d5e/SOE guidance document final by NFPs Feb 2009.pdf</vt:lpwstr>
      </vt:variant>
      <vt:variant>
        <vt:lpwstr/>
      </vt:variant>
      <vt:variant>
        <vt:i4>4980747</vt:i4>
      </vt:variant>
      <vt:variant>
        <vt:i4>399</vt:i4>
      </vt:variant>
      <vt:variant>
        <vt:i4>0</vt:i4>
      </vt:variant>
      <vt:variant>
        <vt:i4>5</vt:i4>
      </vt:variant>
      <vt:variant>
        <vt:lpwstr>http://forum.eionet.europa.eu/nrc-state-environment/library/soer-2015</vt:lpwstr>
      </vt:variant>
      <vt:variant>
        <vt:lpwstr/>
      </vt:variant>
      <vt:variant>
        <vt:i4>6029387</vt:i4>
      </vt:variant>
      <vt:variant>
        <vt:i4>396</vt:i4>
      </vt:variant>
      <vt:variant>
        <vt:i4>0</vt:i4>
      </vt:variant>
      <vt:variant>
        <vt:i4>5</vt:i4>
      </vt:variant>
      <vt:variant>
        <vt:lpwstr>http://www.eea.europa.eu/soer/soer-structure-overview</vt:lpwstr>
      </vt:variant>
      <vt:variant>
        <vt:lpwstr/>
      </vt:variant>
      <vt:variant>
        <vt:i4>1638463</vt:i4>
      </vt:variant>
      <vt:variant>
        <vt:i4>380</vt:i4>
      </vt:variant>
      <vt:variant>
        <vt:i4>0</vt:i4>
      </vt:variant>
      <vt:variant>
        <vt:i4>5</vt:i4>
      </vt:variant>
      <vt:variant>
        <vt:lpwstr/>
      </vt:variant>
      <vt:variant>
        <vt:lpwstr>_Toc389206529</vt:lpwstr>
      </vt:variant>
      <vt:variant>
        <vt:i4>1638463</vt:i4>
      </vt:variant>
      <vt:variant>
        <vt:i4>374</vt:i4>
      </vt:variant>
      <vt:variant>
        <vt:i4>0</vt:i4>
      </vt:variant>
      <vt:variant>
        <vt:i4>5</vt:i4>
      </vt:variant>
      <vt:variant>
        <vt:lpwstr/>
      </vt:variant>
      <vt:variant>
        <vt:lpwstr>_Toc389206528</vt:lpwstr>
      </vt:variant>
      <vt:variant>
        <vt:i4>1638463</vt:i4>
      </vt:variant>
      <vt:variant>
        <vt:i4>368</vt:i4>
      </vt:variant>
      <vt:variant>
        <vt:i4>0</vt:i4>
      </vt:variant>
      <vt:variant>
        <vt:i4>5</vt:i4>
      </vt:variant>
      <vt:variant>
        <vt:lpwstr/>
      </vt:variant>
      <vt:variant>
        <vt:lpwstr>_Toc389206527</vt:lpwstr>
      </vt:variant>
      <vt:variant>
        <vt:i4>1638463</vt:i4>
      </vt:variant>
      <vt:variant>
        <vt:i4>362</vt:i4>
      </vt:variant>
      <vt:variant>
        <vt:i4>0</vt:i4>
      </vt:variant>
      <vt:variant>
        <vt:i4>5</vt:i4>
      </vt:variant>
      <vt:variant>
        <vt:lpwstr/>
      </vt:variant>
      <vt:variant>
        <vt:lpwstr>_Toc389206526</vt:lpwstr>
      </vt:variant>
      <vt:variant>
        <vt:i4>1638463</vt:i4>
      </vt:variant>
      <vt:variant>
        <vt:i4>356</vt:i4>
      </vt:variant>
      <vt:variant>
        <vt:i4>0</vt:i4>
      </vt:variant>
      <vt:variant>
        <vt:i4>5</vt:i4>
      </vt:variant>
      <vt:variant>
        <vt:lpwstr/>
      </vt:variant>
      <vt:variant>
        <vt:lpwstr>_Toc389206525</vt:lpwstr>
      </vt:variant>
      <vt:variant>
        <vt:i4>1638463</vt:i4>
      </vt:variant>
      <vt:variant>
        <vt:i4>350</vt:i4>
      </vt:variant>
      <vt:variant>
        <vt:i4>0</vt:i4>
      </vt:variant>
      <vt:variant>
        <vt:i4>5</vt:i4>
      </vt:variant>
      <vt:variant>
        <vt:lpwstr/>
      </vt:variant>
      <vt:variant>
        <vt:lpwstr>_Toc389206524</vt:lpwstr>
      </vt:variant>
      <vt:variant>
        <vt:i4>1638463</vt:i4>
      </vt:variant>
      <vt:variant>
        <vt:i4>344</vt:i4>
      </vt:variant>
      <vt:variant>
        <vt:i4>0</vt:i4>
      </vt:variant>
      <vt:variant>
        <vt:i4>5</vt:i4>
      </vt:variant>
      <vt:variant>
        <vt:lpwstr/>
      </vt:variant>
      <vt:variant>
        <vt:lpwstr>_Toc389206523</vt:lpwstr>
      </vt:variant>
      <vt:variant>
        <vt:i4>1638463</vt:i4>
      </vt:variant>
      <vt:variant>
        <vt:i4>338</vt:i4>
      </vt:variant>
      <vt:variant>
        <vt:i4>0</vt:i4>
      </vt:variant>
      <vt:variant>
        <vt:i4>5</vt:i4>
      </vt:variant>
      <vt:variant>
        <vt:lpwstr/>
      </vt:variant>
      <vt:variant>
        <vt:lpwstr>_Toc389206522</vt:lpwstr>
      </vt:variant>
      <vt:variant>
        <vt:i4>1638463</vt:i4>
      </vt:variant>
      <vt:variant>
        <vt:i4>332</vt:i4>
      </vt:variant>
      <vt:variant>
        <vt:i4>0</vt:i4>
      </vt:variant>
      <vt:variant>
        <vt:i4>5</vt:i4>
      </vt:variant>
      <vt:variant>
        <vt:lpwstr/>
      </vt:variant>
      <vt:variant>
        <vt:lpwstr>_Toc389206521</vt:lpwstr>
      </vt:variant>
      <vt:variant>
        <vt:i4>1638463</vt:i4>
      </vt:variant>
      <vt:variant>
        <vt:i4>326</vt:i4>
      </vt:variant>
      <vt:variant>
        <vt:i4>0</vt:i4>
      </vt:variant>
      <vt:variant>
        <vt:i4>5</vt:i4>
      </vt:variant>
      <vt:variant>
        <vt:lpwstr/>
      </vt:variant>
      <vt:variant>
        <vt:lpwstr>_Toc389206520</vt:lpwstr>
      </vt:variant>
      <vt:variant>
        <vt:i4>1703999</vt:i4>
      </vt:variant>
      <vt:variant>
        <vt:i4>320</vt:i4>
      </vt:variant>
      <vt:variant>
        <vt:i4>0</vt:i4>
      </vt:variant>
      <vt:variant>
        <vt:i4>5</vt:i4>
      </vt:variant>
      <vt:variant>
        <vt:lpwstr/>
      </vt:variant>
      <vt:variant>
        <vt:lpwstr>_Toc389206519</vt:lpwstr>
      </vt:variant>
      <vt:variant>
        <vt:i4>1703999</vt:i4>
      </vt:variant>
      <vt:variant>
        <vt:i4>314</vt:i4>
      </vt:variant>
      <vt:variant>
        <vt:i4>0</vt:i4>
      </vt:variant>
      <vt:variant>
        <vt:i4>5</vt:i4>
      </vt:variant>
      <vt:variant>
        <vt:lpwstr/>
      </vt:variant>
      <vt:variant>
        <vt:lpwstr>_Toc389206518</vt:lpwstr>
      </vt:variant>
      <vt:variant>
        <vt:i4>1703999</vt:i4>
      </vt:variant>
      <vt:variant>
        <vt:i4>308</vt:i4>
      </vt:variant>
      <vt:variant>
        <vt:i4>0</vt:i4>
      </vt:variant>
      <vt:variant>
        <vt:i4>5</vt:i4>
      </vt:variant>
      <vt:variant>
        <vt:lpwstr/>
      </vt:variant>
      <vt:variant>
        <vt:lpwstr>_Toc389206517</vt:lpwstr>
      </vt:variant>
      <vt:variant>
        <vt:i4>1703999</vt:i4>
      </vt:variant>
      <vt:variant>
        <vt:i4>302</vt:i4>
      </vt:variant>
      <vt:variant>
        <vt:i4>0</vt:i4>
      </vt:variant>
      <vt:variant>
        <vt:i4>5</vt:i4>
      </vt:variant>
      <vt:variant>
        <vt:lpwstr/>
      </vt:variant>
      <vt:variant>
        <vt:lpwstr>_Toc389206516</vt:lpwstr>
      </vt:variant>
      <vt:variant>
        <vt:i4>1703999</vt:i4>
      </vt:variant>
      <vt:variant>
        <vt:i4>296</vt:i4>
      </vt:variant>
      <vt:variant>
        <vt:i4>0</vt:i4>
      </vt:variant>
      <vt:variant>
        <vt:i4>5</vt:i4>
      </vt:variant>
      <vt:variant>
        <vt:lpwstr/>
      </vt:variant>
      <vt:variant>
        <vt:lpwstr>_Toc389206515</vt:lpwstr>
      </vt:variant>
      <vt:variant>
        <vt:i4>1703999</vt:i4>
      </vt:variant>
      <vt:variant>
        <vt:i4>290</vt:i4>
      </vt:variant>
      <vt:variant>
        <vt:i4>0</vt:i4>
      </vt:variant>
      <vt:variant>
        <vt:i4>5</vt:i4>
      </vt:variant>
      <vt:variant>
        <vt:lpwstr/>
      </vt:variant>
      <vt:variant>
        <vt:lpwstr>_Toc389206514</vt:lpwstr>
      </vt:variant>
      <vt:variant>
        <vt:i4>1703999</vt:i4>
      </vt:variant>
      <vt:variant>
        <vt:i4>284</vt:i4>
      </vt:variant>
      <vt:variant>
        <vt:i4>0</vt:i4>
      </vt:variant>
      <vt:variant>
        <vt:i4>5</vt:i4>
      </vt:variant>
      <vt:variant>
        <vt:lpwstr/>
      </vt:variant>
      <vt:variant>
        <vt:lpwstr>_Toc389206513</vt:lpwstr>
      </vt:variant>
      <vt:variant>
        <vt:i4>1703999</vt:i4>
      </vt:variant>
      <vt:variant>
        <vt:i4>278</vt:i4>
      </vt:variant>
      <vt:variant>
        <vt:i4>0</vt:i4>
      </vt:variant>
      <vt:variant>
        <vt:i4>5</vt:i4>
      </vt:variant>
      <vt:variant>
        <vt:lpwstr/>
      </vt:variant>
      <vt:variant>
        <vt:lpwstr>_Toc389206512</vt:lpwstr>
      </vt:variant>
      <vt:variant>
        <vt:i4>1703999</vt:i4>
      </vt:variant>
      <vt:variant>
        <vt:i4>272</vt:i4>
      </vt:variant>
      <vt:variant>
        <vt:i4>0</vt:i4>
      </vt:variant>
      <vt:variant>
        <vt:i4>5</vt:i4>
      </vt:variant>
      <vt:variant>
        <vt:lpwstr/>
      </vt:variant>
      <vt:variant>
        <vt:lpwstr>_Toc389206511</vt:lpwstr>
      </vt:variant>
      <vt:variant>
        <vt:i4>1703999</vt:i4>
      </vt:variant>
      <vt:variant>
        <vt:i4>266</vt:i4>
      </vt:variant>
      <vt:variant>
        <vt:i4>0</vt:i4>
      </vt:variant>
      <vt:variant>
        <vt:i4>5</vt:i4>
      </vt:variant>
      <vt:variant>
        <vt:lpwstr/>
      </vt:variant>
      <vt:variant>
        <vt:lpwstr>_Toc389206510</vt:lpwstr>
      </vt:variant>
      <vt:variant>
        <vt:i4>1769535</vt:i4>
      </vt:variant>
      <vt:variant>
        <vt:i4>260</vt:i4>
      </vt:variant>
      <vt:variant>
        <vt:i4>0</vt:i4>
      </vt:variant>
      <vt:variant>
        <vt:i4>5</vt:i4>
      </vt:variant>
      <vt:variant>
        <vt:lpwstr/>
      </vt:variant>
      <vt:variant>
        <vt:lpwstr>_Toc389206509</vt:lpwstr>
      </vt:variant>
      <vt:variant>
        <vt:i4>1769535</vt:i4>
      </vt:variant>
      <vt:variant>
        <vt:i4>254</vt:i4>
      </vt:variant>
      <vt:variant>
        <vt:i4>0</vt:i4>
      </vt:variant>
      <vt:variant>
        <vt:i4>5</vt:i4>
      </vt:variant>
      <vt:variant>
        <vt:lpwstr/>
      </vt:variant>
      <vt:variant>
        <vt:lpwstr>_Toc389206508</vt:lpwstr>
      </vt:variant>
      <vt:variant>
        <vt:i4>1769535</vt:i4>
      </vt:variant>
      <vt:variant>
        <vt:i4>248</vt:i4>
      </vt:variant>
      <vt:variant>
        <vt:i4>0</vt:i4>
      </vt:variant>
      <vt:variant>
        <vt:i4>5</vt:i4>
      </vt:variant>
      <vt:variant>
        <vt:lpwstr/>
      </vt:variant>
      <vt:variant>
        <vt:lpwstr>_Toc389206507</vt:lpwstr>
      </vt:variant>
      <vt:variant>
        <vt:i4>1769535</vt:i4>
      </vt:variant>
      <vt:variant>
        <vt:i4>242</vt:i4>
      </vt:variant>
      <vt:variant>
        <vt:i4>0</vt:i4>
      </vt:variant>
      <vt:variant>
        <vt:i4>5</vt:i4>
      </vt:variant>
      <vt:variant>
        <vt:lpwstr/>
      </vt:variant>
      <vt:variant>
        <vt:lpwstr>_Toc389206506</vt:lpwstr>
      </vt:variant>
      <vt:variant>
        <vt:i4>1769535</vt:i4>
      </vt:variant>
      <vt:variant>
        <vt:i4>236</vt:i4>
      </vt:variant>
      <vt:variant>
        <vt:i4>0</vt:i4>
      </vt:variant>
      <vt:variant>
        <vt:i4>5</vt:i4>
      </vt:variant>
      <vt:variant>
        <vt:lpwstr/>
      </vt:variant>
      <vt:variant>
        <vt:lpwstr>_Toc389206505</vt:lpwstr>
      </vt:variant>
      <vt:variant>
        <vt:i4>1769535</vt:i4>
      </vt:variant>
      <vt:variant>
        <vt:i4>230</vt:i4>
      </vt:variant>
      <vt:variant>
        <vt:i4>0</vt:i4>
      </vt:variant>
      <vt:variant>
        <vt:i4>5</vt:i4>
      </vt:variant>
      <vt:variant>
        <vt:lpwstr/>
      </vt:variant>
      <vt:variant>
        <vt:lpwstr>_Toc389206504</vt:lpwstr>
      </vt:variant>
      <vt:variant>
        <vt:i4>1769535</vt:i4>
      </vt:variant>
      <vt:variant>
        <vt:i4>224</vt:i4>
      </vt:variant>
      <vt:variant>
        <vt:i4>0</vt:i4>
      </vt:variant>
      <vt:variant>
        <vt:i4>5</vt:i4>
      </vt:variant>
      <vt:variant>
        <vt:lpwstr/>
      </vt:variant>
      <vt:variant>
        <vt:lpwstr>_Toc389206503</vt:lpwstr>
      </vt:variant>
      <vt:variant>
        <vt:i4>1769535</vt:i4>
      </vt:variant>
      <vt:variant>
        <vt:i4>218</vt:i4>
      </vt:variant>
      <vt:variant>
        <vt:i4>0</vt:i4>
      </vt:variant>
      <vt:variant>
        <vt:i4>5</vt:i4>
      </vt:variant>
      <vt:variant>
        <vt:lpwstr/>
      </vt:variant>
      <vt:variant>
        <vt:lpwstr>_Toc389206502</vt:lpwstr>
      </vt:variant>
      <vt:variant>
        <vt:i4>1769535</vt:i4>
      </vt:variant>
      <vt:variant>
        <vt:i4>212</vt:i4>
      </vt:variant>
      <vt:variant>
        <vt:i4>0</vt:i4>
      </vt:variant>
      <vt:variant>
        <vt:i4>5</vt:i4>
      </vt:variant>
      <vt:variant>
        <vt:lpwstr/>
      </vt:variant>
      <vt:variant>
        <vt:lpwstr>_Toc389206501</vt:lpwstr>
      </vt:variant>
      <vt:variant>
        <vt:i4>1769535</vt:i4>
      </vt:variant>
      <vt:variant>
        <vt:i4>206</vt:i4>
      </vt:variant>
      <vt:variant>
        <vt:i4>0</vt:i4>
      </vt:variant>
      <vt:variant>
        <vt:i4>5</vt:i4>
      </vt:variant>
      <vt:variant>
        <vt:lpwstr/>
      </vt:variant>
      <vt:variant>
        <vt:lpwstr>_Toc389206500</vt:lpwstr>
      </vt:variant>
      <vt:variant>
        <vt:i4>1179710</vt:i4>
      </vt:variant>
      <vt:variant>
        <vt:i4>200</vt:i4>
      </vt:variant>
      <vt:variant>
        <vt:i4>0</vt:i4>
      </vt:variant>
      <vt:variant>
        <vt:i4>5</vt:i4>
      </vt:variant>
      <vt:variant>
        <vt:lpwstr/>
      </vt:variant>
      <vt:variant>
        <vt:lpwstr>_Toc389206499</vt:lpwstr>
      </vt:variant>
      <vt:variant>
        <vt:i4>1179710</vt:i4>
      </vt:variant>
      <vt:variant>
        <vt:i4>194</vt:i4>
      </vt:variant>
      <vt:variant>
        <vt:i4>0</vt:i4>
      </vt:variant>
      <vt:variant>
        <vt:i4>5</vt:i4>
      </vt:variant>
      <vt:variant>
        <vt:lpwstr/>
      </vt:variant>
      <vt:variant>
        <vt:lpwstr>_Toc389206498</vt:lpwstr>
      </vt:variant>
      <vt:variant>
        <vt:i4>1179710</vt:i4>
      </vt:variant>
      <vt:variant>
        <vt:i4>188</vt:i4>
      </vt:variant>
      <vt:variant>
        <vt:i4>0</vt:i4>
      </vt:variant>
      <vt:variant>
        <vt:i4>5</vt:i4>
      </vt:variant>
      <vt:variant>
        <vt:lpwstr/>
      </vt:variant>
      <vt:variant>
        <vt:lpwstr>_Toc389206497</vt:lpwstr>
      </vt:variant>
      <vt:variant>
        <vt:i4>1179710</vt:i4>
      </vt:variant>
      <vt:variant>
        <vt:i4>182</vt:i4>
      </vt:variant>
      <vt:variant>
        <vt:i4>0</vt:i4>
      </vt:variant>
      <vt:variant>
        <vt:i4>5</vt:i4>
      </vt:variant>
      <vt:variant>
        <vt:lpwstr/>
      </vt:variant>
      <vt:variant>
        <vt:lpwstr>_Toc389206496</vt:lpwstr>
      </vt:variant>
      <vt:variant>
        <vt:i4>1179710</vt:i4>
      </vt:variant>
      <vt:variant>
        <vt:i4>176</vt:i4>
      </vt:variant>
      <vt:variant>
        <vt:i4>0</vt:i4>
      </vt:variant>
      <vt:variant>
        <vt:i4>5</vt:i4>
      </vt:variant>
      <vt:variant>
        <vt:lpwstr/>
      </vt:variant>
      <vt:variant>
        <vt:lpwstr>_Toc389206495</vt:lpwstr>
      </vt:variant>
      <vt:variant>
        <vt:i4>1179710</vt:i4>
      </vt:variant>
      <vt:variant>
        <vt:i4>170</vt:i4>
      </vt:variant>
      <vt:variant>
        <vt:i4>0</vt:i4>
      </vt:variant>
      <vt:variant>
        <vt:i4>5</vt:i4>
      </vt:variant>
      <vt:variant>
        <vt:lpwstr/>
      </vt:variant>
      <vt:variant>
        <vt:lpwstr>_Toc389206494</vt:lpwstr>
      </vt:variant>
      <vt:variant>
        <vt:i4>1179710</vt:i4>
      </vt:variant>
      <vt:variant>
        <vt:i4>164</vt:i4>
      </vt:variant>
      <vt:variant>
        <vt:i4>0</vt:i4>
      </vt:variant>
      <vt:variant>
        <vt:i4>5</vt:i4>
      </vt:variant>
      <vt:variant>
        <vt:lpwstr/>
      </vt:variant>
      <vt:variant>
        <vt:lpwstr>_Toc389206493</vt:lpwstr>
      </vt:variant>
      <vt:variant>
        <vt:i4>1179710</vt:i4>
      </vt:variant>
      <vt:variant>
        <vt:i4>158</vt:i4>
      </vt:variant>
      <vt:variant>
        <vt:i4>0</vt:i4>
      </vt:variant>
      <vt:variant>
        <vt:i4>5</vt:i4>
      </vt:variant>
      <vt:variant>
        <vt:lpwstr/>
      </vt:variant>
      <vt:variant>
        <vt:lpwstr>_Toc389206492</vt:lpwstr>
      </vt:variant>
      <vt:variant>
        <vt:i4>1179710</vt:i4>
      </vt:variant>
      <vt:variant>
        <vt:i4>152</vt:i4>
      </vt:variant>
      <vt:variant>
        <vt:i4>0</vt:i4>
      </vt:variant>
      <vt:variant>
        <vt:i4>5</vt:i4>
      </vt:variant>
      <vt:variant>
        <vt:lpwstr/>
      </vt:variant>
      <vt:variant>
        <vt:lpwstr>_Toc389206491</vt:lpwstr>
      </vt:variant>
      <vt:variant>
        <vt:i4>1179710</vt:i4>
      </vt:variant>
      <vt:variant>
        <vt:i4>146</vt:i4>
      </vt:variant>
      <vt:variant>
        <vt:i4>0</vt:i4>
      </vt:variant>
      <vt:variant>
        <vt:i4>5</vt:i4>
      </vt:variant>
      <vt:variant>
        <vt:lpwstr/>
      </vt:variant>
      <vt:variant>
        <vt:lpwstr>_Toc389206490</vt:lpwstr>
      </vt:variant>
      <vt:variant>
        <vt:i4>1245246</vt:i4>
      </vt:variant>
      <vt:variant>
        <vt:i4>140</vt:i4>
      </vt:variant>
      <vt:variant>
        <vt:i4>0</vt:i4>
      </vt:variant>
      <vt:variant>
        <vt:i4>5</vt:i4>
      </vt:variant>
      <vt:variant>
        <vt:lpwstr/>
      </vt:variant>
      <vt:variant>
        <vt:lpwstr>_Toc389206489</vt:lpwstr>
      </vt:variant>
      <vt:variant>
        <vt:i4>1245246</vt:i4>
      </vt:variant>
      <vt:variant>
        <vt:i4>134</vt:i4>
      </vt:variant>
      <vt:variant>
        <vt:i4>0</vt:i4>
      </vt:variant>
      <vt:variant>
        <vt:i4>5</vt:i4>
      </vt:variant>
      <vt:variant>
        <vt:lpwstr/>
      </vt:variant>
      <vt:variant>
        <vt:lpwstr>_Toc389206488</vt:lpwstr>
      </vt:variant>
      <vt:variant>
        <vt:i4>1245246</vt:i4>
      </vt:variant>
      <vt:variant>
        <vt:i4>128</vt:i4>
      </vt:variant>
      <vt:variant>
        <vt:i4>0</vt:i4>
      </vt:variant>
      <vt:variant>
        <vt:i4>5</vt:i4>
      </vt:variant>
      <vt:variant>
        <vt:lpwstr/>
      </vt:variant>
      <vt:variant>
        <vt:lpwstr>_Toc389206487</vt:lpwstr>
      </vt:variant>
      <vt:variant>
        <vt:i4>1245246</vt:i4>
      </vt:variant>
      <vt:variant>
        <vt:i4>122</vt:i4>
      </vt:variant>
      <vt:variant>
        <vt:i4>0</vt:i4>
      </vt:variant>
      <vt:variant>
        <vt:i4>5</vt:i4>
      </vt:variant>
      <vt:variant>
        <vt:lpwstr/>
      </vt:variant>
      <vt:variant>
        <vt:lpwstr>_Toc389206486</vt:lpwstr>
      </vt:variant>
      <vt:variant>
        <vt:i4>1245246</vt:i4>
      </vt:variant>
      <vt:variant>
        <vt:i4>116</vt:i4>
      </vt:variant>
      <vt:variant>
        <vt:i4>0</vt:i4>
      </vt:variant>
      <vt:variant>
        <vt:i4>5</vt:i4>
      </vt:variant>
      <vt:variant>
        <vt:lpwstr/>
      </vt:variant>
      <vt:variant>
        <vt:lpwstr>_Toc389206485</vt:lpwstr>
      </vt:variant>
      <vt:variant>
        <vt:i4>1245246</vt:i4>
      </vt:variant>
      <vt:variant>
        <vt:i4>110</vt:i4>
      </vt:variant>
      <vt:variant>
        <vt:i4>0</vt:i4>
      </vt:variant>
      <vt:variant>
        <vt:i4>5</vt:i4>
      </vt:variant>
      <vt:variant>
        <vt:lpwstr/>
      </vt:variant>
      <vt:variant>
        <vt:lpwstr>_Toc389206484</vt:lpwstr>
      </vt:variant>
      <vt:variant>
        <vt:i4>1245246</vt:i4>
      </vt:variant>
      <vt:variant>
        <vt:i4>104</vt:i4>
      </vt:variant>
      <vt:variant>
        <vt:i4>0</vt:i4>
      </vt:variant>
      <vt:variant>
        <vt:i4>5</vt:i4>
      </vt:variant>
      <vt:variant>
        <vt:lpwstr/>
      </vt:variant>
      <vt:variant>
        <vt:lpwstr>_Toc389206483</vt:lpwstr>
      </vt:variant>
      <vt:variant>
        <vt:i4>1245246</vt:i4>
      </vt:variant>
      <vt:variant>
        <vt:i4>98</vt:i4>
      </vt:variant>
      <vt:variant>
        <vt:i4>0</vt:i4>
      </vt:variant>
      <vt:variant>
        <vt:i4>5</vt:i4>
      </vt:variant>
      <vt:variant>
        <vt:lpwstr/>
      </vt:variant>
      <vt:variant>
        <vt:lpwstr>_Toc389206482</vt:lpwstr>
      </vt:variant>
      <vt:variant>
        <vt:i4>1245246</vt:i4>
      </vt:variant>
      <vt:variant>
        <vt:i4>92</vt:i4>
      </vt:variant>
      <vt:variant>
        <vt:i4>0</vt:i4>
      </vt:variant>
      <vt:variant>
        <vt:i4>5</vt:i4>
      </vt:variant>
      <vt:variant>
        <vt:lpwstr/>
      </vt:variant>
      <vt:variant>
        <vt:lpwstr>_Toc389206481</vt:lpwstr>
      </vt:variant>
      <vt:variant>
        <vt:i4>1245246</vt:i4>
      </vt:variant>
      <vt:variant>
        <vt:i4>86</vt:i4>
      </vt:variant>
      <vt:variant>
        <vt:i4>0</vt:i4>
      </vt:variant>
      <vt:variant>
        <vt:i4>5</vt:i4>
      </vt:variant>
      <vt:variant>
        <vt:lpwstr/>
      </vt:variant>
      <vt:variant>
        <vt:lpwstr>_Toc389206480</vt:lpwstr>
      </vt:variant>
      <vt:variant>
        <vt:i4>1835070</vt:i4>
      </vt:variant>
      <vt:variant>
        <vt:i4>80</vt:i4>
      </vt:variant>
      <vt:variant>
        <vt:i4>0</vt:i4>
      </vt:variant>
      <vt:variant>
        <vt:i4>5</vt:i4>
      </vt:variant>
      <vt:variant>
        <vt:lpwstr/>
      </vt:variant>
      <vt:variant>
        <vt:lpwstr>_Toc389206479</vt:lpwstr>
      </vt:variant>
      <vt:variant>
        <vt:i4>1835070</vt:i4>
      </vt:variant>
      <vt:variant>
        <vt:i4>74</vt:i4>
      </vt:variant>
      <vt:variant>
        <vt:i4>0</vt:i4>
      </vt:variant>
      <vt:variant>
        <vt:i4>5</vt:i4>
      </vt:variant>
      <vt:variant>
        <vt:lpwstr/>
      </vt:variant>
      <vt:variant>
        <vt:lpwstr>_Toc389206478</vt:lpwstr>
      </vt:variant>
      <vt:variant>
        <vt:i4>1835070</vt:i4>
      </vt:variant>
      <vt:variant>
        <vt:i4>68</vt:i4>
      </vt:variant>
      <vt:variant>
        <vt:i4>0</vt:i4>
      </vt:variant>
      <vt:variant>
        <vt:i4>5</vt:i4>
      </vt:variant>
      <vt:variant>
        <vt:lpwstr/>
      </vt:variant>
      <vt:variant>
        <vt:lpwstr>_Toc389206477</vt:lpwstr>
      </vt:variant>
      <vt:variant>
        <vt:i4>1835070</vt:i4>
      </vt:variant>
      <vt:variant>
        <vt:i4>62</vt:i4>
      </vt:variant>
      <vt:variant>
        <vt:i4>0</vt:i4>
      </vt:variant>
      <vt:variant>
        <vt:i4>5</vt:i4>
      </vt:variant>
      <vt:variant>
        <vt:lpwstr/>
      </vt:variant>
      <vt:variant>
        <vt:lpwstr>_Toc389206476</vt:lpwstr>
      </vt:variant>
      <vt:variant>
        <vt:i4>1835070</vt:i4>
      </vt:variant>
      <vt:variant>
        <vt:i4>56</vt:i4>
      </vt:variant>
      <vt:variant>
        <vt:i4>0</vt:i4>
      </vt:variant>
      <vt:variant>
        <vt:i4>5</vt:i4>
      </vt:variant>
      <vt:variant>
        <vt:lpwstr/>
      </vt:variant>
      <vt:variant>
        <vt:lpwstr>_Toc389206475</vt:lpwstr>
      </vt:variant>
      <vt:variant>
        <vt:i4>1835070</vt:i4>
      </vt:variant>
      <vt:variant>
        <vt:i4>50</vt:i4>
      </vt:variant>
      <vt:variant>
        <vt:i4>0</vt:i4>
      </vt:variant>
      <vt:variant>
        <vt:i4>5</vt:i4>
      </vt:variant>
      <vt:variant>
        <vt:lpwstr/>
      </vt:variant>
      <vt:variant>
        <vt:lpwstr>_Toc389206474</vt:lpwstr>
      </vt:variant>
      <vt:variant>
        <vt:i4>1835070</vt:i4>
      </vt:variant>
      <vt:variant>
        <vt:i4>44</vt:i4>
      </vt:variant>
      <vt:variant>
        <vt:i4>0</vt:i4>
      </vt:variant>
      <vt:variant>
        <vt:i4>5</vt:i4>
      </vt:variant>
      <vt:variant>
        <vt:lpwstr/>
      </vt:variant>
      <vt:variant>
        <vt:lpwstr>_Toc389206473</vt:lpwstr>
      </vt:variant>
      <vt:variant>
        <vt:i4>1835070</vt:i4>
      </vt:variant>
      <vt:variant>
        <vt:i4>38</vt:i4>
      </vt:variant>
      <vt:variant>
        <vt:i4>0</vt:i4>
      </vt:variant>
      <vt:variant>
        <vt:i4>5</vt:i4>
      </vt:variant>
      <vt:variant>
        <vt:lpwstr/>
      </vt:variant>
      <vt:variant>
        <vt:lpwstr>_Toc389206472</vt:lpwstr>
      </vt:variant>
      <vt:variant>
        <vt:i4>1835070</vt:i4>
      </vt:variant>
      <vt:variant>
        <vt:i4>32</vt:i4>
      </vt:variant>
      <vt:variant>
        <vt:i4>0</vt:i4>
      </vt:variant>
      <vt:variant>
        <vt:i4>5</vt:i4>
      </vt:variant>
      <vt:variant>
        <vt:lpwstr/>
      </vt:variant>
      <vt:variant>
        <vt:lpwstr>_Toc389206471</vt:lpwstr>
      </vt:variant>
      <vt:variant>
        <vt:i4>1835070</vt:i4>
      </vt:variant>
      <vt:variant>
        <vt:i4>26</vt:i4>
      </vt:variant>
      <vt:variant>
        <vt:i4>0</vt:i4>
      </vt:variant>
      <vt:variant>
        <vt:i4>5</vt:i4>
      </vt:variant>
      <vt:variant>
        <vt:lpwstr/>
      </vt:variant>
      <vt:variant>
        <vt:lpwstr>_Toc389206470</vt:lpwstr>
      </vt:variant>
      <vt:variant>
        <vt:i4>1900606</vt:i4>
      </vt:variant>
      <vt:variant>
        <vt:i4>20</vt:i4>
      </vt:variant>
      <vt:variant>
        <vt:i4>0</vt:i4>
      </vt:variant>
      <vt:variant>
        <vt:i4>5</vt:i4>
      </vt:variant>
      <vt:variant>
        <vt:lpwstr/>
      </vt:variant>
      <vt:variant>
        <vt:lpwstr>_Toc389206469</vt:lpwstr>
      </vt:variant>
      <vt:variant>
        <vt:i4>1900606</vt:i4>
      </vt:variant>
      <vt:variant>
        <vt:i4>14</vt:i4>
      </vt:variant>
      <vt:variant>
        <vt:i4>0</vt:i4>
      </vt:variant>
      <vt:variant>
        <vt:i4>5</vt:i4>
      </vt:variant>
      <vt:variant>
        <vt:lpwstr/>
      </vt:variant>
      <vt:variant>
        <vt:lpwstr>_Toc389206468</vt:lpwstr>
      </vt:variant>
      <vt:variant>
        <vt:i4>1900606</vt:i4>
      </vt:variant>
      <vt:variant>
        <vt:i4>8</vt:i4>
      </vt:variant>
      <vt:variant>
        <vt:i4>0</vt:i4>
      </vt:variant>
      <vt:variant>
        <vt:i4>5</vt:i4>
      </vt:variant>
      <vt:variant>
        <vt:lpwstr/>
      </vt:variant>
      <vt:variant>
        <vt:lpwstr>_Toc389206467</vt:lpwstr>
      </vt:variant>
      <vt:variant>
        <vt:i4>1900606</vt:i4>
      </vt:variant>
      <vt:variant>
        <vt:i4>2</vt:i4>
      </vt:variant>
      <vt:variant>
        <vt:i4>0</vt:i4>
      </vt:variant>
      <vt:variant>
        <vt:i4>5</vt:i4>
      </vt:variant>
      <vt:variant>
        <vt:lpwstr/>
      </vt:variant>
      <vt:variant>
        <vt:lpwstr>_Toc389206466</vt:lpwstr>
      </vt:variant>
      <vt:variant>
        <vt:i4>1048599</vt:i4>
      </vt:variant>
      <vt:variant>
        <vt:i4>18</vt:i4>
      </vt:variant>
      <vt:variant>
        <vt:i4>0</vt:i4>
      </vt:variant>
      <vt:variant>
        <vt:i4>5</vt:i4>
      </vt:variant>
      <vt:variant>
        <vt:lpwstr>http://weiss.vmm.be/</vt:lpwstr>
      </vt:variant>
      <vt:variant>
        <vt:lpwstr/>
      </vt:variant>
      <vt:variant>
        <vt:i4>5505088</vt:i4>
      </vt:variant>
      <vt:variant>
        <vt:i4>15</vt:i4>
      </vt:variant>
      <vt:variant>
        <vt:i4>0</vt:i4>
      </vt:variant>
      <vt:variant>
        <vt:i4>5</vt:i4>
      </vt:variant>
      <vt:variant>
        <vt:lpwstr>http://prtr.ec.europa.eu/DiffuseSourcesWater.aspx</vt:lpwstr>
      </vt:variant>
      <vt:variant>
        <vt:lpwstr/>
      </vt:variant>
      <vt:variant>
        <vt:i4>3932221</vt:i4>
      </vt:variant>
      <vt:variant>
        <vt:i4>12</vt:i4>
      </vt:variant>
      <vt:variant>
        <vt:i4>0</vt:i4>
      </vt:variant>
      <vt:variant>
        <vt:i4>5</vt:i4>
      </vt:variant>
      <vt:variant>
        <vt:lpwstr>http://rod.eionet.europa.eu/obligations/632</vt:lpwstr>
      </vt:variant>
      <vt:variant>
        <vt:lpwstr/>
      </vt:variant>
      <vt:variant>
        <vt:i4>786510</vt:i4>
      </vt:variant>
      <vt:variant>
        <vt:i4>9</vt:i4>
      </vt:variant>
      <vt:variant>
        <vt:i4>0</vt:i4>
      </vt:variant>
      <vt:variant>
        <vt:i4>5</vt:i4>
      </vt:variant>
      <vt:variant>
        <vt:lpwstr>https://circabc.europa.eu/sd/a/6a3fb5a0-4dec-4fde-a69d-5ac93dfbbadd/Guidance document n28.pdf</vt:lpwstr>
      </vt:variant>
      <vt:variant>
        <vt:lpwstr/>
      </vt:variant>
      <vt:variant>
        <vt:i4>2359328</vt:i4>
      </vt:variant>
      <vt:variant>
        <vt:i4>6</vt:i4>
      </vt:variant>
      <vt:variant>
        <vt:i4>0</vt:i4>
      </vt:variant>
      <vt:variant>
        <vt:i4>5</vt:i4>
      </vt:variant>
      <vt:variant>
        <vt:lpwstr>http://www.eea.europa.eu/data-and-maps/indicators/untitled-indemission-intensity-of-agriculture/assessment</vt:lpwstr>
      </vt:variant>
      <vt:variant>
        <vt:lpwstr/>
      </vt:variant>
      <vt:variant>
        <vt:i4>3932221</vt:i4>
      </vt:variant>
      <vt:variant>
        <vt:i4>3</vt:i4>
      </vt:variant>
      <vt:variant>
        <vt:i4>0</vt:i4>
      </vt:variant>
      <vt:variant>
        <vt:i4>5</vt:i4>
      </vt:variant>
      <vt:variant>
        <vt:lpwstr>http://rod.eionet.europa.eu/obligations/632</vt:lpwstr>
      </vt:variant>
      <vt:variant>
        <vt:lpwstr/>
      </vt:variant>
      <vt:variant>
        <vt:i4>3801205</vt:i4>
      </vt:variant>
      <vt:variant>
        <vt:i4>0</vt:i4>
      </vt:variant>
      <vt:variant>
        <vt:i4>0</vt:i4>
      </vt:variant>
      <vt:variant>
        <vt:i4>5</vt:i4>
      </vt:variant>
      <vt:variant>
        <vt:lpwstr>https://circabc.europa.eu/sd/a/0cc3581b-5f65-4b6f-91c6-433a1e947838/TGD-EQS CIS-WFD 27 EC 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Ann-Karin Thorén</dc:creator>
  <cp:keywords>EL4</cp:keywords>
  <cp:lastModifiedBy>Ann-Karin Thorén</cp:lastModifiedBy>
  <cp:revision>2</cp:revision>
  <cp:lastPrinted>2015-10-14T15:42:00Z</cp:lastPrinted>
  <dcterms:created xsi:type="dcterms:W3CDTF">2016-01-21T11:50:00Z</dcterms:created>
  <dcterms:modified xsi:type="dcterms:W3CDTF">2016-01-21T11:50:00Z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4.6.2.4290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34000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Jorge Rodriguez Romero</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_NewReviewCycle">
    <vt:lpwstr/>
  </property>
</Properties>
</file>