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41E1" w14:textId="0F66194A" w:rsidR="005230B8" w:rsidRDefault="005230B8" w:rsidP="0016403E">
      <w:pPr>
        <w:pStyle w:val="Rubrik"/>
        <w:ind w:left="-595"/>
      </w:pPr>
    </w:p>
    <w:p w14:paraId="2ED04030" w14:textId="77777777" w:rsidR="005230B8" w:rsidRPr="00D46D52" w:rsidRDefault="00814DB3" w:rsidP="00814DB3">
      <w:pPr>
        <w:jc w:val="right"/>
        <w:sectPr w:rsidR="005230B8" w:rsidRPr="00D46D52" w:rsidSect="00F13AFA">
          <w:headerReference w:type="even" r:id="rId11"/>
          <w:headerReference w:type="default" r:id="rId12"/>
          <w:footerReference w:type="even" r:id="rId13"/>
          <w:footerReference w:type="default" r:id="rId14"/>
          <w:headerReference w:type="first" r:id="rId15"/>
          <w:footerReference w:type="first" r:id="rId16"/>
          <w:pgSz w:w="11906" w:h="16838"/>
          <w:pgMar w:top="699" w:right="1417" w:bottom="1417" w:left="1417" w:header="0" w:footer="708" w:gutter="0"/>
          <w:cols w:num="2" w:space="708"/>
          <w:titlePg/>
          <w:docGrid w:linePitch="360"/>
        </w:sectPr>
      </w:pPr>
      <w:r w:rsidRPr="00A536D0">
        <w:br w:type="column"/>
      </w:r>
      <w:r>
        <w:rPr>
          <w:rStyle w:val="Sidnummer"/>
        </w:rPr>
        <w:fldChar w:fldCharType="begin"/>
      </w:r>
      <w:r w:rsidRPr="00A536D0">
        <w:rPr>
          <w:rStyle w:val="Sidnummer"/>
        </w:rPr>
        <w:instrText xml:space="preserve">PAGE </w:instrText>
      </w:r>
      <w:r>
        <w:rPr>
          <w:rStyle w:val="Sidnummer"/>
        </w:rPr>
        <w:fldChar w:fldCharType="separate"/>
      </w:r>
      <w:r w:rsidRPr="00D46D52">
        <w:rPr>
          <w:rStyle w:val="Sidnummer"/>
          <w:noProof/>
        </w:rPr>
        <w:t>1</w:t>
      </w:r>
      <w:r>
        <w:rPr>
          <w:rStyle w:val="Sidnummer"/>
        </w:rPr>
        <w:fldChar w:fldCharType="end"/>
      </w:r>
      <w:r w:rsidRPr="00D46D52">
        <w:rPr>
          <w:rStyle w:val="Sidnummer"/>
        </w:rPr>
        <w:t>/</w:t>
      </w:r>
      <w:r>
        <w:rPr>
          <w:rStyle w:val="Sidnummer"/>
        </w:rPr>
        <w:fldChar w:fldCharType="begin"/>
      </w:r>
      <w:r w:rsidRPr="00D46D52">
        <w:rPr>
          <w:rStyle w:val="Sidnummer"/>
        </w:rPr>
        <w:instrText xml:space="preserve"> NUMPAGES </w:instrText>
      </w:r>
      <w:r>
        <w:rPr>
          <w:rStyle w:val="Sidnummer"/>
        </w:rPr>
        <w:fldChar w:fldCharType="separate"/>
      </w:r>
      <w:r w:rsidRPr="00D46D52">
        <w:rPr>
          <w:rStyle w:val="Sidnummer"/>
          <w:noProof/>
        </w:rPr>
        <w:t>2</w:t>
      </w:r>
      <w:r>
        <w:rPr>
          <w:rStyle w:val="Sidnummer"/>
        </w:rPr>
        <w:fldChar w:fldCharType="end"/>
      </w:r>
    </w:p>
    <w:p w14:paraId="4661F38D" w14:textId="0D7E0110" w:rsidR="00E36E7D" w:rsidRPr="00BB5A32" w:rsidRDefault="000D5937" w:rsidP="00E36E7D">
      <w:pPr>
        <w:pStyle w:val="Rubrik1"/>
        <w:rPr>
          <w:b w:val="0"/>
          <w:noProof/>
          <w:color w:val="0070C0"/>
          <w:szCs w:val="36"/>
          <w:lang w:eastAsia="sv-SE"/>
        </w:rPr>
      </w:pPr>
      <w:bookmarkStart w:id="0" w:name="_Hlk174697995"/>
      <w:bookmarkEnd w:id="0"/>
      <w:r w:rsidRPr="00BB5A32">
        <w:rPr>
          <w:b w:val="0"/>
          <w:noProof/>
          <w:color w:val="0070C0"/>
          <w:szCs w:val="36"/>
          <w:lang w:eastAsia="sv-SE"/>
        </w:rPr>
        <mc:AlternateContent>
          <mc:Choice Requires="wps">
            <w:drawing>
              <wp:anchor distT="0" distB="0" distL="114300" distR="114300" simplePos="0" relativeHeight="251686912" behindDoc="0" locked="0" layoutInCell="1" allowOverlap="1" wp14:anchorId="63936D31" wp14:editId="35FB7BFC">
                <wp:simplePos x="0" y="0"/>
                <wp:positionH relativeFrom="page">
                  <wp:align>right</wp:align>
                </wp:positionH>
                <wp:positionV relativeFrom="paragraph">
                  <wp:posOffset>-1169035</wp:posOffset>
                </wp:positionV>
                <wp:extent cx="2151931" cy="1403985"/>
                <wp:effectExtent l="228600" t="400050" r="248920" b="39306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151931" cy="1403985"/>
                        </a:xfrm>
                        <a:prstGeom prst="rect">
                          <a:avLst/>
                        </a:prstGeom>
                        <a:solidFill>
                          <a:srgbClr val="FFFF00"/>
                        </a:solidFill>
                        <a:ln w="9525">
                          <a:solidFill>
                            <a:srgbClr val="000000"/>
                          </a:solidFill>
                          <a:miter lim="800000"/>
                          <a:headEnd/>
                          <a:tailEnd/>
                        </a:ln>
                      </wps:spPr>
                      <wps:txbx>
                        <w:txbxContent>
                          <w:p w14:paraId="43981F70" w14:textId="77777777" w:rsidR="00E36E7D" w:rsidRPr="001D1C1F" w:rsidRDefault="00E36E7D" w:rsidP="00E36E7D">
                            <w:pPr>
                              <w:rPr>
                                <w:rFonts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D1C1F">
                              <w:rPr>
                                <w:rFonts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36D31" id="_x0000_t202" coordsize="21600,21600" o:spt="202" path="m,l,21600r21600,l21600,xe">
                <v:stroke joinstyle="miter"/>
                <v:path gradientshapeok="t" o:connecttype="rect"/>
              </v:shapetype>
              <v:shape id="Textruta 2" o:spid="_x0000_s1026" type="#_x0000_t202" style="position:absolute;margin-left:118.25pt;margin-top:-92.05pt;width:169.45pt;height:110.55pt;rotation:1593665fd;z-index:251686912;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" fillcolor="yellow">
                <v:textbox style="mso-fit-shape-to-text:t">
                  <w:txbxContent>
                    <w:p w14:paraId="43981F70" w14:textId="77777777" w:rsidR="00E36E7D" w:rsidRPr="001D1C1F" w:rsidRDefault="00E36E7D" w:rsidP="00E36E7D">
                      <w:pPr>
                        <w:rPr>
                          <w:rFonts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D1C1F">
                        <w:rPr>
                          <w:rFonts w:cstheme="minorHAnsi"/>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v:textbox>
                <w10:wrap anchorx="page"/>
              </v:shape>
            </w:pict>
          </mc:Fallback>
        </mc:AlternateContent>
      </w:r>
      <w:r w:rsidR="00FC7707" w:rsidRPr="00C10593">
        <w:rPr>
          <w:b w:val="0"/>
          <w:noProof/>
          <w:color w:val="0070C0"/>
          <w:szCs w:val="36"/>
          <w:lang w:eastAsia="sv-SE"/>
        </w:rPr>
        <mc:AlternateContent>
          <mc:Choice Requires="wps">
            <w:drawing>
              <wp:anchor distT="45720" distB="45720" distL="114300" distR="114300" simplePos="0" relativeHeight="251684864" behindDoc="0" locked="0" layoutInCell="1" allowOverlap="1" wp14:anchorId="4E19B7C9" wp14:editId="01C2DDDA">
                <wp:simplePos x="0" y="0"/>
                <wp:positionH relativeFrom="margin">
                  <wp:posOffset>1905</wp:posOffset>
                </wp:positionH>
                <wp:positionV relativeFrom="paragraph">
                  <wp:posOffset>757555</wp:posOffset>
                </wp:positionV>
                <wp:extent cx="5676900" cy="1409700"/>
                <wp:effectExtent l="0" t="0" r="0" b="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9700"/>
                        </a:xfrm>
                        <a:prstGeom prst="rect">
                          <a:avLst/>
                        </a:prstGeom>
                        <a:solidFill>
                          <a:schemeClr val="accent3">
                            <a:lumMod val="25000"/>
                            <a:lumOff val="75000"/>
                          </a:schemeClr>
                        </a:solidFill>
                        <a:ln w="9525">
                          <a:noFill/>
                          <a:miter lim="800000"/>
                          <a:headEnd/>
                          <a:tailEnd/>
                        </a:ln>
                      </wps:spPr>
                      <wps:txbx>
                        <w:txbxContent>
                          <w:p w14:paraId="5AB4DB33" w14:textId="77777777" w:rsidR="00E36E7D" w:rsidRPr="00680E92" w:rsidRDefault="00E36E7D" w:rsidP="00E36E7D">
                            <w:pPr>
                              <w:pStyle w:val="NormalIndrag"/>
                              <w:ind w:firstLine="0"/>
                              <w:rPr>
                                <w:rFonts w:ascii="Arial" w:hAnsi="Arial" w:cs="Arial"/>
                                <w:sz w:val="21"/>
                                <w:szCs w:val="21"/>
                              </w:rPr>
                            </w:pPr>
                            <w:r w:rsidRPr="00680E92">
                              <w:rPr>
                                <w:rFonts w:ascii="Arial" w:hAnsi="Arial" w:cs="Arial"/>
                                <w:sz w:val="21"/>
                                <w:szCs w:val="21"/>
                              </w:rPr>
                              <w:t>En infiltrerande avloppsanläggning ska placeras så att det finns tillräckligt skyddsavstånd till såväl grundvatten, ytvatten som dricksvatten.</w:t>
                            </w:r>
                          </w:p>
                          <w:p w14:paraId="674A1FCC" w14:textId="4411BAF1" w:rsidR="00E36E7D" w:rsidRPr="00680E92" w:rsidRDefault="00E36E7D" w:rsidP="00E36E7D">
                            <w:pPr>
                              <w:pStyle w:val="NormalIndrag"/>
                              <w:ind w:firstLine="0"/>
                              <w:rPr>
                                <w:rFonts w:ascii="Arial" w:hAnsi="Arial" w:cs="Arial"/>
                                <w:sz w:val="21"/>
                                <w:szCs w:val="21"/>
                              </w:rPr>
                            </w:pPr>
                            <w:r w:rsidRPr="00680E92">
                              <w:rPr>
                                <w:rFonts w:ascii="Arial" w:hAnsi="Arial" w:cs="Arial"/>
                                <w:sz w:val="21"/>
                                <w:szCs w:val="21"/>
                              </w:rPr>
                              <w:t xml:space="preserve">I detta informationsblad beskrivs en modell för att avgöra om tillräckliga skyddsavstånd till </w:t>
                            </w:r>
                            <w:r w:rsidR="00FC7707">
                              <w:rPr>
                                <w:rFonts w:ascii="Arial" w:hAnsi="Arial" w:cs="Arial"/>
                                <w:sz w:val="21"/>
                                <w:szCs w:val="21"/>
                              </w:rPr>
                              <w:t xml:space="preserve">borrad </w:t>
                            </w:r>
                            <w:r w:rsidRPr="00680E92">
                              <w:rPr>
                                <w:rFonts w:ascii="Arial" w:hAnsi="Arial" w:cs="Arial"/>
                                <w:sz w:val="21"/>
                                <w:szCs w:val="21"/>
                              </w:rPr>
                              <w:t xml:space="preserve">dricksvattentäkt uppnås. Avgörande för bedömningen av hur långa skyddsavstånd som behövs är i första hand </w:t>
                            </w:r>
                            <w:r w:rsidR="00B51E2E">
                              <w:rPr>
                                <w:rFonts w:ascii="Arial" w:hAnsi="Arial" w:cs="Arial"/>
                                <w:sz w:val="21"/>
                                <w:szCs w:val="21"/>
                              </w:rPr>
                              <w:t xml:space="preserve">bergets genomsläpplighet, </w:t>
                            </w:r>
                            <w:r w:rsidRPr="00680E92">
                              <w:rPr>
                                <w:rFonts w:ascii="Arial" w:hAnsi="Arial" w:cs="Arial"/>
                                <w:sz w:val="21"/>
                                <w:szCs w:val="21"/>
                              </w:rPr>
                              <w:t>jordart</w:t>
                            </w:r>
                            <w:r w:rsidR="005D2AA0">
                              <w:rPr>
                                <w:rFonts w:ascii="Arial" w:hAnsi="Arial" w:cs="Arial"/>
                                <w:sz w:val="21"/>
                                <w:szCs w:val="21"/>
                              </w:rPr>
                              <w:t xml:space="preserve"> och </w:t>
                            </w:r>
                            <w:r w:rsidRPr="00680E92">
                              <w:rPr>
                                <w:rFonts w:ascii="Arial" w:hAnsi="Arial" w:cs="Arial"/>
                                <w:sz w:val="21"/>
                                <w:szCs w:val="21"/>
                              </w:rPr>
                              <w:t>grundvatt</w:t>
                            </w:r>
                            <w:r w:rsidR="000D5937">
                              <w:rPr>
                                <w:rFonts w:ascii="Arial" w:hAnsi="Arial" w:cs="Arial"/>
                                <w:sz w:val="21"/>
                                <w:szCs w:val="21"/>
                              </w:rPr>
                              <w:t>enytan</w:t>
                            </w:r>
                            <w:r w:rsidRPr="00680E92">
                              <w:rPr>
                                <w:rFonts w:ascii="Arial" w:hAnsi="Arial" w:cs="Arial"/>
                                <w:sz w:val="21"/>
                                <w:szCs w:val="21"/>
                              </w:rPr>
                              <w:t>s lutning.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9B7C9" id="_x0000_s1027" type="#_x0000_t202" style="position:absolute;margin-left:.15pt;margin-top:59.65pt;width:447pt;height:111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" fillcolor="#a0cef3 [822]" stroked="f">
                <v:textbox>
                  <w:txbxContent>
                    <w:p w14:paraId="5AB4DB33" w14:textId="77777777" w:rsidR="00E36E7D" w:rsidRPr="00680E92" w:rsidRDefault="00E36E7D" w:rsidP="00E36E7D">
                      <w:pPr>
                        <w:pStyle w:val="NormalIndrag"/>
                        <w:ind w:firstLine="0"/>
                        <w:rPr>
                          <w:rFonts w:ascii="Arial" w:hAnsi="Arial" w:cs="Arial"/>
                          <w:sz w:val="21"/>
                          <w:szCs w:val="21"/>
                        </w:rPr>
                      </w:pPr>
                      <w:r w:rsidRPr="00680E92">
                        <w:rPr>
                          <w:rFonts w:ascii="Arial" w:hAnsi="Arial" w:cs="Arial"/>
                          <w:sz w:val="21"/>
                          <w:szCs w:val="21"/>
                        </w:rPr>
                        <w:t>En infiltrerande avloppsanläggning ska placeras så att det finns tillräckligt skyddsavstånd till såväl grundvatten, ytvatten som dricksvatten.</w:t>
                      </w:r>
                    </w:p>
                    <w:p w14:paraId="674A1FCC" w14:textId="4411BAF1" w:rsidR="00E36E7D" w:rsidRPr="00680E92" w:rsidRDefault="00E36E7D" w:rsidP="00E36E7D">
                      <w:pPr>
                        <w:pStyle w:val="NormalIndrag"/>
                        <w:ind w:firstLine="0"/>
                        <w:rPr>
                          <w:rFonts w:ascii="Arial" w:hAnsi="Arial" w:cs="Arial"/>
                          <w:sz w:val="21"/>
                          <w:szCs w:val="21"/>
                        </w:rPr>
                      </w:pPr>
                      <w:r w:rsidRPr="00680E92">
                        <w:rPr>
                          <w:rFonts w:ascii="Arial" w:hAnsi="Arial" w:cs="Arial"/>
                          <w:sz w:val="21"/>
                          <w:szCs w:val="21"/>
                        </w:rPr>
                        <w:t xml:space="preserve">I detta informationsblad beskrivs en modell för att avgöra om tillräckliga skyddsavstånd till </w:t>
                      </w:r>
                      <w:r w:rsidR="00FC7707">
                        <w:rPr>
                          <w:rFonts w:ascii="Arial" w:hAnsi="Arial" w:cs="Arial"/>
                          <w:sz w:val="21"/>
                          <w:szCs w:val="21"/>
                        </w:rPr>
                        <w:t xml:space="preserve">borrad </w:t>
                      </w:r>
                      <w:r w:rsidRPr="00680E92">
                        <w:rPr>
                          <w:rFonts w:ascii="Arial" w:hAnsi="Arial" w:cs="Arial"/>
                          <w:sz w:val="21"/>
                          <w:szCs w:val="21"/>
                        </w:rPr>
                        <w:t xml:space="preserve">dricksvattentäkt uppnås. Avgörande för bedömningen av hur långa skyddsavstånd som behövs är i första hand </w:t>
                      </w:r>
                      <w:r w:rsidR="00B51E2E">
                        <w:rPr>
                          <w:rFonts w:ascii="Arial" w:hAnsi="Arial" w:cs="Arial"/>
                          <w:sz w:val="21"/>
                          <w:szCs w:val="21"/>
                        </w:rPr>
                        <w:t xml:space="preserve">bergets genomsläpplighet, </w:t>
                      </w:r>
                      <w:r w:rsidRPr="00680E92">
                        <w:rPr>
                          <w:rFonts w:ascii="Arial" w:hAnsi="Arial" w:cs="Arial"/>
                          <w:sz w:val="21"/>
                          <w:szCs w:val="21"/>
                        </w:rPr>
                        <w:t>jordart</w:t>
                      </w:r>
                      <w:r w:rsidR="005D2AA0">
                        <w:rPr>
                          <w:rFonts w:ascii="Arial" w:hAnsi="Arial" w:cs="Arial"/>
                          <w:sz w:val="21"/>
                          <w:szCs w:val="21"/>
                        </w:rPr>
                        <w:t xml:space="preserve"> och </w:t>
                      </w:r>
                      <w:r w:rsidRPr="00680E92">
                        <w:rPr>
                          <w:rFonts w:ascii="Arial" w:hAnsi="Arial" w:cs="Arial"/>
                          <w:sz w:val="21"/>
                          <w:szCs w:val="21"/>
                        </w:rPr>
                        <w:t>grundvatt</w:t>
                      </w:r>
                      <w:r w:rsidR="000D5937">
                        <w:rPr>
                          <w:rFonts w:ascii="Arial" w:hAnsi="Arial" w:cs="Arial"/>
                          <w:sz w:val="21"/>
                          <w:szCs w:val="21"/>
                        </w:rPr>
                        <w:t>enytan</w:t>
                      </w:r>
                      <w:r w:rsidRPr="00680E92">
                        <w:rPr>
                          <w:rFonts w:ascii="Arial" w:hAnsi="Arial" w:cs="Arial"/>
                          <w:sz w:val="21"/>
                          <w:szCs w:val="21"/>
                        </w:rPr>
                        <w:t>s lutning.</w:t>
                      </w:r>
                    </w:p>
                  </w:txbxContent>
                </v:textbox>
                <w10:wrap type="square" anchorx="margin"/>
              </v:shape>
            </w:pict>
          </mc:Fallback>
        </mc:AlternateContent>
      </w:r>
      <w:r w:rsidR="00E36E7D" w:rsidRPr="00BB5A32">
        <w:rPr>
          <w:noProof/>
          <w:color w:val="0070C0"/>
          <w:szCs w:val="36"/>
          <w:lang w:eastAsia="sv-SE"/>
        </w:rPr>
        <w:t xml:space="preserve">Skydd av </w:t>
      </w:r>
      <w:r w:rsidR="00FC7707">
        <w:rPr>
          <w:noProof/>
          <w:color w:val="0070C0"/>
          <w:szCs w:val="36"/>
          <w:lang w:eastAsia="sv-SE"/>
        </w:rPr>
        <w:t xml:space="preserve">borrad </w:t>
      </w:r>
      <w:r w:rsidR="00E36E7D" w:rsidRPr="00BB5A32">
        <w:rPr>
          <w:noProof/>
          <w:color w:val="0070C0"/>
          <w:szCs w:val="36"/>
          <w:lang w:eastAsia="sv-SE"/>
        </w:rPr>
        <w:t>dricksvatten</w:t>
      </w:r>
      <w:r w:rsidR="00FC7707">
        <w:rPr>
          <w:noProof/>
          <w:color w:val="0070C0"/>
          <w:szCs w:val="36"/>
          <w:lang w:eastAsia="sv-SE"/>
        </w:rPr>
        <w:t>brunn</w:t>
      </w:r>
      <w:r w:rsidR="00E36E7D">
        <w:rPr>
          <w:noProof/>
          <w:color w:val="0070C0"/>
          <w:szCs w:val="36"/>
          <w:lang w:eastAsia="sv-SE"/>
        </w:rPr>
        <w:t>, avloppsanläggningar &lt;26 pe</w:t>
      </w:r>
    </w:p>
    <w:p w14:paraId="36C93327" w14:textId="77777777" w:rsidR="00E36E7D" w:rsidRDefault="00E36E7D" w:rsidP="00E36E7D">
      <w:pPr>
        <w:pStyle w:val="NormalIndrag"/>
        <w:ind w:firstLine="0"/>
        <w:rPr>
          <w:rFonts w:ascii="Arial" w:hAnsi="Arial" w:cs="Arial"/>
          <w:sz w:val="21"/>
          <w:szCs w:val="21"/>
        </w:rPr>
      </w:pPr>
    </w:p>
    <w:p w14:paraId="6AB804F4" w14:textId="77777777" w:rsidR="00656E57" w:rsidRPr="00743DB5" w:rsidRDefault="00656E57" w:rsidP="00743DB5">
      <w:pPr>
        <w:pStyle w:val="Beskrivning"/>
        <w:keepNext w:val="0"/>
        <w:spacing w:before="0" w:after="200"/>
        <w:rPr>
          <w:rFonts w:ascii="Arial" w:hAnsi="Arial" w:cs="Arial"/>
          <w:b/>
          <w:color w:val="0070C0"/>
          <w:sz w:val="25"/>
          <w:szCs w:val="25"/>
        </w:rPr>
      </w:pPr>
      <w:r w:rsidRPr="00743DB5">
        <w:rPr>
          <w:rFonts w:ascii="Arial" w:hAnsi="Arial" w:cs="Arial"/>
          <w:b/>
          <w:color w:val="0070C0"/>
          <w:sz w:val="25"/>
          <w:szCs w:val="25"/>
        </w:rPr>
        <w:t>Generella rekommendationer</w:t>
      </w:r>
    </w:p>
    <w:p w14:paraId="7B39A304" w14:textId="77777777" w:rsidR="00B97E7E" w:rsidRDefault="00B97E7E" w:rsidP="00B97E7E">
      <w:pPr>
        <w:pStyle w:val="NormalIndrag"/>
        <w:ind w:firstLine="0"/>
        <w:rPr>
          <w:rFonts w:ascii="Arial" w:hAnsi="Arial" w:cs="Arial"/>
          <w:sz w:val="21"/>
          <w:szCs w:val="21"/>
        </w:rPr>
      </w:pPr>
      <w:r>
        <w:rPr>
          <w:rFonts w:ascii="Arial" w:hAnsi="Arial" w:cs="Arial"/>
          <w:sz w:val="21"/>
          <w:szCs w:val="21"/>
        </w:rPr>
        <w:t>H</w:t>
      </w:r>
      <w:r w:rsidRPr="00544FF0">
        <w:rPr>
          <w:rFonts w:ascii="Arial" w:hAnsi="Arial" w:cs="Arial"/>
          <w:sz w:val="21"/>
          <w:szCs w:val="21"/>
        </w:rPr>
        <w:t>uvudprincip</w:t>
      </w:r>
      <w:r>
        <w:rPr>
          <w:rFonts w:ascii="Arial" w:hAnsi="Arial" w:cs="Arial"/>
          <w:sz w:val="21"/>
          <w:szCs w:val="21"/>
        </w:rPr>
        <w:t>en är a</w:t>
      </w:r>
      <w:r w:rsidRPr="00544FF0">
        <w:rPr>
          <w:rFonts w:ascii="Arial" w:hAnsi="Arial" w:cs="Arial"/>
          <w:sz w:val="21"/>
          <w:szCs w:val="21"/>
        </w:rPr>
        <w:t xml:space="preserve">tt placera avloppsanläggningen lägre i terrängen jämfört med </w:t>
      </w:r>
      <w:r>
        <w:rPr>
          <w:rFonts w:ascii="Arial" w:hAnsi="Arial" w:cs="Arial"/>
          <w:sz w:val="21"/>
          <w:szCs w:val="21"/>
        </w:rPr>
        <w:t>dricksvatten</w:t>
      </w:r>
      <w:r w:rsidRPr="00544FF0">
        <w:rPr>
          <w:rFonts w:ascii="Arial" w:hAnsi="Arial" w:cs="Arial"/>
          <w:sz w:val="21"/>
          <w:szCs w:val="21"/>
        </w:rPr>
        <w:t>brunnen</w:t>
      </w:r>
      <w:r>
        <w:rPr>
          <w:rFonts w:ascii="Arial" w:hAnsi="Arial" w:cs="Arial"/>
          <w:sz w:val="21"/>
          <w:szCs w:val="21"/>
        </w:rPr>
        <w:t xml:space="preserve"> men det är också </w:t>
      </w:r>
      <w:r w:rsidRPr="00F8599B">
        <w:rPr>
          <w:rFonts w:ascii="Arial" w:hAnsi="Arial" w:cs="Arial"/>
          <w:sz w:val="21"/>
          <w:szCs w:val="21"/>
        </w:rPr>
        <w:t xml:space="preserve">viktigt att ta hänsyn till att avsänkningen i </w:t>
      </w:r>
      <w:r>
        <w:rPr>
          <w:rFonts w:ascii="Arial" w:hAnsi="Arial" w:cs="Arial"/>
          <w:sz w:val="21"/>
          <w:szCs w:val="21"/>
        </w:rPr>
        <w:t>dricksvatten</w:t>
      </w:r>
      <w:r w:rsidRPr="00F8599B">
        <w:rPr>
          <w:rFonts w:ascii="Arial" w:hAnsi="Arial" w:cs="Arial"/>
          <w:sz w:val="21"/>
          <w:szCs w:val="21"/>
        </w:rPr>
        <w:t xml:space="preserve">brunnen </w:t>
      </w:r>
      <w:r>
        <w:rPr>
          <w:rFonts w:ascii="Arial" w:hAnsi="Arial" w:cs="Arial"/>
          <w:sz w:val="21"/>
          <w:szCs w:val="21"/>
        </w:rPr>
        <w:t>kan</w:t>
      </w:r>
      <w:r w:rsidRPr="00F8599B">
        <w:rPr>
          <w:rFonts w:ascii="Arial" w:hAnsi="Arial" w:cs="Arial"/>
          <w:sz w:val="21"/>
          <w:szCs w:val="21"/>
        </w:rPr>
        <w:t xml:space="preserve"> medför</w:t>
      </w:r>
      <w:r>
        <w:rPr>
          <w:rFonts w:ascii="Arial" w:hAnsi="Arial" w:cs="Arial"/>
          <w:sz w:val="21"/>
          <w:szCs w:val="21"/>
        </w:rPr>
        <w:t>a</w:t>
      </w:r>
      <w:r w:rsidRPr="00F8599B">
        <w:rPr>
          <w:rFonts w:ascii="Arial" w:hAnsi="Arial" w:cs="Arial"/>
          <w:sz w:val="21"/>
          <w:szCs w:val="21"/>
        </w:rPr>
        <w:t xml:space="preserve"> att grundvattnets strömningsriktning ändras så att denna blir från avloppsanläggningen och mot brunnen. </w:t>
      </w:r>
    </w:p>
    <w:p w14:paraId="775DA8DE" w14:textId="74B18075" w:rsidR="0099047B" w:rsidRDefault="00E22E83" w:rsidP="00137308">
      <w:pPr>
        <w:pStyle w:val="NormalIndrag"/>
        <w:ind w:firstLine="0"/>
        <w:rPr>
          <w:rFonts w:ascii="Arial" w:hAnsi="Arial" w:cs="Arial"/>
          <w:sz w:val="21"/>
          <w:szCs w:val="21"/>
        </w:rPr>
      </w:pPr>
      <w:r w:rsidRPr="00A62AC2">
        <w:rPr>
          <w:rFonts w:ascii="Arial" w:hAnsi="Arial" w:cs="Arial"/>
          <w:sz w:val="21"/>
          <w:szCs w:val="21"/>
        </w:rPr>
        <w:t>Ett grundkrav oavsett lokalisering är</w:t>
      </w:r>
      <w:r>
        <w:rPr>
          <w:rFonts w:ascii="Arial" w:hAnsi="Arial" w:cs="Arial"/>
          <w:sz w:val="21"/>
          <w:szCs w:val="21"/>
        </w:rPr>
        <w:t xml:space="preserve"> </w:t>
      </w:r>
      <w:r w:rsidRPr="00A62AC2">
        <w:rPr>
          <w:rFonts w:ascii="Arial" w:hAnsi="Arial" w:cs="Arial"/>
          <w:sz w:val="21"/>
          <w:szCs w:val="21"/>
        </w:rPr>
        <w:t>att minst 1 m till grundvattnet från infiltrationsnivån uppfylls för att säkerställa tillräcklig rening.</w:t>
      </w:r>
    </w:p>
    <w:p w14:paraId="589A0482" w14:textId="77777777" w:rsidR="00B97E7E" w:rsidRDefault="00B97E7E" w:rsidP="00137308">
      <w:pPr>
        <w:pStyle w:val="NormalIndrag"/>
        <w:ind w:firstLine="0"/>
        <w:rPr>
          <w:rFonts w:ascii="Arial" w:hAnsi="Arial" w:cs="Arial"/>
          <w:sz w:val="21"/>
          <w:szCs w:val="21"/>
        </w:rPr>
      </w:pPr>
    </w:p>
    <w:p w14:paraId="283B8188" w14:textId="77777777" w:rsidR="00656E57" w:rsidRPr="00743DB5" w:rsidRDefault="00656E57" w:rsidP="00743DB5">
      <w:pPr>
        <w:pStyle w:val="Beskrivning"/>
        <w:keepNext w:val="0"/>
        <w:spacing w:before="0" w:after="200"/>
        <w:rPr>
          <w:rFonts w:ascii="Arial" w:hAnsi="Arial" w:cs="Arial"/>
          <w:b/>
          <w:color w:val="0070C0"/>
          <w:sz w:val="25"/>
          <w:szCs w:val="25"/>
        </w:rPr>
      </w:pPr>
      <w:r w:rsidRPr="00743DB5">
        <w:rPr>
          <w:rFonts w:ascii="Arial" w:hAnsi="Arial" w:cs="Arial"/>
          <w:b/>
          <w:color w:val="0070C0"/>
          <w:sz w:val="25"/>
          <w:szCs w:val="25"/>
        </w:rPr>
        <w:t>Rekommenderade skyddsavstånd</w:t>
      </w:r>
    </w:p>
    <w:p w14:paraId="304FD2F2" w14:textId="63BEC294" w:rsidR="00733C94" w:rsidRDefault="00733C94" w:rsidP="00733C94">
      <w:pPr>
        <w:pStyle w:val="NormalIndrag"/>
        <w:ind w:firstLine="0"/>
        <w:rPr>
          <w:rFonts w:ascii="Arial" w:hAnsi="Arial" w:cs="Arial"/>
          <w:sz w:val="21"/>
          <w:szCs w:val="21"/>
        </w:rPr>
      </w:pPr>
      <w:r>
        <w:rPr>
          <w:rFonts w:ascii="Arial" w:hAnsi="Arial" w:cs="Arial"/>
          <w:sz w:val="21"/>
          <w:szCs w:val="21"/>
        </w:rPr>
        <w:t xml:space="preserve">De </w:t>
      </w:r>
      <w:r w:rsidRPr="00544FF0">
        <w:rPr>
          <w:rFonts w:ascii="Arial" w:hAnsi="Arial" w:cs="Arial"/>
          <w:sz w:val="21"/>
          <w:szCs w:val="21"/>
        </w:rPr>
        <w:t>skyddsavstånd mellan markbaserade anläggningar och bergborrad dricksvattenbrunn</w:t>
      </w:r>
      <w:r>
        <w:rPr>
          <w:rFonts w:ascii="Arial" w:hAnsi="Arial" w:cs="Arial"/>
          <w:sz w:val="21"/>
          <w:szCs w:val="21"/>
        </w:rPr>
        <w:t xml:space="preserve"> som </w:t>
      </w:r>
      <w:r w:rsidR="00F8599B" w:rsidRPr="00544FF0">
        <w:rPr>
          <w:rFonts w:ascii="Arial" w:hAnsi="Arial" w:cs="Arial"/>
          <w:sz w:val="21"/>
          <w:szCs w:val="21"/>
        </w:rPr>
        <w:t xml:space="preserve">rekommenderas </w:t>
      </w:r>
      <w:r>
        <w:rPr>
          <w:rFonts w:ascii="Arial" w:hAnsi="Arial" w:cs="Arial"/>
          <w:sz w:val="21"/>
          <w:szCs w:val="21"/>
        </w:rPr>
        <w:t>är:</w:t>
      </w:r>
    </w:p>
    <w:p w14:paraId="55570573" w14:textId="11F9966F" w:rsidR="00733C94" w:rsidRPr="0030731F" w:rsidRDefault="00F8599B" w:rsidP="00733C94">
      <w:pPr>
        <w:pStyle w:val="NormalIndrag"/>
        <w:numPr>
          <w:ilvl w:val="0"/>
          <w:numId w:val="28"/>
        </w:numPr>
        <w:rPr>
          <w:rFonts w:ascii="Arial" w:hAnsi="Arial" w:cs="Arial"/>
          <w:sz w:val="21"/>
          <w:szCs w:val="21"/>
        </w:rPr>
      </w:pPr>
      <w:r w:rsidRPr="0030731F">
        <w:rPr>
          <w:rFonts w:ascii="Arial" w:hAnsi="Arial" w:cs="Arial"/>
          <w:sz w:val="21"/>
          <w:szCs w:val="21"/>
        </w:rPr>
        <w:t xml:space="preserve">30–50 m då borrhålet inte kan antas vara placerat i det avloppspåverkade grundvattnets strömningsriktning </w:t>
      </w:r>
    </w:p>
    <w:p w14:paraId="0B8B2C8A" w14:textId="05DF5474" w:rsidR="00F8599B" w:rsidRPr="0030731F" w:rsidRDefault="00F8599B" w:rsidP="00733C94">
      <w:pPr>
        <w:pStyle w:val="NormalIndrag"/>
        <w:numPr>
          <w:ilvl w:val="0"/>
          <w:numId w:val="28"/>
        </w:numPr>
        <w:rPr>
          <w:rFonts w:ascii="Arial" w:hAnsi="Arial" w:cs="Arial"/>
          <w:sz w:val="21"/>
          <w:szCs w:val="21"/>
        </w:rPr>
      </w:pPr>
      <w:r w:rsidRPr="0030731F">
        <w:rPr>
          <w:rFonts w:ascii="Arial" w:hAnsi="Arial" w:cs="Arial"/>
          <w:sz w:val="21"/>
          <w:szCs w:val="21"/>
        </w:rPr>
        <w:t>50–100 m då borrhålet kan antas vara placerat i det avloppspåverkade grundvattnets strömningsriktning</w:t>
      </w:r>
      <w:r w:rsidR="00073A8C">
        <w:rPr>
          <w:rFonts w:ascii="Arial" w:hAnsi="Arial" w:cs="Arial"/>
          <w:sz w:val="21"/>
          <w:szCs w:val="21"/>
        </w:rPr>
        <w:t>.</w:t>
      </w:r>
      <w:r w:rsidRPr="0030731F">
        <w:rPr>
          <w:rFonts w:ascii="Arial" w:hAnsi="Arial" w:cs="Arial"/>
          <w:sz w:val="21"/>
          <w:szCs w:val="21"/>
        </w:rPr>
        <w:t xml:space="preserve"> </w:t>
      </w:r>
    </w:p>
    <w:p w14:paraId="3B778DCE" w14:textId="13BD3C6B" w:rsidR="00656E57" w:rsidRDefault="00656E57" w:rsidP="00656E57">
      <w:pPr>
        <w:pStyle w:val="NormalIndrag"/>
        <w:ind w:firstLine="0"/>
        <w:rPr>
          <w:rFonts w:ascii="Arial" w:hAnsi="Arial" w:cs="Arial"/>
          <w:sz w:val="21"/>
          <w:szCs w:val="21"/>
        </w:rPr>
      </w:pPr>
      <w:r w:rsidRPr="00544FF0">
        <w:rPr>
          <w:rFonts w:ascii="Arial" w:hAnsi="Arial" w:cs="Arial"/>
          <w:sz w:val="21"/>
          <w:szCs w:val="21"/>
        </w:rPr>
        <w:t xml:space="preserve">Oregelbundna spricknätverk i berget och stora avsänkningar </w:t>
      </w:r>
      <w:r>
        <w:rPr>
          <w:rFonts w:ascii="Arial" w:hAnsi="Arial" w:cs="Arial"/>
          <w:sz w:val="21"/>
          <w:szCs w:val="21"/>
        </w:rPr>
        <w:t xml:space="preserve">vid dricksvattenuttag </w:t>
      </w:r>
      <w:r w:rsidRPr="00544FF0">
        <w:rPr>
          <w:rFonts w:ascii="Arial" w:hAnsi="Arial" w:cs="Arial"/>
          <w:sz w:val="21"/>
          <w:szCs w:val="21"/>
        </w:rPr>
        <w:t>innebär att</w:t>
      </w:r>
      <w:r>
        <w:rPr>
          <w:rFonts w:ascii="Arial" w:hAnsi="Arial" w:cs="Arial"/>
          <w:sz w:val="21"/>
          <w:szCs w:val="21"/>
        </w:rPr>
        <w:t xml:space="preserve"> det inte finns garanti för att</w:t>
      </w:r>
      <w:r w:rsidRPr="00544FF0">
        <w:rPr>
          <w:rFonts w:ascii="Arial" w:hAnsi="Arial" w:cs="Arial"/>
          <w:sz w:val="21"/>
          <w:szCs w:val="21"/>
        </w:rPr>
        <w:t xml:space="preserve"> en bergborrad brunn är skyddad</w:t>
      </w:r>
      <w:r w:rsidR="0030731F">
        <w:rPr>
          <w:rFonts w:ascii="Arial" w:hAnsi="Arial" w:cs="Arial"/>
          <w:sz w:val="21"/>
          <w:szCs w:val="21"/>
        </w:rPr>
        <w:t>,</w:t>
      </w:r>
      <w:r w:rsidRPr="00544FF0">
        <w:rPr>
          <w:rFonts w:ascii="Arial" w:hAnsi="Arial" w:cs="Arial"/>
          <w:sz w:val="21"/>
          <w:szCs w:val="21"/>
        </w:rPr>
        <w:t xml:space="preserve"> oavsett om den befinner sig högre</w:t>
      </w:r>
      <w:r>
        <w:rPr>
          <w:rFonts w:ascii="Arial" w:hAnsi="Arial" w:cs="Arial"/>
          <w:sz w:val="21"/>
          <w:szCs w:val="21"/>
        </w:rPr>
        <w:t xml:space="preserve"> eller lägre i terrängen än avloppsanläggningen</w:t>
      </w:r>
      <w:r w:rsidRPr="00544FF0">
        <w:rPr>
          <w:rFonts w:ascii="Arial" w:hAnsi="Arial" w:cs="Arial"/>
          <w:sz w:val="21"/>
          <w:szCs w:val="21"/>
        </w:rPr>
        <w:t>.</w:t>
      </w:r>
      <w:r w:rsidRPr="00656E57">
        <w:rPr>
          <w:rFonts w:ascii="Arial" w:hAnsi="Arial" w:cs="Arial"/>
          <w:sz w:val="21"/>
          <w:szCs w:val="21"/>
        </w:rPr>
        <w:t xml:space="preserve"> </w:t>
      </w:r>
      <w:r w:rsidRPr="00733C94">
        <w:rPr>
          <w:rFonts w:ascii="Arial" w:hAnsi="Arial" w:cs="Arial"/>
          <w:sz w:val="21"/>
          <w:szCs w:val="21"/>
        </w:rPr>
        <w:t>Rekommenderade intervall kan</w:t>
      </w:r>
      <w:r>
        <w:rPr>
          <w:rFonts w:ascii="Arial" w:hAnsi="Arial" w:cs="Arial"/>
          <w:sz w:val="21"/>
          <w:szCs w:val="21"/>
        </w:rPr>
        <w:t xml:space="preserve"> därför </w:t>
      </w:r>
      <w:r w:rsidRPr="00733C94">
        <w:rPr>
          <w:rFonts w:ascii="Arial" w:hAnsi="Arial" w:cs="Arial"/>
          <w:sz w:val="21"/>
          <w:szCs w:val="21"/>
        </w:rPr>
        <w:t>inte ge några faktiska garantier utan ska ses som stöd för bedömningen.</w:t>
      </w:r>
    </w:p>
    <w:p w14:paraId="5E7F1103" w14:textId="7487F678" w:rsidR="00E22E83" w:rsidRPr="00F8599B" w:rsidRDefault="00F8599B" w:rsidP="00E22E83">
      <w:pPr>
        <w:pStyle w:val="NormalIndrag"/>
        <w:ind w:firstLine="0"/>
        <w:rPr>
          <w:rFonts w:ascii="Arial" w:hAnsi="Arial" w:cs="Arial"/>
          <w:sz w:val="21"/>
          <w:szCs w:val="21"/>
        </w:rPr>
      </w:pPr>
      <w:r w:rsidRPr="00733C94">
        <w:rPr>
          <w:rFonts w:ascii="Arial" w:hAnsi="Arial" w:cs="Arial"/>
          <w:sz w:val="21"/>
          <w:szCs w:val="21"/>
        </w:rPr>
        <w:t xml:space="preserve">Lokala förhållanden i det enskilda ärendet </w:t>
      </w:r>
      <w:r w:rsidR="004B5712">
        <w:rPr>
          <w:rFonts w:ascii="Arial" w:hAnsi="Arial" w:cs="Arial"/>
          <w:sz w:val="21"/>
          <w:szCs w:val="21"/>
        </w:rPr>
        <w:t>måste</w:t>
      </w:r>
      <w:r w:rsidRPr="00733C94">
        <w:rPr>
          <w:rFonts w:ascii="Arial" w:hAnsi="Arial" w:cs="Arial"/>
          <w:sz w:val="21"/>
          <w:szCs w:val="21"/>
        </w:rPr>
        <w:t xml:space="preserve"> vägas in. Den sammantagna riskbilden får bli ledande i om man bör ligga närmare det högsta eller det lägsta avståndet i det rekommenderade skyddsavståndsintervallet.</w:t>
      </w:r>
    </w:p>
    <w:p w14:paraId="5B1EF5E8" w14:textId="77777777" w:rsidR="008465C9" w:rsidRPr="008465C9" w:rsidRDefault="00F8599B" w:rsidP="00733C94">
      <w:pPr>
        <w:pStyle w:val="NormalIndrag"/>
        <w:ind w:firstLine="0"/>
        <w:rPr>
          <w:rFonts w:asciiTheme="minorHAnsi" w:hAnsiTheme="minorHAnsi" w:cstheme="minorHAnsi"/>
          <w:sz w:val="21"/>
          <w:szCs w:val="21"/>
        </w:rPr>
      </w:pPr>
      <w:r w:rsidRPr="008465C9">
        <w:rPr>
          <w:rFonts w:asciiTheme="minorHAnsi" w:hAnsiTheme="minorHAnsi" w:cstheme="minorHAnsi"/>
          <w:sz w:val="21"/>
          <w:szCs w:val="21"/>
        </w:rPr>
        <w:t>Nedan listas en rad riskfaktorer avseende risken för kontaminering av en bergborrad dricksvattenbrunn som är lämpliga att ta hänsyn till i riskbedömningen.</w:t>
      </w:r>
    </w:p>
    <w:p w14:paraId="1A96C423" w14:textId="5AF434F4" w:rsidR="00F8599B" w:rsidRPr="008465C9" w:rsidRDefault="00F8599B" w:rsidP="008465C9">
      <w:pPr>
        <w:pStyle w:val="Liststycke"/>
        <w:numPr>
          <w:ilvl w:val="0"/>
          <w:numId w:val="25"/>
        </w:numPr>
        <w:rPr>
          <w:rFonts w:cstheme="minorHAnsi"/>
          <w:color w:val="000000"/>
        </w:rPr>
      </w:pPr>
      <w:r w:rsidRPr="008465C9">
        <w:rPr>
          <w:rFonts w:cstheme="minorHAnsi"/>
          <w:color w:val="000000"/>
        </w:rPr>
        <w:t>Nivåskillnad mellan brunn och avlopp vid uttag</w:t>
      </w:r>
    </w:p>
    <w:p w14:paraId="24EF3780" w14:textId="65A05F43" w:rsidR="00F8599B" w:rsidRPr="008465C9" w:rsidRDefault="00F8599B" w:rsidP="00F8599B">
      <w:pPr>
        <w:pStyle w:val="Liststycke"/>
        <w:numPr>
          <w:ilvl w:val="0"/>
          <w:numId w:val="25"/>
        </w:numPr>
        <w:rPr>
          <w:rFonts w:eastAsia="Times New Roman" w:cstheme="minorHAnsi"/>
          <w:color w:val="000000"/>
          <w:lang w:eastAsia="sv-SE"/>
        </w:rPr>
      </w:pPr>
      <w:r w:rsidRPr="008465C9">
        <w:rPr>
          <w:rFonts w:eastAsia="Times New Roman" w:cstheme="minorHAnsi"/>
          <w:color w:val="000000"/>
          <w:lang w:eastAsia="sv-SE"/>
        </w:rPr>
        <w:t>Bergets hydrauliska konduktivitet</w:t>
      </w:r>
    </w:p>
    <w:p w14:paraId="0830F99A" w14:textId="54737963" w:rsidR="00F8599B" w:rsidRPr="008465C9" w:rsidRDefault="00F8599B" w:rsidP="00F8599B">
      <w:pPr>
        <w:pStyle w:val="Liststycke"/>
        <w:numPr>
          <w:ilvl w:val="0"/>
          <w:numId w:val="25"/>
        </w:numPr>
        <w:rPr>
          <w:rFonts w:cstheme="minorHAnsi"/>
          <w:color w:val="000000"/>
        </w:rPr>
      </w:pPr>
      <w:r w:rsidRPr="008465C9">
        <w:rPr>
          <w:rFonts w:cstheme="minorHAnsi"/>
          <w:color w:val="000000"/>
        </w:rPr>
        <w:t>Jorddjup</w:t>
      </w:r>
    </w:p>
    <w:p w14:paraId="59E44317" w14:textId="77777777" w:rsidR="00F8599B" w:rsidRPr="008465C9" w:rsidRDefault="00F8599B" w:rsidP="00F8599B">
      <w:pPr>
        <w:pStyle w:val="Liststycke"/>
        <w:numPr>
          <w:ilvl w:val="0"/>
          <w:numId w:val="25"/>
        </w:numPr>
        <w:rPr>
          <w:rFonts w:cstheme="minorHAnsi"/>
          <w:color w:val="000000"/>
        </w:rPr>
      </w:pPr>
      <w:r w:rsidRPr="008465C9">
        <w:rPr>
          <w:rFonts w:cstheme="minorHAnsi"/>
          <w:color w:val="000000"/>
        </w:rPr>
        <w:t>Genomsläpplighet (hydraulisk konduktivitet) i jordlagren</w:t>
      </w:r>
    </w:p>
    <w:p w14:paraId="24EEA166" w14:textId="6D04A1F4" w:rsidR="00F8599B" w:rsidRPr="008465C9" w:rsidRDefault="00F8599B" w:rsidP="00F8599B">
      <w:pPr>
        <w:pStyle w:val="Liststycke"/>
        <w:numPr>
          <w:ilvl w:val="0"/>
          <w:numId w:val="25"/>
        </w:numPr>
        <w:rPr>
          <w:rFonts w:cstheme="minorHAnsi"/>
          <w:color w:val="000000"/>
        </w:rPr>
      </w:pPr>
      <w:r w:rsidRPr="008465C9">
        <w:rPr>
          <w:rFonts w:cstheme="minorHAnsi"/>
          <w:color w:val="000000"/>
        </w:rPr>
        <w:lastRenderedPageBreak/>
        <w:t>Grundvattnets bakgrundsgradient i jordlagren</w:t>
      </w:r>
      <w:r w:rsidR="000D5937">
        <w:rPr>
          <w:rFonts w:cstheme="minorHAnsi"/>
          <w:color w:val="000000"/>
        </w:rPr>
        <w:t>)</w:t>
      </w:r>
    </w:p>
    <w:p w14:paraId="71B289F0" w14:textId="77777777" w:rsidR="00F8599B" w:rsidRPr="008465C9" w:rsidRDefault="00F8599B" w:rsidP="00F8599B">
      <w:pPr>
        <w:pStyle w:val="Liststycke"/>
        <w:numPr>
          <w:ilvl w:val="0"/>
          <w:numId w:val="25"/>
        </w:numPr>
        <w:rPr>
          <w:rFonts w:cstheme="minorHAnsi"/>
          <w:color w:val="000000"/>
        </w:rPr>
      </w:pPr>
      <w:r w:rsidRPr="008465C9">
        <w:rPr>
          <w:rFonts w:cstheme="minorHAnsi"/>
          <w:color w:val="000000"/>
        </w:rPr>
        <w:t>Grundvattentillgång</w:t>
      </w:r>
    </w:p>
    <w:p w14:paraId="6962ABC1" w14:textId="70495564" w:rsidR="00F8599B" w:rsidRPr="008465C9" w:rsidRDefault="00F8599B" w:rsidP="00F8599B">
      <w:pPr>
        <w:pStyle w:val="Liststycke"/>
        <w:numPr>
          <w:ilvl w:val="0"/>
          <w:numId w:val="25"/>
        </w:numPr>
        <w:rPr>
          <w:rFonts w:cstheme="minorHAnsi"/>
          <w:b/>
          <w:bCs/>
          <w:color w:val="000000"/>
        </w:rPr>
      </w:pPr>
      <w:r w:rsidRPr="008465C9">
        <w:rPr>
          <w:rFonts w:cstheme="minorHAnsi"/>
          <w:color w:val="000000"/>
        </w:rPr>
        <w:t>Andra lokala geologiska egenskaper</w:t>
      </w:r>
    </w:p>
    <w:p w14:paraId="485DBF1C" w14:textId="6C1AC19E" w:rsidR="008465C9" w:rsidRPr="008465C9" w:rsidRDefault="008465C9" w:rsidP="008465C9">
      <w:pPr>
        <w:rPr>
          <w:rFonts w:cstheme="minorHAnsi"/>
          <w:color w:val="000000"/>
        </w:rPr>
      </w:pPr>
      <w:r w:rsidRPr="008465C9">
        <w:rPr>
          <w:rFonts w:cstheme="minorHAnsi"/>
          <w:color w:val="000000"/>
        </w:rPr>
        <w:t>Fördjupning av dessa punkter finns i avsnitt</w:t>
      </w:r>
      <w:r>
        <w:rPr>
          <w:rFonts w:cstheme="minorHAnsi"/>
          <w:color w:val="000000"/>
        </w:rPr>
        <w:t>et</w:t>
      </w:r>
      <w:r w:rsidRPr="008465C9">
        <w:rPr>
          <w:rFonts w:cstheme="minorHAnsi"/>
          <w:color w:val="000000"/>
        </w:rPr>
        <w:t xml:space="preserve"> nedan.</w:t>
      </w:r>
    </w:p>
    <w:p w14:paraId="0963F6CA" w14:textId="77777777" w:rsidR="00F8599B" w:rsidRPr="00743DB5" w:rsidRDefault="00F8599B" w:rsidP="00743DB5">
      <w:pPr>
        <w:pStyle w:val="Beskrivning"/>
        <w:keepNext w:val="0"/>
        <w:spacing w:before="0" w:after="200"/>
        <w:rPr>
          <w:rFonts w:ascii="Arial" w:hAnsi="Arial" w:cs="Arial"/>
          <w:color w:val="0070C0"/>
          <w:sz w:val="25"/>
          <w:szCs w:val="25"/>
        </w:rPr>
      </w:pPr>
      <w:r w:rsidRPr="00743DB5">
        <w:rPr>
          <w:rFonts w:ascii="Arial" w:hAnsi="Arial" w:cs="Arial"/>
          <w:b/>
          <w:color w:val="0070C0"/>
          <w:sz w:val="25"/>
          <w:szCs w:val="25"/>
        </w:rPr>
        <w:t>Riskfaktorer för borrade brunnar</w:t>
      </w:r>
    </w:p>
    <w:p w14:paraId="5AFF5788" w14:textId="77777777" w:rsidR="00F8599B" w:rsidRPr="00743DB5" w:rsidRDefault="00F8599B" w:rsidP="00743DB5">
      <w:pPr>
        <w:pStyle w:val="Rubrik3"/>
        <w:rPr>
          <w:rFonts w:ascii="Arial" w:hAnsi="Arial" w:cs="Arial"/>
          <w:color w:val="1466AA" w:themeColor="accent3" w:themeTint="BF"/>
        </w:rPr>
      </w:pPr>
      <w:r w:rsidRPr="00743DB5">
        <w:rPr>
          <w:rFonts w:ascii="Arial" w:hAnsi="Arial" w:cs="Arial"/>
          <w:color w:val="1466AA" w:themeColor="accent3" w:themeTint="BF"/>
        </w:rPr>
        <w:t>Nivåskillnad mellan brunn och avlopp vid uttag</w:t>
      </w:r>
    </w:p>
    <w:p w14:paraId="10CDE66F" w14:textId="1B7410AE" w:rsidR="00F8599B" w:rsidRPr="008465C9" w:rsidRDefault="00F8599B" w:rsidP="00155157">
      <w:pPr>
        <w:rPr>
          <w:bCs/>
          <w:i/>
          <w:iCs/>
          <w:lang w:eastAsia="sv-SE"/>
        </w:rPr>
      </w:pPr>
      <w:r w:rsidRPr="008465C9">
        <w:rPr>
          <w:lang w:eastAsia="sv-SE"/>
        </w:rPr>
        <w:t xml:space="preserve">Om grundvattennivån under infiltrationen är lägre än medelnivån i bergborrhålet vid normalt </w:t>
      </w:r>
      <w:r w:rsidR="00072644">
        <w:rPr>
          <w:lang w:eastAsia="sv-SE"/>
        </w:rPr>
        <w:t>dricksvatten</w:t>
      </w:r>
      <w:r w:rsidRPr="008465C9">
        <w:rPr>
          <w:lang w:eastAsia="sv-SE"/>
        </w:rPr>
        <w:t xml:space="preserve">uttag (Figur </w:t>
      </w:r>
      <w:r w:rsidR="00E34722">
        <w:rPr>
          <w:lang w:eastAsia="sv-SE"/>
        </w:rPr>
        <w:t>4</w:t>
      </w:r>
      <w:r w:rsidRPr="008465C9">
        <w:rPr>
          <w:lang w:eastAsia="sv-SE"/>
        </w:rPr>
        <w:t xml:space="preserve">) bör det inte kunna ske någon transport från avloppsanläggningen till bergborrhålet. Om avsänkningen i bergborrhålet blir stor vid normalt uttag kan man däremot få en stor tryckskillnad från infiltrationen till bergborrhålet vilket ökar risken för en snabb transport och </w:t>
      </w:r>
      <w:r w:rsidR="00257C23">
        <w:rPr>
          <w:lang w:eastAsia="sv-SE"/>
        </w:rPr>
        <w:t>kontaminering</w:t>
      </w:r>
      <w:r w:rsidRPr="008465C9">
        <w:rPr>
          <w:lang w:eastAsia="sv-SE"/>
        </w:rPr>
        <w:t xml:space="preserve"> (Figur </w:t>
      </w:r>
      <w:r w:rsidR="00E34722">
        <w:rPr>
          <w:lang w:eastAsia="sv-SE"/>
        </w:rPr>
        <w:t>5</w:t>
      </w:r>
      <w:r w:rsidRPr="008465C9">
        <w:rPr>
          <w:lang w:eastAsia="sv-SE"/>
        </w:rPr>
        <w:t>). En tids kontinuerlig mätning av nivån i bergborrhålet (under normal användning av brunnen) krävs för att få en bild av medelnivån i brunnen. Automatisk loggerutrustning kan då vara till stor hjälp.</w:t>
      </w:r>
    </w:p>
    <w:p w14:paraId="460DE4A0" w14:textId="77777777" w:rsidR="00F8599B" w:rsidRPr="00743DB5" w:rsidRDefault="00F8599B" w:rsidP="00743DB5">
      <w:pPr>
        <w:pStyle w:val="Rubrik3"/>
        <w:rPr>
          <w:rFonts w:ascii="Arial" w:hAnsi="Arial" w:cs="Arial"/>
          <w:color w:val="1466AA" w:themeColor="accent3" w:themeTint="BF"/>
        </w:rPr>
      </w:pPr>
      <w:r w:rsidRPr="00743DB5">
        <w:rPr>
          <w:rFonts w:ascii="Arial" w:hAnsi="Arial" w:cs="Arial"/>
          <w:color w:val="1466AA" w:themeColor="accent3" w:themeTint="BF"/>
        </w:rPr>
        <w:t xml:space="preserve">Bergets hydrauliska konduktivitet </w:t>
      </w:r>
    </w:p>
    <w:p w14:paraId="1E089FB9" w14:textId="34D8B789" w:rsidR="00F8599B" w:rsidRPr="00E34722" w:rsidRDefault="00F8599B" w:rsidP="00E34722">
      <w:pPr>
        <w:rPr>
          <w:lang w:eastAsia="sv-SE"/>
        </w:rPr>
      </w:pPr>
      <w:r w:rsidRPr="00E34722">
        <w:rPr>
          <w:lang w:eastAsia="sv-SE"/>
        </w:rPr>
        <w:t xml:space="preserve">Om bergets hydrauliska konduktivitet är låg innebär det en förhöjd risk för snabb transport i sprickorna beroende på att transportvolymen i sprickorna då ofta är mindre än i berg med högre hydraulisk konduktivitet. Vid samma mängd vattenuttag från brunn X som ligger i berg med låg hydraulisk konduktivhet jämfört med brunn Y som ligger i berg med hög hydraulisk konduktivitet, kommer transporthastigheten alltså att bli högre till brunn </w:t>
      </w:r>
      <w:r w:rsidR="00072644">
        <w:rPr>
          <w:lang w:eastAsia="sv-SE"/>
        </w:rPr>
        <w:t>X</w:t>
      </w:r>
      <w:r w:rsidRPr="00E34722">
        <w:rPr>
          <w:lang w:eastAsia="sv-SE"/>
        </w:rPr>
        <w:t xml:space="preserve">, eftersom sprickorna som vattnet transporteras i till brunn X är mindre. Vid vattenuttag i en borrad brunn blir avsänkningen också större om bergets hydrauliska konduktivitet är lägre. </w:t>
      </w:r>
      <w:r w:rsidR="00072644">
        <w:rPr>
          <w:lang w:eastAsia="sv-SE"/>
        </w:rPr>
        <w:t>S</w:t>
      </w:r>
      <w:r w:rsidRPr="00E34722">
        <w:rPr>
          <w:lang w:eastAsia="sv-SE"/>
        </w:rPr>
        <w:t xml:space="preserve">ammantaget ger </w:t>
      </w:r>
      <w:r w:rsidR="00072644">
        <w:rPr>
          <w:lang w:eastAsia="sv-SE"/>
        </w:rPr>
        <w:t xml:space="preserve">detta </w:t>
      </w:r>
      <w:r w:rsidRPr="00E34722">
        <w:rPr>
          <w:lang w:eastAsia="sv-SE"/>
        </w:rPr>
        <w:t xml:space="preserve">en ökad risk för </w:t>
      </w:r>
      <w:r w:rsidR="00257C23">
        <w:rPr>
          <w:lang w:eastAsia="sv-SE"/>
        </w:rPr>
        <w:t>kontaminering</w:t>
      </w:r>
      <w:r w:rsidRPr="00E34722">
        <w:rPr>
          <w:lang w:eastAsia="sv-SE"/>
        </w:rPr>
        <w:t xml:space="preserve"> om bergets hydrauliska konduktivitet är låg. Hydraulisk konduktivitet kan utvärderas från pumptest i brunnen eller översiktligt bedömas från SGU</w:t>
      </w:r>
      <w:r w:rsidR="00737B43">
        <w:rPr>
          <w:lang w:eastAsia="sv-SE"/>
        </w:rPr>
        <w:t>:</w:t>
      </w:r>
      <w:r w:rsidRPr="00E34722">
        <w:rPr>
          <w:lang w:eastAsia="sv-SE"/>
        </w:rPr>
        <w:t>s</w:t>
      </w:r>
      <w:hyperlink r:id="rId17" w:history="1">
        <w:r w:rsidRPr="00E34722">
          <w:t xml:space="preserve"> </w:t>
        </w:r>
        <w:r w:rsidRPr="00737B43">
          <w:rPr>
            <w:rStyle w:val="Hyperlnk"/>
            <w:rFonts w:cstheme="minorHAnsi"/>
          </w:rPr>
          <w:t>kartvisare för hydraulisk konduktivitet</w:t>
        </w:r>
      </w:hyperlink>
      <w:r w:rsidRPr="00E34722">
        <w:rPr>
          <w:lang w:eastAsia="sv-SE"/>
        </w:rPr>
        <w:t>.</w:t>
      </w:r>
    </w:p>
    <w:p w14:paraId="4BE44EA1" w14:textId="77777777" w:rsidR="00F8599B" w:rsidRPr="00743DB5" w:rsidRDefault="00F8599B" w:rsidP="00743DB5">
      <w:pPr>
        <w:pStyle w:val="Rubrik3"/>
        <w:rPr>
          <w:rFonts w:ascii="Arial" w:hAnsi="Arial" w:cs="Arial"/>
          <w:color w:val="1466AA" w:themeColor="accent3" w:themeTint="BF"/>
        </w:rPr>
      </w:pPr>
      <w:r w:rsidRPr="00743DB5">
        <w:rPr>
          <w:rFonts w:ascii="Arial" w:hAnsi="Arial" w:cs="Arial"/>
          <w:color w:val="1466AA" w:themeColor="accent3" w:themeTint="BF"/>
        </w:rPr>
        <w:t>Jorddjup</w:t>
      </w:r>
    </w:p>
    <w:p w14:paraId="10A948D6" w14:textId="672DB603" w:rsidR="00F8599B" w:rsidRPr="008465C9" w:rsidRDefault="00F8599B" w:rsidP="00F8599B">
      <w:pPr>
        <w:spacing w:after="0" w:line="276" w:lineRule="auto"/>
        <w:rPr>
          <w:rFonts w:eastAsia="Times New Roman" w:cstheme="minorHAnsi"/>
          <w:color w:val="000000"/>
          <w:lang w:eastAsia="sv-SE"/>
        </w:rPr>
      </w:pPr>
      <w:r w:rsidRPr="008465C9">
        <w:rPr>
          <w:rFonts w:cstheme="minorHAnsi"/>
          <w:color w:val="000000"/>
        </w:rPr>
        <w:t xml:space="preserve">Avloppsvattnets transport genom jordlagren utgör en barriär innan berggrundvatten kan bildas. Ökat </w:t>
      </w:r>
      <w:proofErr w:type="gramStart"/>
      <w:r w:rsidRPr="008465C9">
        <w:rPr>
          <w:rFonts w:cstheme="minorHAnsi"/>
          <w:color w:val="000000"/>
        </w:rPr>
        <w:t>jorddjup minskar</w:t>
      </w:r>
      <w:proofErr w:type="gramEnd"/>
      <w:r w:rsidRPr="008465C9">
        <w:rPr>
          <w:rFonts w:cstheme="minorHAnsi"/>
          <w:color w:val="000000"/>
        </w:rPr>
        <w:t xml:space="preserve"> risken för </w:t>
      </w:r>
      <w:r w:rsidR="00257C23">
        <w:rPr>
          <w:rFonts w:cstheme="minorHAnsi"/>
          <w:color w:val="000000"/>
        </w:rPr>
        <w:t>kontaminering</w:t>
      </w:r>
      <w:r w:rsidRPr="008465C9">
        <w:rPr>
          <w:rFonts w:cstheme="minorHAnsi"/>
          <w:color w:val="000000"/>
        </w:rPr>
        <w:t xml:space="preserve"> av en bergborrad brunn. Ett användbart stöd är SGU:s </w:t>
      </w:r>
      <w:hyperlink r:id="rId18" w:history="1">
        <w:r w:rsidRPr="008465C9">
          <w:rPr>
            <w:rStyle w:val="Hyperlnk"/>
            <w:rFonts w:cstheme="minorHAnsi"/>
          </w:rPr>
          <w:t>kartvisare Jorddjup</w:t>
        </w:r>
      </w:hyperlink>
      <w:r w:rsidRPr="008465C9">
        <w:rPr>
          <w:rFonts w:cstheme="minorHAnsi"/>
          <w:color w:val="000000"/>
        </w:rPr>
        <w:t>.</w:t>
      </w:r>
    </w:p>
    <w:p w14:paraId="495C051F" w14:textId="77777777" w:rsidR="00F8599B" w:rsidRPr="00743DB5" w:rsidRDefault="00F8599B" w:rsidP="00743DB5">
      <w:pPr>
        <w:pStyle w:val="Rubrik3"/>
        <w:rPr>
          <w:rFonts w:ascii="Arial" w:hAnsi="Arial" w:cs="Arial"/>
          <w:color w:val="1466AA" w:themeColor="accent3" w:themeTint="BF"/>
        </w:rPr>
      </w:pPr>
      <w:r w:rsidRPr="00743DB5">
        <w:rPr>
          <w:rFonts w:ascii="Arial" w:hAnsi="Arial" w:cs="Arial"/>
          <w:color w:val="1466AA" w:themeColor="accent3" w:themeTint="BF"/>
        </w:rPr>
        <w:t>Genomsläpplighet (hydraulisk konduktivitet) i jordlagren</w:t>
      </w:r>
    </w:p>
    <w:p w14:paraId="1924D3A9" w14:textId="77777777" w:rsidR="008D6182" w:rsidRDefault="00F8599B" w:rsidP="009355FD">
      <w:r w:rsidRPr="008465C9">
        <w:t xml:space="preserve">Tätare jordar fördröjer transporten till bergöverytan mer än de mer genomsläppliga och utgör därför en bättre barriär mot </w:t>
      </w:r>
      <w:r w:rsidR="00257C23">
        <w:t>kontaminering</w:t>
      </w:r>
      <w:r w:rsidRPr="008465C9">
        <w:t xml:space="preserve"> av </w:t>
      </w:r>
      <w:r w:rsidR="00F707A9">
        <w:t xml:space="preserve">en </w:t>
      </w:r>
      <w:r w:rsidRPr="008465C9">
        <w:t>bergborrad brunn. För att kunna bedöma transporthastigheten i marken och därmed erforderliga skyddsavstånd behövs kunskap om jordens genomsläpplighet (hydraulisk konduktivitet)</w:t>
      </w:r>
      <w:r w:rsidR="00782F56">
        <w:t xml:space="preserve">, se informationsblad 12 </w:t>
      </w:r>
      <w:r w:rsidR="00782F56">
        <w:rPr>
          <w:i/>
          <w:iCs/>
        </w:rPr>
        <w:t>Bedömning av markens genomsläpplighet</w:t>
      </w:r>
      <w:r w:rsidRPr="008465C9">
        <w:t xml:space="preserve">. </w:t>
      </w:r>
    </w:p>
    <w:p w14:paraId="6A3D45C2" w14:textId="644A8031" w:rsidR="00F8599B" w:rsidRPr="008465C9" w:rsidRDefault="00F8599B" w:rsidP="009355FD">
      <w:r w:rsidRPr="008465C9">
        <w:t>Prover på markmaterialet kan behöva tas ut. För att kunna göra relevanta bedömningar av genomsläpplighet i det område som berörs, det vill säga kring avloppsanläggning och aktuella brunnar, är det dock viktigt att beakta de hydrogeologiska förutsättningarna på platsen som helhet och inte okritiskt använda sig av enstaka uppmätta värden på hydraulisk konduktivitet.</w:t>
      </w:r>
      <w:r w:rsidR="00656E57">
        <w:t xml:space="preserve"> S</w:t>
      </w:r>
      <w:r w:rsidR="00656E57" w:rsidRPr="008465C9">
        <w:t xml:space="preserve">e </w:t>
      </w:r>
      <w:r w:rsidR="00656E57">
        <w:t xml:space="preserve">informationsblad 12 </w:t>
      </w:r>
      <w:r w:rsidR="00656E57" w:rsidRPr="00782F56">
        <w:rPr>
          <w:i/>
          <w:iCs/>
        </w:rPr>
        <w:t>Be</w:t>
      </w:r>
      <w:r w:rsidR="00656E57">
        <w:rPr>
          <w:i/>
          <w:iCs/>
        </w:rPr>
        <w:t>dö</w:t>
      </w:r>
      <w:r w:rsidR="00656E57" w:rsidRPr="00782F56">
        <w:rPr>
          <w:i/>
          <w:iCs/>
        </w:rPr>
        <w:t xml:space="preserve">mning av </w:t>
      </w:r>
      <w:r w:rsidR="00656E57">
        <w:rPr>
          <w:i/>
          <w:iCs/>
        </w:rPr>
        <w:t>markens genomsläpplighet</w:t>
      </w:r>
      <w:r w:rsidR="00656E57" w:rsidRPr="008465C9">
        <w:t>.</w:t>
      </w:r>
    </w:p>
    <w:p w14:paraId="4BAA18F7" w14:textId="77777777" w:rsidR="00F8599B" w:rsidRPr="00743DB5" w:rsidRDefault="00F8599B" w:rsidP="00743DB5">
      <w:pPr>
        <w:pStyle w:val="Rubrik3"/>
        <w:rPr>
          <w:rFonts w:ascii="Arial" w:hAnsi="Arial" w:cs="Arial"/>
          <w:color w:val="1466AA" w:themeColor="accent3" w:themeTint="BF"/>
        </w:rPr>
      </w:pPr>
      <w:r w:rsidRPr="00743DB5">
        <w:rPr>
          <w:rFonts w:ascii="Arial" w:hAnsi="Arial" w:cs="Arial"/>
          <w:color w:val="1466AA" w:themeColor="accent3" w:themeTint="BF"/>
        </w:rPr>
        <w:lastRenderedPageBreak/>
        <w:t>Grundvattnets bakgrundsgradient i jordlagren</w:t>
      </w:r>
    </w:p>
    <w:p w14:paraId="578C8E60" w14:textId="3921A963" w:rsidR="00F8599B" w:rsidRPr="008465C9" w:rsidRDefault="00F8599B" w:rsidP="009355FD">
      <w:r w:rsidRPr="008465C9">
        <w:t xml:space="preserve">Risken för </w:t>
      </w:r>
      <w:r w:rsidR="00257C23">
        <w:t>kontaminering</w:t>
      </w:r>
      <w:r w:rsidRPr="008465C9">
        <w:t xml:space="preserve"> ökar ju snabbare och ju närmare kontaminerat grundvatten kommer den bergborrade brunnen. Riktning och gradient på grundvattnet i jordlagren styr på detta sätt risken på liknande sätt som för </w:t>
      </w:r>
      <w:r w:rsidR="00F707A9">
        <w:t>grävda dricksvatten</w:t>
      </w:r>
      <w:r w:rsidRPr="008465C9">
        <w:t xml:space="preserve">brunnar. För bedömning se </w:t>
      </w:r>
      <w:r w:rsidR="002F473A">
        <w:t>informationsblad</w:t>
      </w:r>
      <w:r w:rsidR="00782F56">
        <w:t xml:space="preserve"> 7</w:t>
      </w:r>
      <w:r w:rsidR="002F473A">
        <w:t xml:space="preserve"> </w:t>
      </w:r>
      <w:r w:rsidRPr="00782F56">
        <w:rPr>
          <w:i/>
          <w:iCs/>
        </w:rPr>
        <w:t>Bestämning av grundvattnets strömningsriktning</w:t>
      </w:r>
      <w:r w:rsidR="00782F56" w:rsidRPr="00782F56">
        <w:rPr>
          <w:i/>
          <w:iCs/>
        </w:rPr>
        <w:t xml:space="preserve"> och lutning</w:t>
      </w:r>
      <w:r w:rsidRPr="008465C9">
        <w:t>.</w:t>
      </w:r>
    </w:p>
    <w:p w14:paraId="463EE020" w14:textId="77777777" w:rsidR="00F8599B" w:rsidRPr="00743DB5" w:rsidRDefault="00F8599B" w:rsidP="00743DB5">
      <w:pPr>
        <w:pStyle w:val="Rubrik3"/>
        <w:rPr>
          <w:rFonts w:ascii="Arial" w:hAnsi="Arial" w:cs="Arial"/>
          <w:color w:val="1466AA" w:themeColor="accent3" w:themeTint="BF"/>
        </w:rPr>
      </w:pPr>
      <w:r w:rsidRPr="00743DB5">
        <w:rPr>
          <w:rFonts w:ascii="Arial" w:hAnsi="Arial" w:cs="Arial"/>
          <w:color w:val="1466AA" w:themeColor="accent3" w:themeTint="BF"/>
        </w:rPr>
        <w:t>Grundvattentillgång</w:t>
      </w:r>
    </w:p>
    <w:p w14:paraId="75291100" w14:textId="0C9BD8A9" w:rsidR="00F8599B" w:rsidRPr="008465C9" w:rsidRDefault="00F8599B" w:rsidP="009355FD">
      <w:pPr>
        <w:rPr>
          <w:i/>
          <w:iCs/>
        </w:rPr>
      </w:pPr>
      <w:r w:rsidRPr="008465C9">
        <w:t xml:space="preserve">Om grundvattentillgången är begränsad i närområdet ökar det risken för att infiltrationsvattnet återcirkuleras till uttagsbrunnen eftersom det då inte finns så mycket annat vatten att tillgå. Om grundvattentillgången är stor ökar chansen att infiltrationsvattnet späds ut mer innan det eventuellt når </w:t>
      </w:r>
      <w:r w:rsidR="00F707A9">
        <w:t>dricksvatten</w:t>
      </w:r>
      <w:r w:rsidRPr="008465C9">
        <w:t xml:space="preserve">brunnen. En bedömning av grundvattentillgången för små grundvattenmagasin redovisas översiktligt i SGU:s </w:t>
      </w:r>
      <w:hyperlink r:id="rId19" w:history="1">
        <w:proofErr w:type="spellStart"/>
        <w:r w:rsidRPr="0024369F">
          <w:rPr>
            <w:rStyle w:val="Hyperlnk"/>
            <w:rFonts w:cstheme="minorHAnsi"/>
          </w:rPr>
          <w:t>kartvisare</w:t>
        </w:r>
        <w:proofErr w:type="spellEnd"/>
        <w:r w:rsidRPr="0024369F">
          <w:rPr>
            <w:rStyle w:val="Hyperlnk"/>
            <w:rFonts w:cstheme="minorHAnsi"/>
          </w:rPr>
          <w:t xml:space="preserve"> Grundvattent</w:t>
        </w:r>
        <w:r w:rsidRPr="0024369F">
          <w:rPr>
            <w:rStyle w:val="Hyperlnk"/>
            <w:rFonts w:cstheme="minorHAnsi"/>
          </w:rPr>
          <w:t>i</w:t>
        </w:r>
        <w:r w:rsidRPr="0024369F">
          <w:rPr>
            <w:rStyle w:val="Hyperlnk"/>
            <w:rFonts w:cstheme="minorHAnsi"/>
          </w:rPr>
          <w:t>llgång i små magasin</w:t>
        </w:r>
        <w:r w:rsidRPr="0024369F">
          <w:t>.</w:t>
        </w:r>
      </w:hyperlink>
      <w:r w:rsidRPr="008465C9">
        <w:rPr>
          <w:i/>
          <w:iCs/>
        </w:rPr>
        <w:t xml:space="preserve"> </w:t>
      </w:r>
    </w:p>
    <w:p w14:paraId="430C9F24" w14:textId="59D78304" w:rsidR="00782F56" w:rsidRPr="00743DB5" w:rsidRDefault="00782F56" w:rsidP="00743DB5">
      <w:pPr>
        <w:pStyle w:val="Beskrivning"/>
        <w:keepNext w:val="0"/>
        <w:spacing w:before="0" w:after="200"/>
        <w:rPr>
          <w:rFonts w:ascii="Arial" w:hAnsi="Arial" w:cs="Arial"/>
          <w:color w:val="0070C0"/>
          <w:sz w:val="25"/>
          <w:szCs w:val="25"/>
        </w:rPr>
      </w:pPr>
      <w:r w:rsidRPr="00743DB5">
        <w:rPr>
          <w:rFonts w:ascii="Arial" w:hAnsi="Arial" w:cs="Arial"/>
          <w:b/>
          <w:color w:val="0070C0"/>
          <w:sz w:val="25"/>
          <w:szCs w:val="25"/>
        </w:rPr>
        <w:t xml:space="preserve">Tips </w:t>
      </w:r>
      <w:r w:rsidR="00656E57" w:rsidRPr="00743DB5">
        <w:rPr>
          <w:rFonts w:ascii="Arial" w:hAnsi="Arial" w:cs="Arial"/>
          <w:b/>
          <w:color w:val="0070C0"/>
          <w:sz w:val="25"/>
          <w:szCs w:val="25"/>
        </w:rPr>
        <w:t xml:space="preserve">om hur man kan bedöma </w:t>
      </w:r>
      <w:r w:rsidRPr="00743DB5">
        <w:rPr>
          <w:rFonts w:ascii="Arial" w:hAnsi="Arial" w:cs="Arial"/>
          <w:b/>
          <w:color w:val="0070C0"/>
          <w:sz w:val="25"/>
          <w:szCs w:val="25"/>
        </w:rPr>
        <w:t>lokala geologiska förutsättningar</w:t>
      </w:r>
    </w:p>
    <w:p w14:paraId="59376578" w14:textId="56E72BE1" w:rsidR="00F8599B" w:rsidRPr="009355FD" w:rsidRDefault="00F8599B" w:rsidP="009355FD">
      <w:r w:rsidRPr="009355FD">
        <w:t xml:space="preserve">Risken för </w:t>
      </w:r>
      <w:r w:rsidR="00257C23">
        <w:t>kontaminering</w:t>
      </w:r>
      <w:r w:rsidRPr="009355FD">
        <w:t xml:space="preserve"> styrs som diskuterats ovan mycket av de lokala geologiska egenskaperna men de kan ofta vara svåra att bestämma. Ibland kan dock närområdet ge värdefull information som kan användas för att </w:t>
      </w:r>
      <w:r w:rsidR="00656E57">
        <w:t xml:space="preserve">bedöma </w:t>
      </w:r>
      <w:r w:rsidRPr="009355FD">
        <w:t xml:space="preserve">risken för </w:t>
      </w:r>
      <w:r w:rsidR="00257C23">
        <w:t>kontaminering</w:t>
      </w:r>
      <w:r w:rsidRPr="009355FD">
        <w:t>. Några exempel:</w:t>
      </w:r>
    </w:p>
    <w:p w14:paraId="3D3C8E27" w14:textId="636B460D" w:rsidR="00F8599B" w:rsidRPr="00743DB5" w:rsidRDefault="00F8599B" w:rsidP="00743DB5">
      <w:pPr>
        <w:pStyle w:val="Liststycke"/>
        <w:numPr>
          <w:ilvl w:val="0"/>
          <w:numId w:val="29"/>
        </w:numPr>
        <w:rPr>
          <w:rFonts w:eastAsia="Times New Roman"/>
          <w:lang w:eastAsia="sv-SE"/>
        </w:rPr>
      </w:pPr>
      <w:r w:rsidRPr="00743DB5">
        <w:rPr>
          <w:rFonts w:eastAsia="Times New Roman"/>
          <w:lang w:eastAsia="sv-SE"/>
        </w:rPr>
        <w:t xml:space="preserve">En uppstickande berghäll mellan infiltration och brunn kan vara en fördel då den </w:t>
      </w:r>
      <w:r w:rsidRPr="009355FD">
        <w:t>håller infiltrerat avloppsvatten borta från området nära brunnen vilket ger ökad säkerhet</w:t>
      </w:r>
      <w:r w:rsidRPr="00743DB5">
        <w:rPr>
          <w:rFonts w:eastAsia="Times New Roman"/>
          <w:lang w:eastAsia="sv-SE"/>
        </w:rPr>
        <w:t xml:space="preserve"> (Figur </w:t>
      </w:r>
      <w:r w:rsidR="009355FD" w:rsidRPr="00743DB5">
        <w:rPr>
          <w:rFonts w:eastAsia="Times New Roman"/>
          <w:lang w:eastAsia="sv-SE"/>
        </w:rPr>
        <w:t>1</w:t>
      </w:r>
      <w:r w:rsidRPr="00743DB5">
        <w:rPr>
          <w:rFonts w:eastAsia="Times New Roman"/>
          <w:lang w:eastAsia="sv-SE"/>
        </w:rPr>
        <w:t xml:space="preserve">). I exemplet bör det vara större risk för </w:t>
      </w:r>
      <w:r w:rsidR="00257C23">
        <w:rPr>
          <w:rFonts w:eastAsia="Times New Roman"/>
          <w:lang w:eastAsia="sv-SE"/>
        </w:rPr>
        <w:t>kontaminering</w:t>
      </w:r>
      <w:r w:rsidRPr="00743DB5">
        <w:rPr>
          <w:rFonts w:eastAsia="Times New Roman"/>
          <w:lang w:eastAsia="sv-SE"/>
        </w:rPr>
        <w:t xml:space="preserve"> i brunnen från infiltration B än A om situationen i övrigt</w:t>
      </w:r>
      <w:r w:rsidR="009355FD" w:rsidRPr="00743DB5">
        <w:rPr>
          <w:rFonts w:eastAsia="Times New Roman"/>
          <w:lang w:eastAsia="sv-SE"/>
        </w:rPr>
        <w:t xml:space="preserve"> </w:t>
      </w:r>
      <w:r w:rsidRPr="00743DB5">
        <w:rPr>
          <w:rFonts w:eastAsia="Times New Roman"/>
          <w:lang w:eastAsia="sv-SE"/>
        </w:rPr>
        <w:t>är likvärdig.</w:t>
      </w:r>
      <w:r w:rsidRPr="00743DB5">
        <w:rPr>
          <w:rFonts w:eastAsia="Times New Roman"/>
          <w:sz w:val="24"/>
          <w:szCs w:val="24"/>
          <w:lang w:eastAsia="sv-SE"/>
        </w:rPr>
        <w:t xml:space="preserve"> </w:t>
      </w:r>
    </w:p>
    <w:p w14:paraId="3EB43DF1" w14:textId="77777777" w:rsidR="009355FD" w:rsidRDefault="009355FD" w:rsidP="006459C7">
      <w:pPr>
        <w:keepNext/>
        <w:spacing w:after="0" w:line="240" w:lineRule="auto"/>
      </w:pPr>
      <w:r w:rsidRPr="00153648">
        <w:rPr>
          <w:noProof/>
        </w:rPr>
        <w:drawing>
          <wp:inline distT="0" distB="0" distL="0" distR="0" wp14:anchorId="58792C76" wp14:editId="1B2D174C">
            <wp:extent cx="4249160" cy="3005138"/>
            <wp:effectExtent l="0" t="0" r="0" b="0"/>
            <wp:docPr id="56" name="Bildobjek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7367" cy="3025087"/>
                    </a:xfrm>
                    <a:prstGeom prst="rect">
                      <a:avLst/>
                    </a:prstGeom>
                    <a:noFill/>
                    <a:ln>
                      <a:noFill/>
                    </a:ln>
                  </pic:spPr>
                </pic:pic>
              </a:graphicData>
            </a:graphic>
          </wp:inline>
        </w:drawing>
      </w:r>
    </w:p>
    <w:p w14:paraId="6FBFA7C3" w14:textId="1E692E23" w:rsidR="00782F56" w:rsidRPr="00FC1B6C" w:rsidRDefault="009355FD" w:rsidP="00743DB5">
      <w:pPr>
        <w:pStyle w:val="Beskrivning"/>
        <w:keepNext w:val="0"/>
        <w:spacing w:before="0" w:after="200"/>
        <w:ind w:firstLine="284"/>
        <w:rPr>
          <w:rFonts w:ascii="Arial" w:hAnsi="Arial" w:cs="Arial"/>
          <w:iCs/>
          <w:color w:val="0070C0"/>
          <w:sz w:val="20"/>
          <w:szCs w:val="20"/>
        </w:rPr>
      </w:pPr>
      <w:r w:rsidRPr="00FC1B6C">
        <w:rPr>
          <w:rFonts w:ascii="Arial" w:hAnsi="Arial" w:cs="Arial"/>
          <w:b/>
          <w:bCs w:val="0"/>
          <w:iCs/>
          <w:color w:val="0070C0"/>
          <w:sz w:val="20"/>
          <w:szCs w:val="20"/>
        </w:rPr>
        <w:t xml:space="preserve">Figur </w:t>
      </w:r>
      <w:r w:rsidR="00EF3965" w:rsidRPr="00FC1B6C">
        <w:rPr>
          <w:rFonts w:ascii="Arial" w:hAnsi="Arial" w:cs="Arial"/>
          <w:b/>
          <w:bCs w:val="0"/>
          <w:iCs/>
          <w:color w:val="0070C0"/>
          <w:sz w:val="20"/>
          <w:szCs w:val="20"/>
        </w:rPr>
        <w:fldChar w:fldCharType="begin"/>
      </w:r>
      <w:r w:rsidR="00EF3965" w:rsidRPr="00FC1B6C">
        <w:rPr>
          <w:rFonts w:ascii="Arial" w:hAnsi="Arial" w:cs="Arial"/>
          <w:b/>
          <w:bCs w:val="0"/>
          <w:iCs/>
          <w:color w:val="0070C0"/>
          <w:sz w:val="20"/>
          <w:szCs w:val="20"/>
        </w:rPr>
        <w:instrText xml:space="preserve"> SEQ Figur \* ARABIC </w:instrText>
      </w:r>
      <w:r w:rsidR="00EF3965" w:rsidRPr="00FC1B6C">
        <w:rPr>
          <w:rFonts w:ascii="Arial" w:hAnsi="Arial" w:cs="Arial"/>
          <w:b/>
          <w:bCs w:val="0"/>
          <w:iCs/>
          <w:color w:val="0070C0"/>
          <w:sz w:val="20"/>
          <w:szCs w:val="20"/>
        </w:rPr>
        <w:fldChar w:fldCharType="separate"/>
      </w:r>
      <w:r w:rsidRPr="00FC1B6C">
        <w:rPr>
          <w:rFonts w:ascii="Arial" w:hAnsi="Arial" w:cs="Arial"/>
          <w:b/>
          <w:bCs w:val="0"/>
          <w:iCs/>
          <w:color w:val="0070C0"/>
          <w:sz w:val="20"/>
          <w:szCs w:val="20"/>
        </w:rPr>
        <w:t>1</w:t>
      </w:r>
      <w:r w:rsidR="00EF3965" w:rsidRPr="00FC1B6C">
        <w:rPr>
          <w:rFonts w:ascii="Arial" w:hAnsi="Arial" w:cs="Arial"/>
          <w:b/>
          <w:bCs w:val="0"/>
          <w:iCs/>
          <w:color w:val="0070C0"/>
          <w:sz w:val="20"/>
          <w:szCs w:val="20"/>
        </w:rPr>
        <w:fldChar w:fldCharType="end"/>
      </w:r>
      <w:r w:rsidR="008D6182">
        <w:rPr>
          <w:rFonts w:ascii="Arial" w:hAnsi="Arial" w:cs="Arial"/>
          <w:b/>
          <w:bCs w:val="0"/>
          <w:iCs/>
          <w:color w:val="0070C0"/>
          <w:sz w:val="20"/>
          <w:szCs w:val="20"/>
        </w:rPr>
        <w:t>.</w:t>
      </w:r>
      <w:r w:rsidRPr="00FC1B6C">
        <w:rPr>
          <w:rFonts w:ascii="Arial" w:hAnsi="Arial" w:cs="Arial"/>
          <w:b/>
          <w:bCs w:val="0"/>
          <w:iCs/>
          <w:color w:val="0070C0"/>
          <w:sz w:val="20"/>
          <w:szCs w:val="20"/>
        </w:rPr>
        <w:t xml:space="preserve"> </w:t>
      </w:r>
      <w:r w:rsidRPr="00FC1B6C">
        <w:rPr>
          <w:rFonts w:ascii="Arial" w:hAnsi="Arial" w:cs="Arial"/>
          <w:iCs/>
          <w:color w:val="0070C0"/>
          <w:sz w:val="20"/>
          <w:szCs w:val="20"/>
        </w:rPr>
        <w:t>Uppstickande berg mellan avloppsanläggning och brunn ger mindre risk.</w:t>
      </w:r>
    </w:p>
    <w:p w14:paraId="27166DEB" w14:textId="77777777" w:rsidR="00B16943" w:rsidRDefault="00B16943" w:rsidP="00B16943">
      <w:pPr>
        <w:rPr>
          <w:rFonts w:cstheme="minorHAnsi"/>
          <w:color w:val="000000"/>
          <w:sz w:val="20"/>
          <w:szCs w:val="20"/>
        </w:rPr>
      </w:pPr>
    </w:p>
    <w:p w14:paraId="7489078A" w14:textId="213ECF1F" w:rsidR="00B16943" w:rsidRPr="0030731F" w:rsidRDefault="00B16943" w:rsidP="00B16943">
      <w:pPr>
        <w:pStyle w:val="Liststycke"/>
        <w:numPr>
          <w:ilvl w:val="0"/>
          <w:numId w:val="29"/>
        </w:numPr>
        <w:rPr>
          <w:rFonts w:cstheme="minorHAnsi"/>
          <w:color w:val="000000"/>
        </w:rPr>
      </w:pPr>
      <w:r w:rsidRPr="0030731F">
        <w:rPr>
          <w:rFonts w:cstheme="minorHAnsi"/>
          <w:color w:val="000000"/>
        </w:rPr>
        <w:t xml:space="preserve">Om det finns berghällar i området kan det vara möjligt att se om det finns någon sprickriktning som dominerar och utnyttja det. I exemplet visas synliga sprickor som svarta streck. Då bör det vara större risk för </w:t>
      </w:r>
      <w:r w:rsidR="00257C23">
        <w:rPr>
          <w:rFonts w:cstheme="minorHAnsi"/>
          <w:color w:val="000000"/>
        </w:rPr>
        <w:t>kontaminering</w:t>
      </w:r>
      <w:r w:rsidRPr="0030731F">
        <w:rPr>
          <w:rFonts w:cstheme="minorHAnsi"/>
          <w:color w:val="000000"/>
        </w:rPr>
        <w:t xml:space="preserve"> i brunnen från infiltration B än A om situationen i övrigt är likvärdig (Figur 2).</w:t>
      </w:r>
    </w:p>
    <w:p w14:paraId="47F33B22" w14:textId="77777777" w:rsidR="00B16943" w:rsidRDefault="00B16943" w:rsidP="00743DB5">
      <w:pPr>
        <w:pStyle w:val="Liststycke"/>
        <w:spacing w:after="0" w:line="240" w:lineRule="auto"/>
        <w:ind w:left="142"/>
        <w:rPr>
          <w:rFonts w:eastAsia="Times New Roman" w:cstheme="minorHAnsi"/>
          <w:sz w:val="18"/>
          <w:szCs w:val="18"/>
          <w:lang w:eastAsia="sv-SE"/>
        </w:rPr>
      </w:pPr>
      <w:r w:rsidRPr="00331387">
        <w:rPr>
          <w:rFonts w:ascii="Times New Roman" w:eastAsia="Times New Roman" w:hAnsi="Times New Roman" w:cs="Times New Roman"/>
          <w:noProof/>
          <w:sz w:val="24"/>
          <w:szCs w:val="24"/>
          <w:lang w:eastAsia="sv-SE"/>
        </w:rPr>
        <w:lastRenderedPageBreak/>
        <w:drawing>
          <wp:inline distT="0" distB="0" distL="0" distR="0" wp14:anchorId="593066E2" wp14:editId="30E7DCA5">
            <wp:extent cx="4074074" cy="288131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00824" cy="2900230"/>
                    </a:xfrm>
                    <a:prstGeom prst="rect">
                      <a:avLst/>
                    </a:prstGeom>
                    <a:noFill/>
                    <a:ln>
                      <a:noFill/>
                    </a:ln>
                  </pic:spPr>
                </pic:pic>
              </a:graphicData>
            </a:graphic>
          </wp:inline>
        </w:drawing>
      </w:r>
    </w:p>
    <w:p w14:paraId="02D4FFA1" w14:textId="7CBD8E5D" w:rsidR="00B16943" w:rsidRPr="00FC1B6C" w:rsidRDefault="00B16943" w:rsidP="00743DB5">
      <w:pPr>
        <w:pStyle w:val="Beskrivning"/>
        <w:keepNext w:val="0"/>
        <w:spacing w:before="0" w:after="200"/>
        <w:ind w:left="284"/>
        <w:rPr>
          <w:rFonts w:ascii="Arial" w:hAnsi="Arial" w:cs="Arial"/>
          <w:b/>
          <w:bCs w:val="0"/>
          <w:iCs/>
          <w:color w:val="0070C0"/>
          <w:sz w:val="20"/>
          <w:szCs w:val="20"/>
        </w:rPr>
      </w:pPr>
      <w:r w:rsidRPr="00FC1B6C">
        <w:rPr>
          <w:rFonts w:ascii="Arial" w:hAnsi="Arial" w:cs="Arial"/>
          <w:b/>
          <w:bCs w:val="0"/>
          <w:iCs/>
          <w:color w:val="0070C0"/>
          <w:sz w:val="20"/>
          <w:szCs w:val="20"/>
        </w:rPr>
        <w:t xml:space="preserve">Figur 2. </w:t>
      </w:r>
      <w:r w:rsidRPr="00FC1B6C">
        <w:rPr>
          <w:rFonts w:ascii="Arial" w:hAnsi="Arial" w:cs="Arial"/>
          <w:iCs/>
          <w:color w:val="0070C0"/>
          <w:sz w:val="20"/>
          <w:szCs w:val="20"/>
        </w:rPr>
        <w:t xml:space="preserve">Dominerande sprickriktning i synliga berghällar kan ge ledning i vilken placering av avlopp som innebär minst risk för </w:t>
      </w:r>
      <w:r w:rsidR="00257C23">
        <w:rPr>
          <w:rFonts w:ascii="Arial" w:hAnsi="Arial" w:cs="Arial"/>
          <w:iCs/>
          <w:color w:val="0070C0"/>
          <w:sz w:val="20"/>
          <w:szCs w:val="20"/>
        </w:rPr>
        <w:t>kontaminering</w:t>
      </w:r>
      <w:r w:rsidRPr="00FC1B6C">
        <w:rPr>
          <w:rFonts w:ascii="Arial" w:hAnsi="Arial" w:cs="Arial"/>
          <w:iCs/>
          <w:color w:val="0070C0"/>
          <w:sz w:val="20"/>
          <w:szCs w:val="20"/>
        </w:rPr>
        <w:t xml:space="preserve">. Risken är större för </w:t>
      </w:r>
      <w:r w:rsidR="00257C23">
        <w:rPr>
          <w:rFonts w:ascii="Arial" w:hAnsi="Arial" w:cs="Arial"/>
          <w:iCs/>
          <w:color w:val="0070C0"/>
          <w:sz w:val="20"/>
          <w:szCs w:val="20"/>
        </w:rPr>
        <w:t>kontaminering</w:t>
      </w:r>
      <w:r w:rsidRPr="00FC1B6C">
        <w:rPr>
          <w:rFonts w:ascii="Arial" w:hAnsi="Arial" w:cs="Arial"/>
          <w:iCs/>
          <w:color w:val="0070C0"/>
          <w:sz w:val="20"/>
          <w:szCs w:val="20"/>
        </w:rPr>
        <w:t xml:space="preserve"> i brunnen från infiltration B än A om situationen i övrigt är likvärdig.</w:t>
      </w:r>
    </w:p>
    <w:p w14:paraId="709E0E7C" w14:textId="77777777" w:rsidR="00EF3965" w:rsidRDefault="00EF3965" w:rsidP="00F8599B">
      <w:pPr>
        <w:spacing w:after="0" w:line="276" w:lineRule="auto"/>
        <w:ind w:left="-851"/>
        <w:rPr>
          <w:rFonts w:cstheme="minorHAnsi"/>
          <w:color w:val="000000"/>
          <w:sz w:val="20"/>
          <w:szCs w:val="20"/>
        </w:rPr>
      </w:pPr>
    </w:p>
    <w:p w14:paraId="427E58CB" w14:textId="46C9FBF9" w:rsidR="00F8599B" w:rsidRPr="0030731F" w:rsidRDefault="00F8599B" w:rsidP="00743DB5">
      <w:pPr>
        <w:pStyle w:val="Liststycke"/>
        <w:numPr>
          <w:ilvl w:val="0"/>
          <w:numId w:val="29"/>
        </w:numPr>
        <w:spacing w:after="0" w:line="276" w:lineRule="auto"/>
        <w:rPr>
          <w:rFonts w:cstheme="minorHAnsi"/>
          <w:color w:val="000000"/>
        </w:rPr>
      </w:pPr>
      <w:r w:rsidRPr="0030731F">
        <w:rPr>
          <w:rFonts w:cstheme="minorHAnsi"/>
          <w:color w:val="000000"/>
        </w:rPr>
        <w:t xml:space="preserve">Lokala höjdryggar och dalar kan vara ett tecken på att det finns mer eller större bergssprickor i en viss riktning. I Figur </w:t>
      </w:r>
      <w:r w:rsidR="009355FD" w:rsidRPr="0030731F">
        <w:rPr>
          <w:rFonts w:cstheme="minorHAnsi"/>
          <w:color w:val="000000"/>
        </w:rPr>
        <w:t>3</w:t>
      </w:r>
      <w:r w:rsidRPr="0030731F">
        <w:rPr>
          <w:rFonts w:cstheme="minorHAnsi"/>
          <w:color w:val="000000"/>
        </w:rPr>
        <w:t xml:space="preserve"> syns några höjdryggar som kan tyda på att det underliggande berget har mer eller större sprickor från vänster till höger (snarare än uppifrån och ner). Det bör då vara större risk för </w:t>
      </w:r>
      <w:r w:rsidR="00257C23">
        <w:rPr>
          <w:rFonts w:cstheme="minorHAnsi"/>
          <w:color w:val="000000"/>
        </w:rPr>
        <w:t>kontaminering</w:t>
      </w:r>
      <w:r w:rsidRPr="0030731F">
        <w:rPr>
          <w:rFonts w:cstheme="minorHAnsi"/>
          <w:color w:val="000000"/>
        </w:rPr>
        <w:t xml:space="preserve"> i brunnen från infiltration A än B om situationen i övrigt är likvärdig.</w:t>
      </w:r>
    </w:p>
    <w:p w14:paraId="6AE208AE" w14:textId="77777777" w:rsidR="00782F56" w:rsidRDefault="00F8599B" w:rsidP="00743DB5">
      <w:pPr>
        <w:spacing w:after="0" w:line="276" w:lineRule="auto"/>
        <w:rPr>
          <w:rFonts w:ascii="Arial" w:hAnsi="Arial" w:cs="Arial"/>
          <w:b/>
          <w:iCs/>
          <w:color w:val="0070C0"/>
          <w:sz w:val="20"/>
          <w:szCs w:val="20"/>
        </w:rPr>
      </w:pPr>
      <w:r w:rsidRPr="00331387">
        <w:rPr>
          <w:noProof/>
        </w:rPr>
        <w:drawing>
          <wp:inline distT="0" distB="0" distL="0" distR="0" wp14:anchorId="0C63FBCC" wp14:editId="06D62AF7">
            <wp:extent cx="4121214" cy="2914650"/>
            <wp:effectExtent l="0" t="0" r="0" b="0"/>
            <wp:docPr id="61"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9335" cy="2927466"/>
                    </a:xfrm>
                    <a:prstGeom prst="rect">
                      <a:avLst/>
                    </a:prstGeom>
                    <a:noFill/>
                    <a:ln>
                      <a:noFill/>
                    </a:ln>
                  </pic:spPr>
                </pic:pic>
              </a:graphicData>
            </a:graphic>
          </wp:inline>
        </w:drawing>
      </w:r>
    </w:p>
    <w:p w14:paraId="0B5868C1" w14:textId="65223969" w:rsidR="00F8599B" w:rsidRPr="006459C7" w:rsidRDefault="00F8599B" w:rsidP="00B16943">
      <w:pPr>
        <w:spacing w:after="0" w:line="276" w:lineRule="auto"/>
        <w:ind w:left="284"/>
        <w:rPr>
          <w:rFonts w:ascii="Arial" w:hAnsi="Arial" w:cs="Arial"/>
          <w:bCs/>
          <w:iCs/>
          <w:color w:val="0070C0"/>
          <w:sz w:val="20"/>
          <w:szCs w:val="20"/>
        </w:rPr>
      </w:pPr>
      <w:r w:rsidRPr="006459C7">
        <w:rPr>
          <w:rFonts w:ascii="Arial" w:hAnsi="Arial" w:cs="Arial"/>
          <w:b/>
          <w:iCs/>
          <w:color w:val="0070C0"/>
          <w:sz w:val="20"/>
          <w:szCs w:val="20"/>
        </w:rPr>
        <w:t xml:space="preserve">Figur </w:t>
      </w:r>
      <w:r w:rsidR="009355FD" w:rsidRPr="006459C7">
        <w:rPr>
          <w:rFonts w:ascii="Arial" w:hAnsi="Arial" w:cs="Arial"/>
          <w:b/>
          <w:iCs/>
          <w:color w:val="0070C0"/>
          <w:sz w:val="20"/>
          <w:szCs w:val="20"/>
        </w:rPr>
        <w:t>3</w:t>
      </w:r>
      <w:r w:rsidR="00B16943" w:rsidRPr="00743DB5">
        <w:rPr>
          <w:rFonts w:ascii="Arial" w:hAnsi="Arial" w:cs="Arial"/>
          <w:b/>
          <w:iCs/>
          <w:color w:val="0070C0"/>
          <w:sz w:val="20"/>
          <w:szCs w:val="20"/>
        </w:rPr>
        <w:t>.</w:t>
      </w:r>
      <w:r w:rsidRPr="006459C7">
        <w:rPr>
          <w:rFonts w:ascii="Arial" w:hAnsi="Arial" w:cs="Arial"/>
          <w:bCs/>
          <w:iCs/>
          <w:color w:val="0070C0"/>
          <w:sz w:val="20"/>
          <w:szCs w:val="20"/>
        </w:rPr>
        <w:t xml:space="preserve"> Viss ledning om bergets sprickighet kan höjdryggar i närområdet ge. Höjdryggarna tyder på en högre sannolikhet för större sprickor i berggrunden i samma riktning (från vänster till höger, snarare än uppifrån och ner). Det bör då vara större risk för </w:t>
      </w:r>
      <w:r w:rsidR="00257C23">
        <w:rPr>
          <w:rFonts w:ascii="Arial" w:hAnsi="Arial" w:cs="Arial"/>
          <w:bCs/>
          <w:iCs/>
          <w:color w:val="0070C0"/>
          <w:sz w:val="20"/>
          <w:szCs w:val="20"/>
        </w:rPr>
        <w:t>kontaminering</w:t>
      </w:r>
      <w:r w:rsidRPr="006459C7">
        <w:rPr>
          <w:rFonts w:ascii="Arial" w:hAnsi="Arial" w:cs="Arial"/>
          <w:bCs/>
          <w:iCs/>
          <w:color w:val="0070C0"/>
          <w:sz w:val="20"/>
          <w:szCs w:val="20"/>
        </w:rPr>
        <w:t xml:space="preserve"> i brunnen från infiltration A än B om situationen i övrigt är likvärdig.</w:t>
      </w:r>
    </w:p>
    <w:p w14:paraId="3FA45522" w14:textId="4F17807B" w:rsidR="00FC1B6C" w:rsidRDefault="00FC1B6C" w:rsidP="00FC1B6C">
      <w:pPr>
        <w:pStyle w:val="Beskrivning"/>
        <w:keepNext w:val="0"/>
        <w:spacing w:before="0" w:after="200"/>
        <w:rPr>
          <w:rFonts w:ascii="Arial" w:hAnsi="Arial" w:cs="Arial"/>
          <w:b/>
          <w:color w:val="0070C0"/>
          <w:sz w:val="25"/>
          <w:szCs w:val="25"/>
        </w:rPr>
      </w:pPr>
    </w:p>
    <w:p w14:paraId="53A8D45C" w14:textId="77777777" w:rsidR="0030731F" w:rsidRPr="0030731F" w:rsidRDefault="0030731F" w:rsidP="0030731F"/>
    <w:p w14:paraId="59B75B26" w14:textId="5F1B915C" w:rsidR="00F8599B" w:rsidRPr="00743DB5" w:rsidRDefault="00F8599B" w:rsidP="00743DB5">
      <w:pPr>
        <w:pStyle w:val="Beskrivning"/>
        <w:keepNext w:val="0"/>
        <w:spacing w:before="0" w:after="200"/>
        <w:ind w:left="284"/>
        <w:rPr>
          <w:rFonts w:ascii="Arial" w:hAnsi="Arial" w:cs="Arial"/>
          <w:color w:val="0070C0"/>
          <w:sz w:val="25"/>
          <w:szCs w:val="25"/>
        </w:rPr>
      </w:pPr>
      <w:r w:rsidRPr="00743DB5">
        <w:rPr>
          <w:rFonts w:ascii="Arial" w:hAnsi="Arial" w:cs="Arial"/>
          <w:b/>
          <w:color w:val="0070C0"/>
          <w:sz w:val="25"/>
          <w:szCs w:val="25"/>
        </w:rPr>
        <w:lastRenderedPageBreak/>
        <w:t>Exempel på skyddsavståndsbedömning borrade brunnar</w:t>
      </w:r>
    </w:p>
    <w:p w14:paraId="6A30B2FE" w14:textId="3EB3E9A6" w:rsidR="00F8599B" w:rsidRPr="009355FD" w:rsidRDefault="00F8599B" w:rsidP="00743DB5">
      <w:pPr>
        <w:ind w:left="284"/>
      </w:pPr>
      <w:r w:rsidRPr="009355FD">
        <w:t xml:space="preserve">Figur </w:t>
      </w:r>
      <w:r w:rsidR="00737B43">
        <w:t>4–6</w:t>
      </w:r>
      <w:r w:rsidRPr="009355FD">
        <w:t xml:space="preserve"> illustrerar tre exempel med gradvis försämrade förhållanden. En rimlig skyddsavståndsbedömning för dessa tre fall kan vara 30–40 m för figur </w:t>
      </w:r>
      <w:r w:rsidR="00737B43">
        <w:t>4</w:t>
      </w:r>
      <w:r w:rsidRPr="009355FD">
        <w:t xml:space="preserve">, 40–60 m för figur </w:t>
      </w:r>
      <w:r w:rsidR="00737B43">
        <w:t>5</w:t>
      </w:r>
      <w:r w:rsidRPr="009355FD">
        <w:t xml:space="preserve"> och 80–100 m för figur </w:t>
      </w:r>
      <w:r w:rsidR="00737B43">
        <w:t>6</w:t>
      </w:r>
      <w:r w:rsidRPr="009355FD">
        <w:t>.</w:t>
      </w:r>
    </w:p>
    <w:p w14:paraId="31A937E4" w14:textId="77777777" w:rsidR="00F8599B" w:rsidRDefault="00F8599B" w:rsidP="006459C7">
      <w:pPr>
        <w:rPr>
          <w:sz w:val="18"/>
          <w:szCs w:val="20"/>
        </w:rPr>
      </w:pPr>
      <w:r w:rsidRPr="00331387">
        <w:rPr>
          <w:noProof/>
          <w:lang w:eastAsia="sv-SE"/>
        </w:rPr>
        <w:drawing>
          <wp:inline distT="0" distB="0" distL="0" distR="0" wp14:anchorId="389A5120" wp14:editId="2AC9D908">
            <wp:extent cx="3976687" cy="2812437"/>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1962" cy="2837384"/>
                    </a:xfrm>
                    <a:prstGeom prst="rect">
                      <a:avLst/>
                    </a:prstGeom>
                    <a:noFill/>
                    <a:ln>
                      <a:noFill/>
                    </a:ln>
                  </pic:spPr>
                </pic:pic>
              </a:graphicData>
            </a:graphic>
          </wp:inline>
        </w:drawing>
      </w:r>
    </w:p>
    <w:p w14:paraId="43D1FAB9" w14:textId="2BB55DD3" w:rsidR="00F8599B" w:rsidRPr="00FC1B6C" w:rsidRDefault="00F8599B" w:rsidP="00743DB5">
      <w:pPr>
        <w:ind w:left="284"/>
        <w:rPr>
          <w:rFonts w:ascii="Arial" w:hAnsi="Arial" w:cs="Arial"/>
          <w:bCs/>
          <w:iCs/>
          <w:color w:val="0070C0"/>
          <w:sz w:val="20"/>
          <w:szCs w:val="20"/>
        </w:rPr>
      </w:pPr>
      <w:r w:rsidRPr="00FC1B6C">
        <w:rPr>
          <w:rFonts w:ascii="Arial" w:hAnsi="Arial" w:cs="Arial"/>
          <w:b/>
          <w:iCs/>
          <w:color w:val="0070C0"/>
          <w:sz w:val="20"/>
          <w:szCs w:val="20"/>
        </w:rPr>
        <w:t xml:space="preserve">Figur </w:t>
      </w:r>
      <w:r w:rsidR="009355FD" w:rsidRPr="00FC1B6C">
        <w:rPr>
          <w:rFonts w:ascii="Arial" w:hAnsi="Arial" w:cs="Arial"/>
          <w:b/>
          <w:iCs/>
          <w:color w:val="0070C0"/>
          <w:sz w:val="20"/>
          <w:szCs w:val="20"/>
        </w:rPr>
        <w:t>4</w:t>
      </w:r>
      <w:r w:rsidRPr="00FC1B6C">
        <w:rPr>
          <w:rFonts w:ascii="Arial" w:hAnsi="Arial" w:cs="Arial"/>
          <w:b/>
          <w:iCs/>
          <w:color w:val="0070C0"/>
          <w:sz w:val="20"/>
          <w:szCs w:val="20"/>
        </w:rPr>
        <w:t>.</w:t>
      </w:r>
      <w:r w:rsidRPr="00FC1B6C">
        <w:rPr>
          <w:rFonts w:ascii="Arial" w:hAnsi="Arial" w:cs="Arial"/>
          <w:bCs/>
          <w:iCs/>
          <w:color w:val="0070C0"/>
          <w:sz w:val="20"/>
          <w:szCs w:val="20"/>
        </w:rPr>
        <w:t xml:space="preserve"> Bergborrad brunn med få riskfaktorer. Brunnen ligger tydligt högre i terrängen i förhållande till avloppet. Nivåskillnaden mellan brunnen och grundvattnet under avloppet är på rätt håll och betryggande. Bergets konduktivitet är hög (större sprickighet och god tillrinning i brunnen). Jorddjup och grundvattentillgång är betryggande. En rimlig skyddsavståndsbedömning för detta fall kan vara 30–40 m. </w:t>
      </w:r>
    </w:p>
    <w:p w14:paraId="698C5D54" w14:textId="77777777" w:rsidR="00F8599B" w:rsidRDefault="00F8599B" w:rsidP="006459C7">
      <w:pPr>
        <w:rPr>
          <w:sz w:val="18"/>
          <w:szCs w:val="20"/>
        </w:rPr>
      </w:pPr>
      <w:r w:rsidRPr="00331387">
        <w:rPr>
          <w:rFonts w:ascii="Times New Roman" w:eastAsia="Times New Roman" w:hAnsi="Times New Roman" w:cs="Times New Roman"/>
          <w:noProof/>
          <w:sz w:val="24"/>
          <w:szCs w:val="24"/>
          <w:lang w:eastAsia="sv-SE"/>
        </w:rPr>
        <w:drawing>
          <wp:inline distT="0" distB="0" distL="0" distR="0" wp14:anchorId="5E32A2EF" wp14:editId="2E359938">
            <wp:extent cx="4167187" cy="2947164"/>
            <wp:effectExtent l="0" t="0" r="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5260" cy="2959946"/>
                    </a:xfrm>
                    <a:prstGeom prst="rect">
                      <a:avLst/>
                    </a:prstGeom>
                    <a:noFill/>
                    <a:ln>
                      <a:noFill/>
                    </a:ln>
                  </pic:spPr>
                </pic:pic>
              </a:graphicData>
            </a:graphic>
          </wp:inline>
        </w:drawing>
      </w:r>
    </w:p>
    <w:p w14:paraId="12BEDA36" w14:textId="77777777" w:rsidR="00B16943" w:rsidRPr="00FC1B6C" w:rsidRDefault="00F8599B" w:rsidP="00B16943">
      <w:pPr>
        <w:rPr>
          <w:rFonts w:ascii="Arial" w:hAnsi="Arial" w:cs="Arial"/>
          <w:bCs/>
          <w:iCs/>
          <w:color w:val="0070C0"/>
          <w:sz w:val="20"/>
          <w:szCs w:val="20"/>
        </w:rPr>
      </w:pPr>
      <w:r w:rsidRPr="00FC1B6C">
        <w:rPr>
          <w:rFonts w:ascii="Arial" w:hAnsi="Arial" w:cs="Arial"/>
          <w:b/>
          <w:iCs/>
          <w:color w:val="0070C0"/>
          <w:sz w:val="20"/>
          <w:szCs w:val="20"/>
        </w:rPr>
        <w:t xml:space="preserve">Figur </w:t>
      </w:r>
      <w:r w:rsidR="009355FD" w:rsidRPr="00FC1B6C">
        <w:rPr>
          <w:rFonts w:ascii="Arial" w:hAnsi="Arial" w:cs="Arial"/>
          <w:b/>
          <w:iCs/>
          <w:color w:val="0070C0"/>
          <w:sz w:val="20"/>
          <w:szCs w:val="20"/>
        </w:rPr>
        <w:t>5</w:t>
      </w:r>
      <w:r w:rsidRPr="00FC1B6C">
        <w:rPr>
          <w:rFonts w:ascii="Arial" w:hAnsi="Arial" w:cs="Arial"/>
          <w:b/>
          <w:iCs/>
          <w:color w:val="0070C0"/>
          <w:sz w:val="20"/>
          <w:szCs w:val="20"/>
        </w:rPr>
        <w:t>.</w:t>
      </w:r>
      <w:r w:rsidRPr="00FC1B6C">
        <w:rPr>
          <w:rFonts w:ascii="Arial" w:hAnsi="Arial" w:cs="Arial"/>
          <w:bCs/>
          <w:iCs/>
          <w:color w:val="0070C0"/>
          <w:sz w:val="20"/>
          <w:szCs w:val="20"/>
        </w:rPr>
        <w:t xml:space="preserve"> Bergborrad brunn i ett läge som balanserar mellan hög och låg risk. Brunnen ligger inte tydligt i avloppsvattnets strömningsriktning. Nivåskillnaden mellan brunnen och grundvattnet under avloppet är obetydlig. Bergets konduktivitet är acceptabel (större sprickighet och god tillrinning i brunnen).  Det </w:t>
      </w:r>
      <w:r w:rsidRPr="00FC1B6C">
        <w:rPr>
          <w:rFonts w:ascii="Arial" w:hAnsi="Arial" w:cs="Arial"/>
          <w:bCs/>
          <w:iCs/>
          <w:color w:val="0070C0"/>
          <w:sz w:val="20"/>
          <w:szCs w:val="20"/>
        </w:rPr>
        <w:lastRenderedPageBreak/>
        <w:t xml:space="preserve">finns ett visst jorddjup och grundvattentillgången är tillräcklig för ett eller ett fåtal hushåll. En rimlig skyddsavståndsbedömning för detta fall kan vara </w:t>
      </w:r>
      <w:r w:rsidR="00737B43" w:rsidRPr="00FC1B6C">
        <w:rPr>
          <w:rFonts w:ascii="Arial" w:hAnsi="Arial" w:cs="Arial"/>
          <w:bCs/>
          <w:iCs/>
          <w:color w:val="0070C0"/>
          <w:sz w:val="20"/>
          <w:szCs w:val="20"/>
        </w:rPr>
        <w:t>40–60</w:t>
      </w:r>
      <w:r w:rsidRPr="00FC1B6C">
        <w:rPr>
          <w:rFonts w:ascii="Arial" w:hAnsi="Arial" w:cs="Arial"/>
          <w:bCs/>
          <w:iCs/>
          <w:color w:val="0070C0"/>
          <w:sz w:val="20"/>
          <w:szCs w:val="20"/>
        </w:rPr>
        <w:t xml:space="preserve"> m.</w:t>
      </w:r>
    </w:p>
    <w:p w14:paraId="1D49248F" w14:textId="7B8404F3" w:rsidR="00F8599B" w:rsidRPr="00743DB5" w:rsidRDefault="00F8599B" w:rsidP="006459C7">
      <w:pPr>
        <w:rPr>
          <w:rFonts w:ascii="Arial" w:hAnsi="Arial" w:cs="Arial"/>
          <w:bCs/>
          <w:i/>
          <w:color w:val="0070C0"/>
          <w:sz w:val="20"/>
          <w:szCs w:val="20"/>
        </w:rPr>
      </w:pPr>
      <w:r w:rsidRPr="00743DB5">
        <w:rPr>
          <w:rFonts w:ascii="Arial" w:hAnsi="Arial" w:cs="Arial"/>
          <w:bCs/>
          <w:i/>
          <w:noProof/>
          <w:color w:val="0070C0"/>
          <w:sz w:val="20"/>
          <w:szCs w:val="20"/>
        </w:rPr>
        <w:drawing>
          <wp:inline distT="0" distB="0" distL="0" distR="0" wp14:anchorId="6CA465D2" wp14:editId="1857189B">
            <wp:extent cx="4040405" cy="2857500"/>
            <wp:effectExtent l="0" t="0" r="0" b="0"/>
            <wp:docPr id="38" name="Bildobjekt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5811" cy="2875468"/>
                    </a:xfrm>
                    <a:prstGeom prst="rect">
                      <a:avLst/>
                    </a:prstGeom>
                    <a:noFill/>
                    <a:ln>
                      <a:noFill/>
                    </a:ln>
                  </pic:spPr>
                </pic:pic>
              </a:graphicData>
            </a:graphic>
          </wp:inline>
        </w:drawing>
      </w:r>
    </w:p>
    <w:p w14:paraId="2D2D953E" w14:textId="7609A0FB" w:rsidR="00D46D52" w:rsidRDefault="00F8599B" w:rsidP="00743DB5">
      <w:r w:rsidRPr="00FC1B6C">
        <w:rPr>
          <w:rFonts w:ascii="Arial" w:hAnsi="Arial" w:cs="Arial"/>
          <w:b/>
          <w:iCs/>
          <w:color w:val="0070C0"/>
          <w:sz w:val="20"/>
          <w:szCs w:val="20"/>
        </w:rPr>
        <w:t xml:space="preserve">Figur </w:t>
      </w:r>
      <w:r w:rsidR="009355FD" w:rsidRPr="00FC1B6C">
        <w:rPr>
          <w:rFonts w:ascii="Arial" w:hAnsi="Arial" w:cs="Arial"/>
          <w:b/>
          <w:iCs/>
          <w:color w:val="0070C0"/>
          <w:sz w:val="20"/>
          <w:szCs w:val="20"/>
        </w:rPr>
        <w:t>6</w:t>
      </w:r>
      <w:r w:rsidRPr="005F19DB">
        <w:rPr>
          <w:rFonts w:ascii="Arial" w:hAnsi="Arial" w:cs="Arial"/>
          <w:bCs/>
          <w:iCs/>
          <w:color w:val="0070C0"/>
          <w:sz w:val="20"/>
          <w:szCs w:val="20"/>
        </w:rPr>
        <w:t xml:space="preserve">. Bergborrad brunn med många riskfaktorer. Brunnen ligger i avloppsvattnets strömningsriktning, jorddjupet är dåligt, nivåskillnaderna mellan brunnen och grundvattnet under avloppet är stort och omvänt mot vad som är önskvärt. Bergets konduktivitet är låg (begränsad sprickighet och dålig </w:t>
      </w:r>
      <w:r w:rsidRPr="00FC1B6C">
        <w:rPr>
          <w:rFonts w:ascii="Arial" w:hAnsi="Arial" w:cs="Arial"/>
          <w:bCs/>
          <w:iCs/>
          <w:color w:val="0070C0"/>
          <w:sz w:val="20"/>
          <w:szCs w:val="20"/>
        </w:rPr>
        <w:t>tillrinning i brunnen) och grundvattentillgången i jordlagren är sparsam. En rimlig skyddsavståndsbedömning för detta fall kan vara 80–100 m</w:t>
      </w:r>
      <w:r w:rsidR="008102F7">
        <w:rPr>
          <w:rFonts w:ascii="Arial" w:hAnsi="Arial" w:cs="Arial"/>
          <w:bCs/>
          <w:iCs/>
          <w:color w:val="0070C0"/>
          <w:sz w:val="20"/>
          <w:szCs w:val="20"/>
        </w:rPr>
        <w:t>.</w:t>
      </w:r>
    </w:p>
    <w:sectPr w:rsidR="00D46D52" w:rsidSect="00852827">
      <w:headerReference w:type="default" r:id="rId26"/>
      <w:type w:val="continuous"/>
      <w:pgSz w:w="11906" w:h="16838"/>
      <w:pgMar w:top="1150" w:right="1417" w:bottom="1417" w:left="1417" w:header="6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B85A" w14:textId="77777777" w:rsidR="00E36E7D" w:rsidRDefault="00E36E7D" w:rsidP="00ED6C6F">
      <w:pPr>
        <w:spacing w:after="0" w:line="240" w:lineRule="auto"/>
      </w:pPr>
      <w:r>
        <w:separator/>
      </w:r>
    </w:p>
  </w:endnote>
  <w:endnote w:type="continuationSeparator" w:id="0">
    <w:p w14:paraId="2F15BF7F" w14:textId="77777777" w:rsidR="00E36E7D" w:rsidRDefault="00E36E7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CA5A" w14:textId="77777777" w:rsidR="00B97E7E" w:rsidRDefault="00B97E7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79FA" w14:textId="77777777" w:rsidR="00B97E7E" w:rsidRDefault="00B97E7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30E5" w14:textId="77777777" w:rsidR="00B97E7E" w:rsidRDefault="00B97E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687A" w14:textId="77777777" w:rsidR="00E36E7D" w:rsidRDefault="00E36E7D" w:rsidP="00ED6C6F">
      <w:pPr>
        <w:spacing w:after="0" w:line="240" w:lineRule="auto"/>
      </w:pPr>
      <w:r>
        <w:separator/>
      </w:r>
    </w:p>
  </w:footnote>
  <w:footnote w:type="continuationSeparator" w:id="0">
    <w:p w14:paraId="738DBDAA" w14:textId="77777777" w:rsidR="00E36E7D" w:rsidRDefault="00E36E7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B4C4" w14:textId="77777777" w:rsidR="00B97E7E" w:rsidRDefault="00B97E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BE9E" w14:textId="77777777" w:rsidR="005230B8" w:rsidRPr="00DF19B1" w:rsidRDefault="005230B8" w:rsidP="005230B8">
    <w:pPr>
      <w:pStyle w:val="Sidhuvud"/>
      <w:ind w:right="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9964" w14:textId="77777777" w:rsidR="00E36E7D" w:rsidRDefault="00E36E7D" w:rsidP="00E36E7D">
    <w:pPr>
      <w:rPr>
        <w:rFonts w:ascii="Arial" w:hAnsi="Arial" w:cs="Arial"/>
        <w:b/>
        <w:color w:val="0070C0"/>
        <w:sz w:val="22"/>
      </w:rPr>
    </w:pPr>
  </w:p>
  <w:p w14:paraId="6B465BE1" w14:textId="6358ACFC" w:rsidR="00E36E7D" w:rsidRPr="007B6CED" w:rsidRDefault="00E36E7D" w:rsidP="00E36E7D">
    <w:pPr>
      <w:rPr>
        <w:rFonts w:ascii="Arial" w:hAnsi="Arial" w:cs="Arial"/>
        <w:b/>
        <w:color w:val="0070C0"/>
        <w:sz w:val="22"/>
      </w:rPr>
    </w:pPr>
    <w:r>
      <w:rPr>
        <w:rFonts w:ascii="Arial" w:hAnsi="Arial" w:cs="Arial"/>
        <w:b/>
        <w:color w:val="0070C0"/>
        <w:sz w:val="22"/>
      </w:rPr>
      <w:t>I</w:t>
    </w:r>
    <w:r w:rsidRPr="007B6CED">
      <w:rPr>
        <w:rFonts w:ascii="Arial" w:hAnsi="Arial" w:cs="Arial"/>
        <w:b/>
        <w:color w:val="0070C0"/>
        <w:sz w:val="22"/>
      </w:rPr>
      <w:t xml:space="preserve">nformationsblad </w:t>
    </w:r>
    <w:r w:rsidR="00F4278F">
      <w:rPr>
        <w:rFonts w:ascii="Arial" w:hAnsi="Arial" w:cs="Arial"/>
        <w:b/>
        <w:color w:val="0070C0"/>
        <w:sz w:val="22"/>
      </w:rPr>
      <w:t>11</w:t>
    </w:r>
    <w:r>
      <w:rPr>
        <w:rFonts w:ascii="Arial" w:hAnsi="Arial" w:cs="Arial"/>
        <w:b/>
        <w:color w:val="0070C0"/>
      </w:rPr>
      <w:t>, för dig som är entreprenör eller konsult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C2D1" w14:textId="77777777" w:rsidR="005230B8" w:rsidRPr="00852827" w:rsidRDefault="00852827" w:rsidP="00852827">
    <w:pPr>
      <w:pStyle w:val="Sidhuvud"/>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5C506F"/>
    <w:multiLevelType w:val="hybridMultilevel"/>
    <w:tmpl w:val="CF58E5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C80F30"/>
    <w:multiLevelType w:val="hybridMultilevel"/>
    <w:tmpl w:val="4BB25EC2"/>
    <w:lvl w:ilvl="0" w:tplc="F8B871B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09E4B0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5D97445"/>
    <w:multiLevelType w:val="hybridMultilevel"/>
    <w:tmpl w:val="7FBA7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4A1F96"/>
    <w:multiLevelType w:val="hybridMultilevel"/>
    <w:tmpl w:val="E0804D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A7D000D"/>
    <w:multiLevelType w:val="hybridMultilevel"/>
    <w:tmpl w:val="1CCE65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6" w15:restartNumberingAfterBreak="0">
    <w:nsid w:val="0E5A4CC7"/>
    <w:multiLevelType w:val="hybridMultilevel"/>
    <w:tmpl w:val="7DD4B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B646E2"/>
    <w:multiLevelType w:val="hybridMultilevel"/>
    <w:tmpl w:val="393E7E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931293"/>
    <w:multiLevelType w:val="hybridMultilevel"/>
    <w:tmpl w:val="E9CE391A"/>
    <w:lvl w:ilvl="0" w:tplc="693A452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35F10DDB"/>
    <w:multiLevelType w:val="multilevel"/>
    <w:tmpl w:val="9E0C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B701C"/>
    <w:multiLevelType w:val="hybridMultilevel"/>
    <w:tmpl w:val="562EB6C6"/>
    <w:lvl w:ilvl="0" w:tplc="9C32D848">
      <w:start w:val="1"/>
      <w:numFmt w:val="bullet"/>
      <w:lvlText w:val="̶"/>
      <w:lvlJc w:val="left"/>
      <w:pPr>
        <w:ind w:left="1440" w:hanging="360"/>
      </w:pPr>
      <w:rPr>
        <w:rFonts w:ascii="Arial" w:hAnsi="Aria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6E1200A8"/>
    <w:multiLevelType w:val="hybridMultilevel"/>
    <w:tmpl w:val="CC0EE0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7B2532"/>
    <w:multiLevelType w:val="hybridMultilevel"/>
    <w:tmpl w:val="609CB68E"/>
    <w:lvl w:ilvl="0" w:tplc="041D0001">
      <w:start w:val="1"/>
      <w:numFmt w:val="bullet"/>
      <w:lvlText w:val=""/>
      <w:lvlJc w:val="left"/>
      <w:pPr>
        <w:ind w:left="11" w:hanging="360"/>
      </w:pPr>
      <w:rPr>
        <w:rFonts w:ascii="Symbol" w:hAnsi="Symbol" w:hint="default"/>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num w:numId="1">
    <w:abstractNumId w:val="24"/>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5"/>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19"/>
  </w:num>
  <w:num w:numId="17">
    <w:abstractNumId w:val="20"/>
  </w:num>
  <w:num w:numId="18">
    <w:abstractNumId w:val="22"/>
  </w:num>
  <w:num w:numId="19">
    <w:abstractNumId w:val="10"/>
  </w:num>
  <w:num w:numId="20">
    <w:abstractNumId w:val="9"/>
  </w:num>
  <w:num w:numId="21">
    <w:abstractNumId w:val="25"/>
  </w:num>
  <w:num w:numId="22">
    <w:abstractNumId w:val="14"/>
  </w:num>
  <w:num w:numId="23">
    <w:abstractNumId w:val="21"/>
  </w:num>
  <w:num w:numId="24">
    <w:abstractNumId w:val="18"/>
  </w:num>
  <w:num w:numId="25">
    <w:abstractNumId w:val="23"/>
  </w:num>
  <w:num w:numId="26">
    <w:abstractNumId w:val="11"/>
  </w:num>
  <w:num w:numId="27">
    <w:abstractNumId w:val="8"/>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7D"/>
    <w:rsid w:val="00023CF5"/>
    <w:rsid w:val="000304A9"/>
    <w:rsid w:val="00033EC4"/>
    <w:rsid w:val="00035827"/>
    <w:rsid w:val="000428AA"/>
    <w:rsid w:val="00045172"/>
    <w:rsid w:val="000521AE"/>
    <w:rsid w:val="00071354"/>
    <w:rsid w:val="00072644"/>
    <w:rsid w:val="00073A8C"/>
    <w:rsid w:val="00081E07"/>
    <w:rsid w:val="00083807"/>
    <w:rsid w:val="000879D1"/>
    <w:rsid w:val="000927CE"/>
    <w:rsid w:val="000A259F"/>
    <w:rsid w:val="000C5C5A"/>
    <w:rsid w:val="000C60F9"/>
    <w:rsid w:val="000D29F7"/>
    <w:rsid w:val="000D4286"/>
    <w:rsid w:val="000D5937"/>
    <w:rsid w:val="000D787A"/>
    <w:rsid w:val="000E026D"/>
    <w:rsid w:val="000E6E56"/>
    <w:rsid w:val="0010206C"/>
    <w:rsid w:val="00104807"/>
    <w:rsid w:val="00104B64"/>
    <w:rsid w:val="0011207E"/>
    <w:rsid w:val="0013480E"/>
    <w:rsid w:val="00136C6B"/>
    <w:rsid w:val="00137308"/>
    <w:rsid w:val="00142663"/>
    <w:rsid w:val="001520D2"/>
    <w:rsid w:val="00152B7C"/>
    <w:rsid w:val="00155157"/>
    <w:rsid w:val="0016403E"/>
    <w:rsid w:val="00166630"/>
    <w:rsid w:val="00172B76"/>
    <w:rsid w:val="0018422A"/>
    <w:rsid w:val="0019680D"/>
    <w:rsid w:val="001A0A0B"/>
    <w:rsid w:val="001A7D3F"/>
    <w:rsid w:val="001B2002"/>
    <w:rsid w:val="001B3F85"/>
    <w:rsid w:val="001B4BB9"/>
    <w:rsid w:val="001E5995"/>
    <w:rsid w:val="001E7F1B"/>
    <w:rsid w:val="001F039C"/>
    <w:rsid w:val="00220B93"/>
    <w:rsid w:val="0022209E"/>
    <w:rsid w:val="0023309C"/>
    <w:rsid w:val="002346A2"/>
    <w:rsid w:val="00235637"/>
    <w:rsid w:val="00237D8B"/>
    <w:rsid w:val="0024369F"/>
    <w:rsid w:val="00246D45"/>
    <w:rsid w:val="00257C23"/>
    <w:rsid w:val="002611BD"/>
    <w:rsid w:val="002A223C"/>
    <w:rsid w:val="002E7F1F"/>
    <w:rsid w:val="002F473A"/>
    <w:rsid w:val="002F7366"/>
    <w:rsid w:val="0030731F"/>
    <w:rsid w:val="00324BC6"/>
    <w:rsid w:val="003430EB"/>
    <w:rsid w:val="0034649A"/>
    <w:rsid w:val="0035044E"/>
    <w:rsid w:val="00353789"/>
    <w:rsid w:val="0036067A"/>
    <w:rsid w:val="00366C4A"/>
    <w:rsid w:val="003977E2"/>
    <w:rsid w:val="003A0FEC"/>
    <w:rsid w:val="003D1AD5"/>
    <w:rsid w:val="003F0BD7"/>
    <w:rsid w:val="00411FB3"/>
    <w:rsid w:val="00433218"/>
    <w:rsid w:val="004333A3"/>
    <w:rsid w:val="004457CA"/>
    <w:rsid w:val="004539FA"/>
    <w:rsid w:val="004579C9"/>
    <w:rsid w:val="00463F60"/>
    <w:rsid w:val="00466ABB"/>
    <w:rsid w:val="00472FE4"/>
    <w:rsid w:val="00476DDD"/>
    <w:rsid w:val="00481060"/>
    <w:rsid w:val="00483F66"/>
    <w:rsid w:val="004961A1"/>
    <w:rsid w:val="004B5712"/>
    <w:rsid w:val="004E08FC"/>
    <w:rsid w:val="004E0B05"/>
    <w:rsid w:val="004F2653"/>
    <w:rsid w:val="004F6E9F"/>
    <w:rsid w:val="00502F0B"/>
    <w:rsid w:val="0051530B"/>
    <w:rsid w:val="005230B8"/>
    <w:rsid w:val="00531996"/>
    <w:rsid w:val="005377E7"/>
    <w:rsid w:val="00544FF0"/>
    <w:rsid w:val="005537A8"/>
    <w:rsid w:val="00575871"/>
    <w:rsid w:val="00577E7E"/>
    <w:rsid w:val="00586919"/>
    <w:rsid w:val="00594D98"/>
    <w:rsid w:val="005A403A"/>
    <w:rsid w:val="005A6F62"/>
    <w:rsid w:val="005A734D"/>
    <w:rsid w:val="005C30B8"/>
    <w:rsid w:val="005C4A0C"/>
    <w:rsid w:val="005C6423"/>
    <w:rsid w:val="005D2AA0"/>
    <w:rsid w:val="005E088F"/>
    <w:rsid w:val="005E0CDB"/>
    <w:rsid w:val="005E1C06"/>
    <w:rsid w:val="005F19DB"/>
    <w:rsid w:val="005F29FB"/>
    <w:rsid w:val="00600815"/>
    <w:rsid w:val="00606B0F"/>
    <w:rsid w:val="006137D6"/>
    <w:rsid w:val="00644047"/>
    <w:rsid w:val="006454F0"/>
    <w:rsid w:val="006459C7"/>
    <w:rsid w:val="00650845"/>
    <w:rsid w:val="00656E57"/>
    <w:rsid w:val="00693ED8"/>
    <w:rsid w:val="00697C2E"/>
    <w:rsid w:val="006A60A8"/>
    <w:rsid w:val="006B3AC6"/>
    <w:rsid w:val="006C0636"/>
    <w:rsid w:val="006C4DA1"/>
    <w:rsid w:val="006E43A5"/>
    <w:rsid w:val="006E6496"/>
    <w:rsid w:val="006E6580"/>
    <w:rsid w:val="006F1896"/>
    <w:rsid w:val="007314C8"/>
    <w:rsid w:val="00733C94"/>
    <w:rsid w:val="00737193"/>
    <w:rsid w:val="00737B43"/>
    <w:rsid w:val="00743DB5"/>
    <w:rsid w:val="00766BEC"/>
    <w:rsid w:val="00767FEF"/>
    <w:rsid w:val="007727C9"/>
    <w:rsid w:val="00772B6E"/>
    <w:rsid w:val="007829D2"/>
    <w:rsid w:val="00782F56"/>
    <w:rsid w:val="00783074"/>
    <w:rsid w:val="0078522D"/>
    <w:rsid w:val="007A0B53"/>
    <w:rsid w:val="007A0C1B"/>
    <w:rsid w:val="007B634A"/>
    <w:rsid w:val="007C5139"/>
    <w:rsid w:val="007E16FA"/>
    <w:rsid w:val="007E76D0"/>
    <w:rsid w:val="007F69D6"/>
    <w:rsid w:val="00801BBF"/>
    <w:rsid w:val="008102F7"/>
    <w:rsid w:val="00814DB3"/>
    <w:rsid w:val="00816FA9"/>
    <w:rsid w:val="008215CB"/>
    <w:rsid w:val="00822A22"/>
    <w:rsid w:val="00834506"/>
    <w:rsid w:val="00834E7E"/>
    <w:rsid w:val="008465C9"/>
    <w:rsid w:val="00852827"/>
    <w:rsid w:val="0085495E"/>
    <w:rsid w:val="008574B7"/>
    <w:rsid w:val="008679F4"/>
    <w:rsid w:val="00870403"/>
    <w:rsid w:val="00875CBE"/>
    <w:rsid w:val="008A525C"/>
    <w:rsid w:val="008C3D14"/>
    <w:rsid w:val="008C5285"/>
    <w:rsid w:val="008D4F31"/>
    <w:rsid w:val="008D6182"/>
    <w:rsid w:val="008E2D44"/>
    <w:rsid w:val="00902DF2"/>
    <w:rsid w:val="00910C25"/>
    <w:rsid w:val="0091216A"/>
    <w:rsid w:val="0091229C"/>
    <w:rsid w:val="0092271E"/>
    <w:rsid w:val="009255D9"/>
    <w:rsid w:val="00934D21"/>
    <w:rsid w:val="009355FD"/>
    <w:rsid w:val="00947BCD"/>
    <w:rsid w:val="009560E1"/>
    <w:rsid w:val="00972D16"/>
    <w:rsid w:val="00973775"/>
    <w:rsid w:val="00976057"/>
    <w:rsid w:val="00984C88"/>
    <w:rsid w:val="0099047B"/>
    <w:rsid w:val="0099293C"/>
    <w:rsid w:val="009A77F2"/>
    <w:rsid w:val="009B2791"/>
    <w:rsid w:val="009C6535"/>
    <w:rsid w:val="009C7A6F"/>
    <w:rsid w:val="009D37C9"/>
    <w:rsid w:val="009D509B"/>
    <w:rsid w:val="009E6EF9"/>
    <w:rsid w:val="009E7B9D"/>
    <w:rsid w:val="009E7F82"/>
    <w:rsid w:val="00A076D6"/>
    <w:rsid w:val="00A16575"/>
    <w:rsid w:val="00A17B37"/>
    <w:rsid w:val="00A2125B"/>
    <w:rsid w:val="00A23320"/>
    <w:rsid w:val="00A51CEF"/>
    <w:rsid w:val="00A536D0"/>
    <w:rsid w:val="00A60BCF"/>
    <w:rsid w:val="00A62F07"/>
    <w:rsid w:val="00A6449E"/>
    <w:rsid w:val="00A80C68"/>
    <w:rsid w:val="00A87B49"/>
    <w:rsid w:val="00A96DA2"/>
    <w:rsid w:val="00AA3A34"/>
    <w:rsid w:val="00AA5C9A"/>
    <w:rsid w:val="00AB167A"/>
    <w:rsid w:val="00AB24CA"/>
    <w:rsid w:val="00AB5266"/>
    <w:rsid w:val="00AB57E2"/>
    <w:rsid w:val="00AD354E"/>
    <w:rsid w:val="00AD5832"/>
    <w:rsid w:val="00AD5E9E"/>
    <w:rsid w:val="00AF5B57"/>
    <w:rsid w:val="00B1580D"/>
    <w:rsid w:val="00B16943"/>
    <w:rsid w:val="00B30455"/>
    <w:rsid w:val="00B32309"/>
    <w:rsid w:val="00B4285A"/>
    <w:rsid w:val="00B51E2E"/>
    <w:rsid w:val="00B6416A"/>
    <w:rsid w:val="00B67195"/>
    <w:rsid w:val="00B71B19"/>
    <w:rsid w:val="00B841F8"/>
    <w:rsid w:val="00B97E7E"/>
    <w:rsid w:val="00BA0DEF"/>
    <w:rsid w:val="00BB48AC"/>
    <w:rsid w:val="00BB7B8B"/>
    <w:rsid w:val="00BC0666"/>
    <w:rsid w:val="00BC5B8D"/>
    <w:rsid w:val="00BE0327"/>
    <w:rsid w:val="00BE1B83"/>
    <w:rsid w:val="00BE3F3D"/>
    <w:rsid w:val="00BF2DAB"/>
    <w:rsid w:val="00C02681"/>
    <w:rsid w:val="00C079B5"/>
    <w:rsid w:val="00C13434"/>
    <w:rsid w:val="00C15481"/>
    <w:rsid w:val="00C27F64"/>
    <w:rsid w:val="00C405BB"/>
    <w:rsid w:val="00C41E75"/>
    <w:rsid w:val="00C4216C"/>
    <w:rsid w:val="00C63DA4"/>
    <w:rsid w:val="00CC149C"/>
    <w:rsid w:val="00CC1DC0"/>
    <w:rsid w:val="00CC3124"/>
    <w:rsid w:val="00CC3657"/>
    <w:rsid w:val="00CE4E3C"/>
    <w:rsid w:val="00D02A34"/>
    <w:rsid w:val="00D070FF"/>
    <w:rsid w:val="00D227D0"/>
    <w:rsid w:val="00D2298A"/>
    <w:rsid w:val="00D34B62"/>
    <w:rsid w:val="00D46D52"/>
    <w:rsid w:val="00D4779E"/>
    <w:rsid w:val="00D67799"/>
    <w:rsid w:val="00DB60E9"/>
    <w:rsid w:val="00DF0444"/>
    <w:rsid w:val="00DF19B1"/>
    <w:rsid w:val="00DF42CC"/>
    <w:rsid w:val="00E05BFC"/>
    <w:rsid w:val="00E22E83"/>
    <w:rsid w:val="00E33025"/>
    <w:rsid w:val="00E34722"/>
    <w:rsid w:val="00E36E7D"/>
    <w:rsid w:val="00E47380"/>
    <w:rsid w:val="00E50040"/>
    <w:rsid w:val="00E53AC5"/>
    <w:rsid w:val="00E66CA0"/>
    <w:rsid w:val="00E86EC1"/>
    <w:rsid w:val="00EB0934"/>
    <w:rsid w:val="00EB0AE9"/>
    <w:rsid w:val="00EB1E30"/>
    <w:rsid w:val="00EB60E6"/>
    <w:rsid w:val="00EC5EB1"/>
    <w:rsid w:val="00ED6C6F"/>
    <w:rsid w:val="00EF3965"/>
    <w:rsid w:val="00EF58B6"/>
    <w:rsid w:val="00F13AFA"/>
    <w:rsid w:val="00F4278F"/>
    <w:rsid w:val="00F4778E"/>
    <w:rsid w:val="00F5205D"/>
    <w:rsid w:val="00F61558"/>
    <w:rsid w:val="00F61F0E"/>
    <w:rsid w:val="00F6408C"/>
    <w:rsid w:val="00F707A9"/>
    <w:rsid w:val="00F83198"/>
    <w:rsid w:val="00F8599B"/>
    <w:rsid w:val="00FC1B6C"/>
    <w:rsid w:val="00FC6F9F"/>
    <w:rsid w:val="00FC770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D515EDD"/>
  <w15:chartTrackingRefBased/>
  <w15:docId w15:val="{1B5EC88C-CAF5-41E1-B1A9-08F5AE18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qFormat="1"/>
    <w:lsdException w:name="annotation text" w:semiHidden="1"/>
    <w:lsdException w:name="index heading" w:semiHidden="1"/>
    <w:lsdException w:name="caption" w:semiHidden="1" w:uiPriority="35" w:unhideWhenUsed="1" w:qFormat="1"/>
    <w:lsdException w:name="table of figures" w:semiHidden="1"/>
    <w:lsdException w:name="envelope return" w:semiHidden="1"/>
    <w:lsdException w:name="footnote reference" w:qFormat="1"/>
    <w:lsdException w:name="annotation reference" w:semiHidden="1"/>
    <w:lsdException w:name="line number" w:semiHidden="1"/>
    <w:lsdException w:name="page number" w:uiPriority="8"/>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56"/>
  </w:style>
  <w:style w:type="paragraph" w:styleId="Rubrik1">
    <w:name w:val="heading 1"/>
    <w:basedOn w:val="Rubrik"/>
    <w:next w:val="Normal"/>
    <w:link w:val="Rubrik1Char"/>
    <w:uiPriority w:val="9"/>
    <w:qFormat/>
    <w:rsid w:val="00C15481"/>
    <w:pPr>
      <w:keepNext/>
      <w:spacing w:before="320" w:after="360" w:line="288" w:lineRule="auto"/>
      <w:contextualSpacing w:val="0"/>
      <w:outlineLvl w:val="0"/>
    </w:pPr>
    <w:rPr>
      <w:bCs w:val="0"/>
      <w:sz w:val="36"/>
      <w:szCs w:val="28"/>
    </w:rPr>
  </w:style>
  <w:style w:type="paragraph" w:styleId="Rubrik2">
    <w:name w:val="heading 2"/>
    <w:basedOn w:val="Rubrik1"/>
    <w:next w:val="Normal"/>
    <w:link w:val="Rubrik2Char"/>
    <w:uiPriority w:val="9"/>
    <w:qFormat/>
    <w:rsid w:val="0013480E"/>
    <w:pPr>
      <w:spacing w:after="120"/>
      <w:outlineLvl w:val="1"/>
    </w:pPr>
    <w:rPr>
      <w:b w:val="0"/>
      <w:bCs/>
      <w:sz w:val="28"/>
    </w:rPr>
  </w:style>
  <w:style w:type="paragraph" w:styleId="Rubrik3">
    <w:name w:val="heading 3"/>
    <w:basedOn w:val="Rubrik2"/>
    <w:next w:val="Normal"/>
    <w:link w:val="Rubrik3Char"/>
    <w:uiPriority w:val="9"/>
    <w:qFormat/>
    <w:rsid w:val="009560E1"/>
    <w:pPr>
      <w:outlineLvl w:val="2"/>
    </w:pPr>
    <w:rPr>
      <w:b/>
      <w:sz w:val="22"/>
      <w:szCs w:val="24"/>
    </w:rPr>
  </w:style>
  <w:style w:type="paragraph" w:styleId="Rubrik4">
    <w:name w:val="heading 4"/>
    <w:basedOn w:val="Rubrik3"/>
    <w:next w:val="Normal"/>
    <w:link w:val="Rubrik4Char"/>
    <w:uiPriority w:val="9"/>
    <w:qFormat/>
    <w:rsid w:val="009D37C9"/>
    <w:pPr>
      <w:outlineLvl w:val="3"/>
    </w:pPr>
    <w:rPr>
      <w:b w:val="0"/>
      <w:i/>
      <w:iCs/>
      <w:sz w:val="21"/>
    </w:rPr>
  </w:style>
  <w:style w:type="paragraph" w:styleId="Rubrik5">
    <w:name w:val="heading 5"/>
    <w:basedOn w:val="Rubrik4"/>
    <w:next w:val="Normal"/>
    <w:link w:val="Rubrik5Char"/>
    <w:uiPriority w:val="9"/>
    <w:semiHidden/>
    <w:qFormat/>
    <w:rsid w:val="00A16575"/>
    <w:pPr>
      <w:outlineLvl w:val="4"/>
    </w:pPr>
    <w:rPr>
      <w:bCs w:val="0"/>
      <w:i w:val="0"/>
      <w:sz w:val="19"/>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5481"/>
    <w:rPr>
      <w:rFonts w:asciiTheme="majorHAnsi" w:eastAsiaTheme="majorEastAsia" w:hAnsiTheme="majorHAnsi" w:cstheme="majorBidi"/>
      <w:b/>
      <w:sz w:val="36"/>
      <w:szCs w:val="28"/>
      <w:lang w:val="en-US"/>
    </w:rPr>
  </w:style>
  <w:style w:type="character" w:customStyle="1" w:styleId="Rubrik2Char">
    <w:name w:val="Rubrik 2 Char"/>
    <w:basedOn w:val="Standardstycketeckensnitt"/>
    <w:link w:val="Rubrik2"/>
    <w:uiPriority w:val="9"/>
    <w:rsid w:val="0013480E"/>
    <w:rPr>
      <w:rFonts w:asciiTheme="majorHAnsi" w:eastAsiaTheme="majorEastAsia" w:hAnsiTheme="majorHAnsi" w:cstheme="majorBidi"/>
      <w:bCs/>
      <w:sz w:val="28"/>
      <w:szCs w:val="28"/>
      <w:lang w:val="en-US"/>
    </w:rPr>
  </w:style>
  <w:style w:type="character" w:customStyle="1" w:styleId="Rubrik3Char">
    <w:name w:val="Rubrik 3 Char"/>
    <w:basedOn w:val="Standardstycketeckensnitt"/>
    <w:link w:val="Rubrik3"/>
    <w:uiPriority w:val="9"/>
    <w:rsid w:val="009560E1"/>
    <w:rPr>
      <w:rFonts w:asciiTheme="majorHAnsi" w:eastAsiaTheme="majorEastAsia" w:hAnsiTheme="majorHAnsi" w:cstheme="majorBidi"/>
      <w:bCs/>
      <w:sz w:val="22"/>
      <w:szCs w:val="24"/>
      <w:lang w:val="en-US"/>
    </w:rPr>
  </w:style>
  <w:style w:type="character" w:customStyle="1" w:styleId="Rubrik4Char">
    <w:name w:val="Rubrik 4 Char"/>
    <w:basedOn w:val="Standardstycketeckensnitt"/>
    <w:link w:val="Rubrik4"/>
    <w:uiPriority w:val="9"/>
    <w:rsid w:val="009D37C9"/>
    <w:rPr>
      <w:rFonts w:asciiTheme="majorHAnsi" w:eastAsiaTheme="majorEastAsia" w:hAnsiTheme="majorHAnsi" w:cstheme="majorBidi"/>
      <w:bCs/>
      <w:i/>
      <w:iCs/>
      <w:sz w:val="21"/>
      <w:szCs w:val="24"/>
      <w:lang w:val="en-US"/>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35"/>
    <w:qFormat/>
    <w:rsid w:val="009560E1"/>
    <w:pPr>
      <w:keepNext/>
      <w:spacing w:before="240" w:line="240" w:lineRule="auto"/>
    </w:pPr>
    <w:rPr>
      <w:bCs/>
      <w:sz w:val="16"/>
      <w:szCs w:val="18"/>
    </w:rPr>
  </w:style>
  <w:style w:type="paragraph" w:styleId="Rubrik">
    <w:name w:val="Title"/>
    <w:basedOn w:val="Normal"/>
    <w:next w:val="Normal"/>
    <w:link w:val="RubrikChar"/>
    <w:uiPriority w:val="34"/>
    <w:rsid w:val="00DB60E9"/>
    <w:pPr>
      <w:spacing w:after="0" w:line="240" w:lineRule="auto"/>
      <w:contextualSpacing/>
    </w:pPr>
    <w:rPr>
      <w:rFonts w:asciiTheme="majorHAnsi" w:eastAsiaTheme="majorEastAsia" w:hAnsiTheme="majorHAnsi" w:cstheme="majorBidi"/>
      <w:b/>
      <w:bCs/>
      <w:sz w:val="40"/>
      <w:szCs w:val="48"/>
    </w:rPr>
  </w:style>
  <w:style w:type="character" w:customStyle="1" w:styleId="RubrikChar">
    <w:name w:val="Rubrik Char"/>
    <w:basedOn w:val="Standardstycketeckensnitt"/>
    <w:link w:val="Rubrik"/>
    <w:uiPriority w:val="34"/>
    <w:rsid w:val="00DB60E9"/>
    <w:rPr>
      <w:rFonts w:asciiTheme="majorHAnsi" w:eastAsiaTheme="majorEastAsia" w:hAnsiTheme="majorHAnsi" w:cstheme="majorBidi"/>
      <w:b/>
      <w:bCs/>
      <w:sz w:val="40"/>
      <w:szCs w:val="48"/>
      <w:lang w:val="en-US"/>
    </w:rPr>
  </w:style>
  <w:style w:type="paragraph" w:styleId="Underrubrik">
    <w:name w:val="Subtitle"/>
    <w:basedOn w:val="Rubrik"/>
    <w:next w:val="Normal"/>
    <w:link w:val="UnderrubrikChar"/>
    <w:uiPriority w:val="35"/>
    <w:rsid w:val="006F1896"/>
    <w:pPr>
      <w:numPr>
        <w:ilvl w:val="1"/>
      </w:numPr>
      <w:spacing w:before="360" w:after="240"/>
    </w:pPr>
    <w:rPr>
      <w:b w:val="0"/>
      <w:sz w:val="32"/>
      <w:szCs w:val="24"/>
    </w:rPr>
  </w:style>
  <w:style w:type="character" w:customStyle="1" w:styleId="UnderrubrikChar">
    <w:name w:val="Underrubrik Char"/>
    <w:basedOn w:val="Standardstycketeckensnitt"/>
    <w:link w:val="Underrubrik"/>
    <w:uiPriority w:val="35"/>
    <w:rsid w:val="006F1896"/>
    <w:rPr>
      <w:rFonts w:asciiTheme="majorHAnsi" w:eastAsiaTheme="majorEastAsia" w:hAnsiTheme="majorHAnsi" w:cstheme="majorBidi"/>
      <w:bCs/>
      <w:sz w:val="32"/>
      <w:szCs w:val="24"/>
      <w:lang w:val="en-US"/>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644047"/>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852827"/>
    <w:pPr>
      <w:tabs>
        <w:tab w:val="center" w:pos="4536"/>
        <w:tab w:val="right" w:pos="9072"/>
      </w:tabs>
      <w:spacing w:after="680" w:line="240" w:lineRule="auto"/>
      <w:jc w:val="right"/>
    </w:pPr>
    <w:rPr>
      <w:sz w:val="18"/>
    </w:rPr>
  </w:style>
  <w:style w:type="character" w:customStyle="1" w:styleId="SidhuvudChar">
    <w:name w:val="Sidhuvud Char"/>
    <w:basedOn w:val="Standardstycketeckensnitt"/>
    <w:link w:val="Sidhuvud"/>
    <w:uiPriority w:val="99"/>
    <w:rsid w:val="00852827"/>
    <w:rPr>
      <w:sz w:val="18"/>
      <w:lang w:val="en-US"/>
    </w:rPr>
  </w:style>
  <w:style w:type="paragraph" w:styleId="Sidfot">
    <w:name w:val="footer"/>
    <w:basedOn w:val="Normal"/>
    <w:link w:val="SidfotChar"/>
    <w:uiPriority w:val="99"/>
    <w:rsid w:val="00ED6C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C6F"/>
  </w:style>
  <w:style w:type="paragraph" w:styleId="Punktlista">
    <w:name w:val="List Bullet"/>
    <w:basedOn w:val="Normal"/>
    <w:uiPriority w:val="24"/>
    <w:qFormat/>
    <w:rsid w:val="00BC5B8D"/>
    <w:pPr>
      <w:numPr>
        <w:numId w:val="19"/>
      </w:numPr>
      <w:spacing w:before="160" w:after="160"/>
      <w:contextualSpacing/>
    </w:pPr>
  </w:style>
  <w:style w:type="paragraph" w:styleId="Numreradlista">
    <w:name w:val="List Number"/>
    <w:basedOn w:val="Normal"/>
    <w:uiPriority w:val="25"/>
    <w:qFormat/>
    <w:rsid w:val="00F83198"/>
    <w:pPr>
      <w:numPr>
        <w:numId w:val="1"/>
      </w:numPr>
      <w:spacing w:before="160" w:after="160"/>
      <w:ind w:left="357" w:hanging="357"/>
      <w:contextualSpacing/>
    </w:pPr>
  </w:style>
  <w:style w:type="paragraph" w:styleId="Fotnotstext">
    <w:name w:val="footnote text"/>
    <w:basedOn w:val="Normal"/>
    <w:link w:val="FotnotstextChar"/>
    <w:uiPriority w:val="99"/>
    <w:qFormat/>
    <w:rsid w:val="009560E1"/>
    <w:pPr>
      <w:spacing w:before="60" w:after="60" w:line="240" w:lineRule="auto"/>
      <w:ind w:left="142" w:hanging="142"/>
    </w:pPr>
    <w:rPr>
      <w:sz w:val="16"/>
      <w:szCs w:val="20"/>
    </w:rPr>
  </w:style>
  <w:style w:type="character" w:customStyle="1" w:styleId="FotnotstextChar">
    <w:name w:val="Fotnotstext Char"/>
    <w:basedOn w:val="Standardstycketeckensnitt"/>
    <w:link w:val="Fotnotstext"/>
    <w:uiPriority w:val="99"/>
    <w:rsid w:val="009560E1"/>
    <w:rPr>
      <w:sz w:val="16"/>
      <w:szCs w:val="20"/>
      <w:lang w:val="en-US"/>
    </w:rPr>
  </w:style>
  <w:style w:type="character" w:styleId="Fotnotsreferens">
    <w:name w:val="footnote reference"/>
    <w:aliases w:val="SUPERS,stylish,BVI fnr,Footnote symbol,-E Fußnotenzeichen,Footnote Reference Superscript,Footnote Reference/,Footnote Reference text,Voetnootverwijzing,footnote ref,FR,Fußnotenzeichen diss neu,Times 10 Point,Exposant 3 Point,number"/>
    <w:basedOn w:val="Standardstycketeckensnitt"/>
    <w:uiPriority w:val="99"/>
    <w:qFormat/>
    <w:rsid w:val="00AD5832"/>
    <w:rPr>
      <w:vertAlign w:val="superscript"/>
    </w:rPr>
  </w:style>
  <w:style w:type="table" w:styleId="Tabellrutnt">
    <w:name w:val="Table Grid"/>
    <w:basedOn w:val="Normaltabell"/>
    <w:uiPriority w:val="5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F83198"/>
    <w:pPr>
      <w:numPr>
        <w:ilvl w:val="1"/>
      </w:numPr>
      <w:ind w:left="714" w:hanging="357"/>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1216A"/>
    <w:pPr>
      <w:numPr>
        <w:ilvl w:val="1"/>
      </w:numPr>
    </w:pPr>
  </w:style>
  <w:style w:type="paragraph" w:styleId="Punktlista3">
    <w:name w:val="List Bullet 3"/>
    <w:basedOn w:val="Punktlista2"/>
    <w:uiPriority w:val="24"/>
    <w:rsid w:val="0091216A"/>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rsid w:val="00AA5C9A"/>
    <w:pPr>
      <w:numPr>
        <w:numId w:val="14"/>
      </w:numPr>
    </w:pPr>
  </w:style>
  <w:style w:type="paragraph" w:customStyle="1" w:styleId="Numreradrubrik2">
    <w:name w:val="Numrerad rubrik 2"/>
    <w:basedOn w:val="Rubrik2"/>
    <w:next w:val="Normal"/>
    <w:uiPriority w:val="19"/>
    <w:semiHidden/>
    <w:rsid w:val="00AA5C9A"/>
    <w:pPr>
      <w:numPr>
        <w:ilvl w:val="1"/>
        <w:numId w:val="14"/>
      </w:numPr>
    </w:pPr>
  </w:style>
  <w:style w:type="paragraph" w:customStyle="1" w:styleId="Numreradrubrik3">
    <w:name w:val="Numrerad rubrik 3"/>
    <w:basedOn w:val="Rubrik3"/>
    <w:next w:val="Normal"/>
    <w:uiPriority w:val="19"/>
    <w:semiHidden/>
    <w:rsid w:val="00AA5C9A"/>
    <w:pPr>
      <w:numPr>
        <w:ilvl w:val="2"/>
        <w:numId w:val="14"/>
      </w:numPr>
    </w:pPr>
  </w:style>
  <w:style w:type="paragraph" w:customStyle="1" w:styleId="Numreradrubrik4">
    <w:name w:val="Numrerad rubrik 4"/>
    <w:basedOn w:val="Rubrik4"/>
    <w:next w:val="Normal"/>
    <w:uiPriority w:val="19"/>
    <w:semiHidden/>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644047"/>
    <w:pPr>
      <w:spacing w:line="280" w:lineRule="atLeast"/>
    </w:pPr>
    <w:rPr>
      <w:b/>
      <w:sz w:val="22"/>
    </w:rPr>
  </w:style>
  <w:style w:type="character" w:customStyle="1" w:styleId="InledningChar">
    <w:name w:val="Inledning Char"/>
    <w:basedOn w:val="Standardstycketeckensnitt"/>
    <w:link w:val="Inledning"/>
    <w:uiPriority w:val="36"/>
    <w:rsid w:val="00644047"/>
    <w:rPr>
      <w:b/>
      <w:sz w:val="22"/>
      <w:lang w:val="en-US"/>
    </w:rPr>
  </w:style>
  <w:style w:type="paragraph" w:customStyle="1" w:styleId="Klla">
    <w:name w:val="Källa"/>
    <w:basedOn w:val="Normal"/>
    <w:next w:val="Normal"/>
    <w:uiPriority w:val="26"/>
    <w:rsid w:val="00AB5266"/>
    <w:pPr>
      <w:spacing w:before="80" w:line="240" w:lineRule="auto"/>
    </w:pPr>
    <w:rPr>
      <w:sz w:val="16"/>
    </w:rPr>
  </w:style>
  <w:style w:type="character" w:styleId="Sidnummer">
    <w:name w:val="page number"/>
    <w:basedOn w:val="Standardstycketeckensnitt"/>
    <w:uiPriority w:val="8"/>
    <w:unhideWhenUsed/>
    <w:rsid w:val="00152B7C"/>
    <w:rPr>
      <w:rFonts w:asciiTheme="majorHAnsi" w:hAnsiTheme="majorHAnsi" w:cs="Times New Roman"/>
      <w:color w:val="000000" w:themeColor="text1"/>
      <w:sz w:val="18"/>
    </w:rPr>
  </w:style>
  <w:style w:type="paragraph" w:customStyle="1" w:styleId="Brd1">
    <w:name w:val="Bröd 1"/>
    <w:next w:val="Brd2"/>
    <w:uiPriority w:val="99"/>
    <w:qFormat/>
    <w:rsid w:val="00E36E7D"/>
    <w:pPr>
      <w:autoSpaceDE w:val="0"/>
      <w:autoSpaceDN w:val="0"/>
      <w:adjustRightInd w:val="0"/>
      <w:spacing w:after="0" w:line="280" w:lineRule="atLeast"/>
      <w:textAlignment w:val="center"/>
    </w:pPr>
    <w:rPr>
      <w:rFonts w:ascii="Georgia" w:hAnsi="Georgia" w:cs="Minion Pro"/>
      <w:color w:val="000000"/>
      <w:szCs w:val="22"/>
    </w:rPr>
  </w:style>
  <w:style w:type="paragraph" w:customStyle="1" w:styleId="Brd2">
    <w:name w:val="Bröd 2"/>
    <w:basedOn w:val="Brd1"/>
    <w:uiPriority w:val="99"/>
    <w:qFormat/>
    <w:rsid w:val="00E36E7D"/>
    <w:pPr>
      <w:ind w:firstLine="227"/>
    </w:pPr>
  </w:style>
  <w:style w:type="paragraph" w:customStyle="1" w:styleId="NormalIndrag">
    <w:name w:val="Normal_Indrag"/>
    <w:basedOn w:val="Normal"/>
    <w:uiPriority w:val="99"/>
    <w:qFormat/>
    <w:rsid w:val="00E36E7D"/>
    <w:pPr>
      <w:spacing w:before="120" w:after="0" w:line="300" w:lineRule="auto"/>
      <w:ind w:firstLine="284"/>
    </w:pPr>
    <w:rPr>
      <w:rFonts w:ascii="Garamond" w:eastAsia="Times New Roman" w:hAnsi="Garamond" w:cs="Times New Roman"/>
      <w:sz w:val="20"/>
      <w:szCs w:val="20"/>
    </w:rPr>
  </w:style>
  <w:style w:type="character" w:customStyle="1" w:styleId="nyxbildtext">
    <w:name w:val="nyxbildtext"/>
    <w:basedOn w:val="Standardstycketeckensnitt"/>
    <w:rsid w:val="00E36E7D"/>
  </w:style>
  <w:style w:type="paragraph" w:customStyle="1" w:styleId="Normal1">
    <w:name w:val="Normal1"/>
    <w:basedOn w:val="Normal"/>
    <w:rsid w:val="00FC77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rsid w:val="00FC7707"/>
    <w:rPr>
      <w:sz w:val="16"/>
      <w:szCs w:val="16"/>
    </w:rPr>
  </w:style>
  <w:style w:type="paragraph" w:styleId="Kommentarer">
    <w:name w:val="annotation text"/>
    <w:basedOn w:val="Normal"/>
    <w:link w:val="KommentarerChar"/>
    <w:uiPriority w:val="99"/>
    <w:semiHidden/>
    <w:rsid w:val="00FC7707"/>
    <w:pPr>
      <w:spacing w:line="240" w:lineRule="auto"/>
    </w:pPr>
    <w:rPr>
      <w:sz w:val="20"/>
      <w:szCs w:val="20"/>
    </w:rPr>
  </w:style>
  <w:style w:type="character" w:customStyle="1" w:styleId="KommentarerChar">
    <w:name w:val="Kommentarer Char"/>
    <w:basedOn w:val="Standardstycketeckensnitt"/>
    <w:link w:val="Kommentarer"/>
    <w:uiPriority w:val="99"/>
    <w:semiHidden/>
    <w:rsid w:val="00FC7707"/>
    <w:rPr>
      <w:sz w:val="20"/>
      <w:szCs w:val="20"/>
    </w:rPr>
  </w:style>
  <w:style w:type="paragraph" w:styleId="Kommentarsmne">
    <w:name w:val="annotation subject"/>
    <w:basedOn w:val="Kommentarer"/>
    <w:next w:val="Kommentarer"/>
    <w:link w:val="KommentarsmneChar"/>
    <w:uiPriority w:val="99"/>
    <w:semiHidden/>
    <w:rsid w:val="002F473A"/>
    <w:rPr>
      <w:b/>
      <w:bCs/>
    </w:rPr>
  </w:style>
  <w:style w:type="character" w:customStyle="1" w:styleId="KommentarsmneChar">
    <w:name w:val="Kommentarsämne Char"/>
    <w:basedOn w:val="KommentarerChar"/>
    <w:link w:val="Kommentarsmne"/>
    <w:uiPriority w:val="99"/>
    <w:semiHidden/>
    <w:rsid w:val="002F473A"/>
    <w:rPr>
      <w:b/>
      <w:bCs/>
      <w:sz w:val="20"/>
      <w:szCs w:val="20"/>
    </w:rPr>
  </w:style>
  <w:style w:type="character" w:styleId="AnvndHyperlnk">
    <w:name w:val="FollowedHyperlink"/>
    <w:basedOn w:val="Standardstycketeckensnitt"/>
    <w:uiPriority w:val="98"/>
    <w:rsid w:val="0024369F"/>
    <w:rPr>
      <w:color w:val="954F72" w:themeColor="followedHyperlink"/>
      <w:u w:val="single"/>
    </w:rPr>
  </w:style>
  <w:style w:type="character" w:styleId="Olstomnmnande">
    <w:name w:val="Unresolved Mention"/>
    <w:basedOn w:val="Standardstycketeckensnitt"/>
    <w:uiPriority w:val="99"/>
    <w:semiHidden/>
    <w:unhideWhenUsed/>
    <w:rsid w:val="00243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gu.se/produkter-och-tjanster/kartor/kartvisaren/jordkartvisare/jorddjup/"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gu.se/produkter-och-tjanster/kartor/kartvisaren/grundvattenkartvisare/hydraulisk-konduktivitet-i-berg/"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gu.se/produkter-och-tjanster/kartor/kartvisaren/grundvattenkartvisare/grundvattentillgang-i-sma-magas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HavVatten_Colors">
      <a:dk1>
        <a:sysClr val="windowText" lastClr="000000"/>
      </a:dk1>
      <a:lt1>
        <a:sysClr val="window" lastClr="FFFFFF"/>
      </a:lt1>
      <a:dk2>
        <a:srgbClr val="44546A"/>
      </a:dk2>
      <a:lt2>
        <a:srgbClr val="E7E6E6"/>
      </a:lt2>
      <a:accent1>
        <a:srgbClr val="005F88"/>
      </a:accent1>
      <a:accent2>
        <a:srgbClr val="D1B738"/>
      </a:accent2>
      <a:accent3>
        <a:srgbClr val="092D4B"/>
      </a:accent3>
      <a:accent4>
        <a:srgbClr val="3B847B"/>
      </a:accent4>
      <a:accent5>
        <a:srgbClr val="E9EDED"/>
      </a:accent5>
      <a:accent6>
        <a:srgbClr val="00594F"/>
      </a:accent6>
      <a:hlink>
        <a:srgbClr val="0563C1"/>
      </a:hlink>
      <a:folHlink>
        <a:srgbClr val="954F72"/>
      </a:folHlink>
    </a:clrScheme>
    <a:fontScheme name="Havs och Vattenmyndigheten_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5" ma:contentTypeDescription="Skapa ett nytt dokument." ma:contentTypeScope="" ma:versionID="28c8f68a4d91cf8461b1a60c8600839f">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d6c2d2f656c75ef2643a770bf3405a6e"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dbb29e01-34e7-462c-92d3-a7f73b2ef0c2}"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56CFB-7BA3-4012-A22D-DD8B067C435D}">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2.xml><?xml version="1.0" encoding="utf-8"?>
<ds:datastoreItem xmlns:ds="http://schemas.openxmlformats.org/officeDocument/2006/customXml" ds:itemID="{A783C6FC-D996-4CC0-8D5E-D4E4287DAAD6}">
  <ds:schemaRefs>
    <ds:schemaRef ds:uri="http://schemas.openxmlformats.org/officeDocument/2006/bibliography"/>
  </ds:schemaRefs>
</ds:datastoreItem>
</file>

<file path=customXml/itemProps3.xml><?xml version="1.0" encoding="utf-8"?>
<ds:datastoreItem xmlns:ds="http://schemas.openxmlformats.org/officeDocument/2006/customXml" ds:itemID="{24E1D08C-32C4-442C-AF3C-5A69A29366AA}">
  <ds:schemaRefs>
    <ds:schemaRef ds:uri="http://schemas.microsoft.com/sharepoint/v3/contenttype/forms"/>
  </ds:schemaRefs>
</ds:datastoreItem>
</file>

<file path=customXml/itemProps4.xml><?xml version="1.0" encoding="utf-8"?>
<ds:datastoreItem xmlns:ds="http://schemas.openxmlformats.org/officeDocument/2006/customXml" ds:itemID="{7A1EEA16-0DBD-4FDB-B981-FEDAA69ED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1505</Words>
  <Characters>7981</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Rubrik (hamnar per automatik i sidhuvudet)</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(hamnar per automatik i sidhuvudet)</dc:title>
  <dc:subject/>
  <dc:creator>Åsa Gunnarsson</dc:creator>
  <cp:keywords/>
  <dc:description/>
  <cp:lastModifiedBy>Åsa Gunnarsson</cp:lastModifiedBy>
  <cp:revision>18</cp:revision>
  <cp:lastPrinted>2019-02-18T10:06:00Z</cp:lastPrinted>
  <dcterms:created xsi:type="dcterms:W3CDTF">2024-08-20T13:00:00Z</dcterms:created>
  <dcterms:modified xsi:type="dcterms:W3CDTF">2024-12-17T09:52:00Z</dcterms:modified>
</cp:coreProperties>
</file>